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D54F1" w14:textId="77777777" w:rsidR="00BD62E9" w:rsidRPr="00631F21" w:rsidRDefault="004209BF" w:rsidP="00631F21">
      <w:pPr>
        <w:spacing w:line="276" w:lineRule="auto"/>
        <w:jc w:val="center"/>
        <w:rPr>
          <w:rFonts w:ascii="Arial" w:hAnsi="Arial" w:cs="Arial"/>
          <w:b/>
        </w:rPr>
      </w:pPr>
      <w:r w:rsidRPr="00631F21">
        <w:rPr>
          <w:rFonts w:ascii="Arial" w:hAnsi="Arial" w:cs="Arial"/>
          <w:b/>
        </w:rPr>
        <w:t xml:space="preserve">Impactos </w:t>
      </w:r>
      <w:r w:rsidR="002E0884" w:rsidRPr="00631F21">
        <w:rPr>
          <w:rFonts w:ascii="Arial" w:hAnsi="Arial" w:cs="Arial"/>
          <w:b/>
        </w:rPr>
        <w:t xml:space="preserve">da </w:t>
      </w:r>
      <w:r w:rsidR="002E0884">
        <w:rPr>
          <w:rFonts w:ascii="Arial" w:hAnsi="Arial" w:cs="Arial"/>
          <w:b/>
        </w:rPr>
        <w:t xml:space="preserve">guerra fiscal do ICMS e </w:t>
      </w:r>
      <w:r w:rsidRPr="00631F21">
        <w:rPr>
          <w:rFonts w:ascii="Arial" w:hAnsi="Arial" w:cs="Arial"/>
          <w:b/>
        </w:rPr>
        <w:t xml:space="preserve">da Resolução n. 13/2012 do Senado Federal sobre a </w:t>
      </w:r>
      <w:r w:rsidR="002E0884" w:rsidRPr="00631F21">
        <w:rPr>
          <w:rFonts w:ascii="Arial" w:hAnsi="Arial" w:cs="Arial"/>
          <w:b/>
        </w:rPr>
        <w:t>ordem econômica</w:t>
      </w:r>
    </w:p>
    <w:p w14:paraId="329073E6" w14:textId="77777777" w:rsidR="003D353A" w:rsidRPr="00631F21" w:rsidRDefault="003D353A" w:rsidP="00631F21">
      <w:pPr>
        <w:spacing w:line="276" w:lineRule="auto"/>
        <w:jc w:val="center"/>
        <w:rPr>
          <w:rFonts w:ascii="Arial" w:hAnsi="Arial" w:cs="Arial"/>
          <w:b/>
        </w:rPr>
      </w:pPr>
    </w:p>
    <w:p w14:paraId="6ABB09EE" w14:textId="77777777" w:rsidR="003D353A" w:rsidRPr="00631F21" w:rsidRDefault="00F221F6" w:rsidP="00631F21">
      <w:pPr>
        <w:spacing w:line="276" w:lineRule="auto"/>
        <w:jc w:val="center"/>
        <w:rPr>
          <w:rFonts w:ascii="Arial" w:hAnsi="Arial" w:cs="Arial"/>
          <w:b/>
          <w:i/>
          <w:lang w:val="en-US"/>
        </w:rPr>
      </w:pPr>
      <w:r w:rsidRPr="00631F21">
        <w:rPr>
          <w:rFonts w:ascii="Arial" w:hAnsi="Arial" w:cs="Arial"/>
          <w:b/>
          <w:i/>
          <w:lang w:val="en-US"/>
        </w:rPr>
        <w:t>Impacts of</w:t>
      </w:r>
      <w:r w:rsidR="002E0884">
        <w:rPr>
          <w:rFonts w:ascii="Arial" w:hAnsi="Arial" w:cs="Arial"/>
          <w:b/>
          <w:i/>
          <w:lang w:val="en-US"/>
        </w:rPr>
        <w:t xml:space="preserve"> the</w:t>
      </w:r>
      <w:r w:rsidRPr="00631F21">
        <w:rPr>
          <w:rFonts w:ascii="Arial" w:hAnsi="Arial" w:cs="Arial"/>
          <w:b/>
          <w:i/>
          <w:lang w:val="en-US"/>
        </w:rPr>
        <w:t xml:space="preserve"> </w:t>
      </w:r>
      <w:r w:rsidR="00EB35A9" w:rsidRPr="00631F21">
        <w:rPr>
          <w:rFonts w:ascii="Arial" w:hAnsi="Arial" w:cs="Arial"/>
          <w:b/>
          <w:i/>
          <w:lang w:val="en-US"/>
        </w:rPr>
        <w:t xml:space="preserve">tax war and </w:t>
      </w:r>
      <w:r w:rsidR="002E0884">
        <w:rPr>
          <w:rFonts w:ascii="Arial" w:hAnsi="Arial" w:cs="Arial"/>
          <w:b/>
          <w:i/>
          <w:lang w:val="en-US"/>
        </w:rPr>
        <w:t xml:space="preserve">the </w:t>
      </w:r>
      <w:r w:rsidR="00EB35A9" w:rsidRPr="00631F21">
        <w:rPr>
          <w:rFonts w:ascii="Arial" w:hAnsi="Arial" w:cs="Arial"/>
          <w:b/>
          <w:i/>
          <w:lang w:val="en-US"/>
        </w:rPr>
        <w:t xml:space="preserve">Senate </w:t>
      </w:r>
      <w:r w:rsidRPr="00631F21">
        <w:rPr>
          <w:rFonts w:ascii="Arial" w:hAnsi="Arial" w:cs="Arial"/>
          <w:b/>
          <w:i/>
          <w:lang w:val="en-US"/>
        </w:rPr>
        <w:t>Resolution n. 13</w:t>
      </w:r>
      <w:r w:rsidR="002E0884">
        <w:rPr>
          <w:rFonts w:ascii="Arial" w:hAnsi="Arial" w:cs="Arial"/>
          <w:b/>
          <w:i/>
          <w:lang w:val="en-US"/>
        </w:rPr>
        <w:t>/2012</w:t>
      </w:r>
      <w:r w:rsidRPr="00631F21">
        <w:rPr>
          <w:rFonts w:ascii="Arial" w:hAnsi="Arial" w:cs="Arial"/>
          <w:b/>
          <w:i/>
          <w:lang w:val="en-US"/>
        </w:rPr>
        <w:t xml:space="preserve"> in the </w:t>
      </w:r>
      <w:r w:rsidR="002E0884">
        <w:rPr>
          <w:rFonts w:ascii="Arial" w:hAnsi="Arial" w:cs="Arial"/>
          <w:b/>
          <w:i/>
          <w:lang w:val="en-US"/>
        </w:rPr>
        <w:t>e</w:t>
      </w:r>
      <w:r w:rsidRPr="00631F21">
        <w:rPr>
          <w:rFonts w:ascii="Arial" w:hAnsi="Arial" w:cs="Arial"/>
          <w:b/>
          <w:i/>
          <w:lang w:val="en-US"/>
        </w:rPr>
        <w:t>conomy</w:t>
      </w:r>
    </w:p>
    <w:p w14:paraId="2478E553" w14:textId="77777777" w:rsidR="003D353A" w:rsidRPr="00631F21" w:rsidRDefault="003D353A" w:rsidP="00631F21">
      <w:pPr>
        <w:spacing w:line="276" w:lineRule="auto"/>
        <w:jc w:val="center"/>
        <w:rPr>
          <w:rFonts w:ascii="Arial" w:hAnsi="Arial" w:cs="Arial"/>
          <w:b/>
          <w:i/>
          <w:lang w:val="en-US"/>
        </w:rPr>
      </w:pPr>
    </w:p>
    <w:p w14:paraId="4D027047" w14:textId="77777777" w:rsidR="00895831" w:rsidRDefault="00895831" w:rsidP="00631F21">
      <w:pPr>
        <w:spacing w:line="276" w:lineRule="auto"/>
        <w:jc w:val="both"/>
        <w:rPr>
          <w:rFonts w:ascii="Arial" w:hAnsi="Arial" w:cs="Arial"/>
          <w:b/>
        </w:rPr>
      </w:pPr>
    </w:p>
    <w:p w14:paraId="719A2670" w14:textId="77777777" w:rsidR="004210DB" w:rsidRPr="00631F21" w:rsidRDefault="004210DB" w:rsidP="00631F21">
      <w:pPr>
        <w:spacing w:line="276" w:lineRule="auto"/>
        <w:jc w:val="both"/>
        <w:rPr>
          <w:rFonts w:ascii="Arial" w:hAnsi="Arial" w:cs="Arial"/>
          <w:b/>
        </w:rPr>
      </w:pPr>
      <w:r w:rsidRPr="00631F21">
        <w:rPr>
          <w:rFonts w:ascii="Arial" w:hAnsi="Arial" w:cs="Arial"/>
          <w:b/>
        </w:rPr>
        <w:t>RESUMO</w:t>
      </w:r>
    </w:p>
    <w:p w14:paraId="41C17DF0" w14:textId="77777777" w:rsidR="00A1083F" w:rsidRPr="00631F21" w:rsidRDefault="004210DB" w:rsidP="00631F21">
      <w:pPr>
        <w:spacing w:line="276" w:lineRule="auto"/>
        <w:jc w:val="both"/>
        <w:rPr>
          <w:rFonts w:ascii="Arial" w:hAnsi="Arial" w:cs="Arial"/>
        </w:rPr>
      </w:pPr>
      <w:r w:rsidRPr="00631F21">
        <w:rPr>
          <w:rFonts w:ascii="Arial" w:hAnsi="Arial" w:cs="Arial"/>
        </w:rPr>
        <w:t>O artigo analisa, sob a perspectiva da Análise Econômica do Direito (AED), o</w:t>
      </w:r>
      <w:r w:rsidR="00ED3B6A" w:rsidRPr="00631F21">
        <w:rPr>
          <w:rFonts w:ascii="Arial" w:hAnsi="Arial" w:cs="Arial"/>
        </w:rPr>
        <w:t>s</w:t>
      </w:r>
      <w:r w:rsidRPr="00631F21">
        <w:rPr>
          <w:rFonts w:ascii="Arial" w:hAnsi="Arial" w:cs="Arial"/>
        </w:rPr>
        <w:t xml:space="preserve"> impacto</w:t>
      </w:r>
      <w:r w:rsidR="00ED3B6A" w:rsidRPr="00631F21">
        <w:rPr>
          <w:rFonts w:ascii="Arial" w:hAnsi="Arial" w:cs="Arial"/>
        </w:rPr>
        <w:t>s</w:t>
      </w:r>
      <w:r w:rsidRPr="00631F21">
        <w:rPr>
          <w:rFonts w:ascii="Arial" w:hAnsi="Arial" w:cs="Arial"/>
        </w:rPr>
        <w:t xml:space="preserve"> da </w:t>
      </w:r>
      <w:r w:rsidR="00137E77">
        <w:rPr>
          <w:rFonts w:ascii="Arial" w:hAnsi="Arial" w:cs="Arial"/>
        </w:rPr>
        <w:t>guerra fiscal</w:t>
      </w:r>
      <w:r w:rsidR="00ED3B6A" w:rsidRPr="00631F21">
        <w:rPr>
          <w:rFonts w:ascii="Arial" w:hAnsi="Arial" w:cs="Arial"/>
        </w:rPr>
        <w:t xml:space="preserve"> e da Resolução n. 13/2012 do Senado Federal sobre a ordem econômica. Em um primeiro momento, </w:t>
      </w:r>
      <w:r w:rsidR="00134D2C">
        <w:rPr>
          <w:rFonts w:ascii="Arial" w:hAnsi="Arial" w:cs="Arial"/>
        </w:rPr>
        <w:t>explica</w:t>
      </w:r>
      <w:r w:rsidR="00ED3B6A" w:rsidRPr="00631F21">
        <w:rPr>
          <w:rFonts w:ascii="Arial" w:hAnsi="Arial" w:cs="Arial"/>
        </w:rPr>
        <w:t xml:space="preserve"> brevemente a sistemática de funcionamento do ICMS</w:t>
      </w:r>
      <w:r w:rsidR="00134D2C">
        <w:rPr>
          <w:rFonts w:ascii="Arial" w:hAnsi="Arial" w:cs="Arial"/>
        </w:rPr>
        <w:t xml:space="preserve"> e</w:t>
      </w:r>
      <w:r w:rsidR="00ED3B6A" w:rsidRPr="00631F21">
        <w:rPr>
          <w:rFonts w:ascii="Arial" w:hAnsi="Arial" w:cs="Arial"/>
        </w:rPr>
        <w:t xml:space="preserve"> a forma de concessão de benefícios fiscais pelos </w:t>
      </w:r>
      <w:r w:rsidR="00134D2C">
        <w:rPr>
          <w:rFonts w:ascii="Arial" w:hAnsi="Arial" w:cs="Arial"/>
        </w:rPr>
        <w:t>Estados</w:t>
      </w:r>
      <w:r w:rsidR="00ED3B6A" w:rsidRPr="00631F21">
        <w:rPr>
          <w:rFonts w:ascii="Arial" w:hAnsi="Arial" w:cs="Arial"/>
        </w:rPr>
        <w:t xml:space="preserve">. </w:t>
      </w:r>
      <w:r w:rsidR="00134D2C">
        <w:rPr>
          <w:rFonts w:ascii="Arial" w:hAnsi="Arial" w:cs="Arial"/>
        </w:rPr>
        <w:t>Em seguida</w:t>
      </w:r>
      <w:r w:rsidR="00ED3B6A" w:rsidRPr="00631F21">
        <w:rPr>
          <w:rFonts w:ascii="Arial" w:hAnsi="Arial" w:cs="Arial"/>
        </w:rPr>
        <w:t>, são apresentadas as mudanças trazidas pelas Resolução</w:t>
      </w:r>
      <w:r w:rsidR="00134D2C">
        <w:rPr>
          <w:rFonts w:ascii="Arial" w:hAnsi="Arial" w:cs="Arial"/>
        </w:rPr>
        <w:t xml:space="preserve"> do Senado</w:t>
      </w:r>
      <w:r w:rsidR="00ED3B6A" w:rsidRPr="00631F21">
        <w:rPr>
          <w:rFonts w:ascii="Arial" w:hAnsi="Arial" w:cs="Arial"/>
        </w:rPr>
        <w:t xml:space="preserve"> n. 13/2012 e como essas mudanças poderiam acabar com a </w:t>
      </w:r>
      <w:r w:rsidR="00137E77">
        <w:rPr>
          <w:rFonts w:ascii="Arial" w:hAnsi="Arial" w:cs="Arial"/>
        </w:rPr>
        <w:t>guerra fiscal</w:t>
      </w:r>
      <w:r w:rsidR="00ED3B6A" w:rsidRPr="00631F21">
        <w:rPr>
          <w:rFonts w:ascii="Arial" w:hAnsi="Arial" w:cs="Arial"/>
        </w:rPr>
        <w:t xml:space="preserve"> relacionada ao ICMS, especialmente com a </w:t>
      </w:r>
      <w:r w:rsidR="00137E77">
        <w:rPr>
          <w:rFonts w:ascii="Arial" w:hAnsi="Arial" w:cs="Arial"/>
        </w:rPr>
        <w:t>guerra dos portos</w:t>
      </w:r>
      <w:r w:rsidR="00ED3B6A" w:rsidRPr="00631F21">
        <w:rPr>
          <w:rFonts w:ascii="Arial" w:hAnsi="Arial" w:cs="Arial"/>
        </w:rPr>
        <w:t xml:space="preserve">. Antes de entrar na efetividade da resolução, é feita uma análise dos impactos da </w:t>
      </w:r>
      <w:r w:rsidR="00137E77">
        <w:rPr>
          <w:rFonts w:ascii="Arial" w:hAnsi="Arial" w:cs="Arial"/>
        </w:rPr>
        <w:t>guerra fiscal</w:t>
      </w:r>
      <w:r w:rsidR="00ED3B6A" w:rsidRPr="00631F21">
        <w:rPr>
          <w:rFonts w:ascii="Arial" w:hAnsi="Arial" w:cs="Arial"/>
        </w:rPr>
        <w:t xml:space="preserve"> no desenvolvimento do país, demonstrando-se que, ao contrário do que é frequentemente sustentado, a Guerra fiscal pode trazer benefícios, sobretudo em relação ao desenvolvimento das regiões menos industrializadas do país. Por fim, a eficácia da Resolução n. 13/2012 é analisada, tanto do ponto de vista da necessidade ou não de se terminar com a </w:t>
      </w:r>
      <w:r w:rsidR="00137E77">
        <w:rPr>
          <w:rFonts w:ascii="Arial" w:hAnsi="Arial" w:cs="Arial"/>
        </w:rPr>
        <w:t>guerra dos portos</w:t>
      </w:r>
      <w:r w:rsidR="00ED3B6A" w:rsidRPr="00631F21">
        <w:rPr>
          <w:rFonts w:ascii="Arial" w:hAnsi="Arial" w:cs="Arial"/>
        </w:rPr>
        <w:t xml:space="preserve">, quanto em relação aos efeitos colaterais da resolução. </w:t>
      </w:r>
    </w:p>
    <w:p w14:paraId="370945B7" w14:textId="77777777" w:rsidR="00DF2482" w:rsidRPr="00631F21" w:rsidRDefault="00DF2482" w:rsidP="00631F21">
      <w:pPr>
        <w:spacing w:line="276" w:lineRule="auto"/>
        <w:ind w:firstLine="851"/>
        <w:jc w:val="both"/>
        <w:rPr>
          <w:rFonts w:ascii="Arial" w:hAnsi="Arial" w:cs="Arial"/>
        </w:rPr>
      </w:pPr>
    </w:p>
    <w:p w14:paraId="79C45C09" w14:textId="77777777" w:rsidR="00DF2482" w:rsidRDefault="004D7EC1" w:rsidP="00631F21">
      <w:pPr>
        <w:spacing w:line="276" w:lineRule="auto"/>
        <w:jc w:val="both"/>
        <w:rPr>
          <w:rFonts w:ascii="Arial" w:hAnsi="Arial" w:cs="Arial"/>
        </w:rPr>
      </w:pPr>
      <w:r w:rsidRPr="00631F21">
        <w:rPr>
          <w:rFonts w:ascii="Arial" w:hAnsi="Arial" w:cs="Arial"/>
          <w:b/>
        </w:rPr>
        <w:t>PALAVRAS-CHAVE</w:t>
      </w:r>
      <w:r w:rsidR="00DF2482" w:rsidRPr="00631F21">
        <w:rPr>
          <w:rFonts w:ascii="Arial" w:hAnsi="Arial" w:cs="Arial"/>
          <w:b/>
        </w:rPr>
        <w:t xml:space="preserve">: </w:t>
      </w:r>
      <w:r w:rsidR="00134D2C">
        <w:rPr>
          <w:rFonts w:ascii="Arial" w:hAnsi="Arial" w:cs="Arial"/>
        </w:rPr>
        <w:t>Tributação</w:t>
      </w:r>
      <w:r w:rsidR="00ED3B6A" w:rsidRPr="00631F21">
        <w:rPr>
          <w:rFonts w:ascii="Arial" w:hAnsi="Arial" w:cs="Arial"/>
        </w:rPr>
        <w:t>.</w:t>
      </w:r>
      <w:r w:rsidR="00134D2C">
        <w:rPr>
          <w:rFonts w:ascii="Arial" w:hAnsi="Arial" w:cs="Arial"/>
        </w:rPr>
        <w:t xml:space="preserve"> </w:t>
      </w:r>
      <w:r w:rsidR="007F752B">
        <w:rPr>
          <w:rFonts w:ascii="Arial" w:hAnsi="Arial" w:cs="Arial"/>
        </w:rPr>
        <w:t>Análise econômica do Direito</w:t>
      </w:r>
      <w:r w:rsidR="00134D2C">
        <w:rPr>
          <w:rFonts w:ascii="Arial" w:hAnsi="Arial" w:cs="Arial"/>
        </w:rPr>
        <w:t>.</w:t>
      </w:r>
      <w:r w:rsidR="00ED3B6A" w:rsidRPr="00631F21">
        <w:rPr>
          <w:rFonts w:ascii="Arial" w:hAnsi="Arial" w:cs="Arial"/>
        </w:rPr>
        <w:t xml:space="preserve"> </w:t>
      </w:r>
      <w:r w:rsidR="00706E96">
        <w:rPr>
          <w:rFonts w:ascii="Arial" w:hAnsi="Arial" w:cs="Arial"/>
        </w:rPr>
        <w:t>Intervenção do Estado</w:t>
      </w:r>
      <w:r w:rsidR="00ED3B6A" w:rsidRPr="00631F21">
        <w:rPr>
          <w:rFonts w:ascii="Arial" w:hAnsi="Arial" w:cs="Arial"/>
        </w:rPr>
        <w:t xml:space="preserve">. </w:t>
      </w:r>
      <w:r w:rsidR="00706E96">
        <w:rPr>
          <w:rFonts w:ascii="Arial" w:hAnsi="Arial" w:cs="Arial"/>
        </w:rPr>
        <w:t>Guerra dos Portos</w:t>
      </w:r>
      <w:r w:rsidR="00ED3B6A" w:rsidRPr="00631F21">
        <w:rPr>
          <w:rFonts w:ascii="Arial" w:hAnsi="Arial" w:cs="Arial"/>
        </w:rPr>
        <w:t>. Desenvolvimento</w:t>
      </w:r>
      <w:r w:rsidR="00FC7A1E" w:rsidRPr="00631F21">
        <w:rPr>
          <w:rFonts w:ascii="Arial" w:hAnsi="Arial" w:cs="Arial"/>
        </w:rPr>
        <w:t>.</w:t>
      </w:r>
    </w:p>
    <w:p w14:paraId="7D0BCE4F" w14:textId="77777777" w:rsidR="0006004B" w:rsidRDefault="0006004B" w:rsidP="00631F21">
      <w:pPr>
        <w:spacing w:line="276" w:lineRule="auto"/>
        <w:jc w:val="both"/>
        <w:rPr>
          <w:rFonts w:ascii="Arial" w:hAnsi="Arial" w:cs="Arial"/>
        </w:rPr>
      </w:pPr>
    </w:p>
    <w:p w14:paraId="48F6B571" w14:textId="77777777" w:rsidR="0006004B" w:rsidRPr="00631F21" w:rsidRDefault="0006004B" w:rsidP="00631F21">
      <w:pPr>
        <w:spacing w:line="276" w:lineRule="auto"/>
        <w:jc w:val="both"/>
        <w:rPr>
          <w:rFonts w:ascii="Arial" w:hAnsi="Arial" w:cs="Arial"/>
        </w:rPr>
      </w:pPr>
      <w:r w:rsidRPr="0006004B">
        <w:rPr>
          <w:rFonts w:ascii="Arial" w:hAnsi="Arial" w:cs="Arial"/>
          <w:b/>
        </w:rPr>
        <w:t>JEL</w:t>
      </w:r>
      <w:r>
        <w:rPr>
          <w:rFonts w:ascii="Arial" w:hAnsi="Arial" w:cs="Arial"/>
        </w:rPr>
        <w:t>: K</w:t>
      </w:r>
      <w:r w:rsidR="00405FE2">
        <w:rPr>
          <w:rFonts w:ascii="Arial" w:hAnsi="Arial" w:cs="Arial"/>
        </w:rPr>
        <w:t>34</w:t>
      </w:r>
    </w:p>
    <w:p w14:paraId="3B9B9CEC" w14:textId="77777777" w:rsidR="00DF2482" w:rsidRPr="00631F21" w:rsidRDefault="00DF2482" w:rsidP="00631F21">
      <w:pPr>
        <w:spacing w:line="276" w:lineRule="auto"/>
        <w:jc w:val="both"/>
        <w:rPr>
          <w:rFonts w:ascii="Arial" w:hAnsi="Arial" w:cs="Arial"/>
        </w:rPr>
      </w:pPr>
    </w:p>
    <w:p w14:paraId="5BDFE0A6" w14:textId="77777777" w:rsidR="00DF2482" w:rsidRPr="00631F21" w:rsidRDefault="00DF2482" w:rsidP="00631F21">
      <w:pPr>
        <w:spacing w:line="276" w:lineRule="auto"/>
        <w:jc w:val="both"/>
        <w:rPr>
          <w:rFonts w:ascii="Arial" w:hAnsi="Arial" w:cs="Arial"/>
          <w:b/>
        </w:rPr>
      </w:pPr>
      <w:r w:rsidRPr="00631F21">
        <w:rPr>
          <w:rFonts w:ascii="Arial" w:hAnsi="Arial" w:cs="Arial"/>
          <w:b/>
        </w:rPr>
        <w:t>ABSTRACT</w:t>
      </w:r>
    </w:p>
    <w:p w14:paraId="36BA351E" w14:textId="77777777" w:rsidR="00D55608" w:rsidRPr="00631F21" w:rsidRDefault="00ED3B6A" w:rsidP="00631F21">
      <w:pPr>
        <w:spacing w:line="276" w:lineRule="auto"/>
        <w:jc w:val="both"/>
        <w:rPr>
          <w:rFonts w:ascii="Arial" w:hAnsi="Arial" w:cs="Arial"/>
          <w:lang w:val="en-US"/>
        </w:rPr>
      </w:pPr>
      <w:r w:rsidRPr="00631F21">
        <w:rPr>
          <w:rFonts w:ascii="Arial" w:hAnsi="Arial" w:cs="Arial"/>
          <w:lang w:val="en-US"/>
        </w:rPr>
        <w:t>The article analyzes, from the perspective of Economic Analysis of Law, the impacts of Tax War and Senate Resolution n. 13/2012 on the economy. At first, the systematic of the ICMS is demonstrated, as well as the form that the states grant tax reductions. Soon after, the changes brought by Resolution no. 13/2012 and how these changes could end the War Tax related to ICMS, especially with the Port War, are presented. Before analyzing the effectiveness of that resolution, an analysis of the impacts of Tax War on Brazil’s economic development is made, demonstrating that, contrary to what is often supported, the Tax War may bring benefits, particularly in relation to less developed regions of Brazil. Finally, the efficacy of Resolution n. 13/2012 is analyzed from the point of view of the necessity or not of ending the Port War, as well in relation the side effects of the resolution.</w:t>
      </w:r>
    </w:p>
    <w:p w14:paraId="2094A08F" w14:textId="77777777" w:rsidR="00ED3B6A" w:rsidRPr="00631F21" w:rsidRDefault="00ED3B6A" w:rsidP="00631F21">
      <w:pPr>
        <w:spacing w:line="276" w:lineRule="auto"/>
        <w:jc w:val="both"/>
        <w:rPr>
          <w:rFonts w:ascii="Arial" w:hAnsi="Arial" w:cs="Arial"/>
          <w:b/>
          <w:lang w:val="en-US"/>
        </w:rPr>
      </w:pPr>
    </w:p>
    <w:p w14:paraId="00E04D91" w14:textId="77777777" w:rsidR="004210DB" w:rsidRPr="007F752B" w:rsidRDefault="00DF2482" w:rsidP="004759D3">
      <w:pPr>
        <w:spacing w:line="276" w:lineRule="auto"/>
        <w:jc w:val="both"/>
        <w:rPr>
          <w:rFonts w:ascii="Arial" w:hAnsi="Arial" w:cs="Arial"/>
          <w:lang w:val="en-US"/>
        </w:rPr>
      </w:pPr>
      <w:r w:rsidRPr="00631F21">
        <w:rPr>
          <w:rFonts w:ascii="Arial" w:hAnsi="Arial" w:cs="Arial"/>
          <w:b/>
          <w:lang w:val="en-US"/>
        </w:rPr>
        <w:lastRenderedPageBreak/>
        <w:t>KEYWORDS:</w:t>
      </w:r>
      <w:r w:rsidRPr="00631F21">
        <w:rPr>
          <w:rFonts w:ascii="Arial" w:hAnsi="Arial" w:cs="Arial"/>
          <w:lang w:val="en-US"/>
        </w:rPr>
        <w:t xml:space="preserve"> </w:t>
      </w:r>
      <w:r w:rsidR="00134D2C">
        <w:rPr>
          <w:rFonts w:ascii="Arial" w:hAnsi="Arial" w:cs="Arial"/>
          <w:lang w:val="en-US"/>
        </w:rPr>
        <w:t xml:space="preserve">Taxation. </w:t>
      </w:r>
      <w:r w:rsidR="007F752B">
        <w:rPr>
          <w:rFonts w:ascii="Arial" w:hAnsi="Arial" w:cs="Arial"/>
          <w:lang w:val="en-US"/>
        </w:rPr>
        <w:t>Law and Economics</w:t>
      </w:r>
      <w:r w:rsidR="00ED3B6A" w:rsidRPr="00631F21">
        <w:rPr>
          <w:rFonts w:ascii="Arial" w:hAnsi="Arial" w:cs="Arial"/>
          <w:lang w:val="en-US"/>
        </w:rPr>
        <w:t xml:space="preserve">. </w:t>
      </w:r>
      <w:r w:rsidR="00706E96">
        <w:rPr>
          <w:rFonts w:ascii="Arial" w:hAnsi="Arial" w:cs="Arial"/>
          <w:lang w:val="en-US"/>
        </w:rPr>
        <w:t>State intervention</w:t>
      </w:r>
      <w:r w:rsidR="00ED3B6A" w:rsidRPr="00631F21">
        <w:rPr>
          <w:rFonts w:ascii="Arial" w:hAnsi="Arial" w:cs="Arial"/>
          <w:lang w:val="en-US"/>
        </w:rPr>
        <w:t xml:space="preserve">. </w:t>
      </w:r>
      <w:r w:rsidR="00706E96">
        <w:rPr>
          <w:rFonts w:ascii="Arial" w:hAnsi="Arial" w:cs="Arial"/>
          <w:lang w:val="en-US"/>
        </w:rPr>
        <w:t>Ports war</w:t>
      </w:r>
      <w:r w:rsidR="00ED3B6A" w:rsidRPr="00631F21">
        <w:rPr>
          <w:rFonts w:ascii="Arial" w:hAnsi="Arial" w:cs="Arial"/>
          <w:lang w:val="en-US"/>
        </w:rPr>
        <w:t>. Development.</w:t>
      </w:r>
    </w:p>
    <w:p w14:paraId="380C6F52" w14:textId="77777777" w:rsidR="00DE0DB5" w:rsidRDefault="00DE0DB5" w:rsidP="002B0C6F">
      <w:pPr>
        <w:pStyle w:val="ListParagraph"/>
        <w:spacing w:line="276" w:lineRule="auto"/>
        <w:ind w:left="0"/>
        <w:jc w:val="both"/>
        <w:rPr>
          <w:rFonts w:ascii="Arial" w:hAnsi="Arial" w:cs="Arial"/>
          <w:b/>
        </w:rPr>
      </w:pPr>
    </w:p>
    <w:p w14:paraId="501766BE" w14:textId="77777777" w:rsidR="004A70E1" w:rsidRDefault="001F209B" w:rsidP="002B0C6F">
      <w:pPr>
        <w:pStyle w:val="ListParagraph"/>
        <w:spacing w:line="276" w:lineRule="auto"/>
        <w:ind w:left="0"/>
        <w:jc w:val="both"/>
        <w:rPr>
          <w:rFonts w:ascii="Arial" w:hAnsi="Arial" w:cs="Arial"/>
          <w:b/>
        </w:rPr>
      </w:pPr>
      <w:r w:rsidRPr="00631F21">
        <w:rPr>
          <w:rFonts w:ascii="Arial" w:hAnsi="Arial" w:cs="Arial"/>
          <w:b/>
        </w:rPr>
        <w:t xml:space="preserve">1. </w:t>
      </w:r>
      <w:r w:rsidR="00A71F0D" w:rsidRPr="00631F21">
        <w:rPr>
          <w:rFonts w:ascii="Arial" w:hAnsi="Arial" w:cs="Arial"/>
          <w:b/>
        </w:rPr>
        <w:t>Introdução</w:t>
      </w:r>
      <w:r w:rsidR="00895831">
        <w:rPr>
          <w:rFonts w:ascii="Arial" w:hAnsi="Arial" w:cs="Arial"/>
          <w:b/>
        </w:rPr>
        <w:t>.</w:t>
      </w:r>
    </w:p>
    <w:p w14:paraId="2CCD770B" w14:textId="77777777" w:rsidR="00A36CF7" w:rsidRPr="00631F21" w:rsidRDefault="00A36CF7" w:rsidP="00631F21">
      <w:pPr>
        <w:pStyle w:val="ListParagraph"/>
        <w:spacing w:line="276" w:lineRule="auto"/>
        <w:ind w:left="698" w:firstLine="720"/>
        <w:jc w:val="both"/>
        <w:rPr>
          <w:rFonts w:ascii="Arial" w:hAnsi="Arial" w:cs="Arial"/>
        </w:rPr>
      </w:pPr>
    </w:p>
    <w:p w14:paraId="615CA9AD" w14:textId="77777777" w:rsidR="00D65C86" w:rsidRPr="00631F21" w:rsidRDefault="00237DEA" w:rsidP="00134D2C">
      <w:pPr>
        <w:spacing w:line="276" w:lineRule="auto"/>
        <w:ind w:firstLine="1418"/>
        <w:jc w:val="both"/>
        <w:rPr>
          <w:rFonts w:ascii="Arial" w:hAnsi="Arial" w:cs="Arial"/>
        </w:rPr>
      </w:pPr>
      <w:r w:rsidRPr="00631F21">
        <w:rPr>
          <w:rFonts w:ascii="Arial" w:hAnsi="Arial" w:cs="Arial"/>
        </w:rPr>
        <w:t xml:space="preserve">Para que </w:t>
      </w:r>
      <w:r w:rsidR="00134D2C" w:rsidRPr="00631F21">
        <w:rPr>
          <w:rFonts w:ascii="Arial" w:hAnsi="Arial" w:cs="Arial"/>
        </w:rPr>
        <w:t>sejam concretizados</w:t>
      </w:r>
      <w:r w:rsidR="00134D2C">
        <w:rPr>
          <w:rFonts w:ascii="Arial" w:hAnsi="Arial" w:cs="Arial"/>
        </w:rPr>
        <w:t xml:space="preserve"> os</w:t>
      </w:r>
      <w:r w:rsidRPr="00631F21">
        <w:rPr>
          <w:rFonts w:ascii="Arial" w:hAnsi="Arial" w:cs="Arial"/>
        </w:rPr>
        <w:t xml:space="preserve"> </w:t>
      </w:r>
      <w:r w:rsidR="00134D2C">
        <w:rPr>
          <w:rFonts w:ascii="Arial" w:hAnsi="Arial" w:cs="Arial"/>
        </w:rPr>
        <w:t>O</w:t>
      </w:r>
      <w:r w:rsidRPr="00631F21">
        <w:rPr>
          <w:rFonts w:ascii="Arial" w:hAnsi="Arial" w:cs="Arial"/>
        </w:rPr>
        <w:t>bjetivos</w:t>
      </w:r>
      <w:r w:rsidR="001279B9" w:rsidRPr="00631F21">
        <w:rPr>
          <w:rFonts w:ascii="Arial" w:hAnsi="Arial" w:cs="Arial"/>
        </w:rPr>
        <w:t xml:space="preserve"> </w:t>
      </w:r>
      <w:r w:rsidR="00134D2C">
        <w:rPr>
          <w:rFonts w:ascii="Arial" w:hAnsi="Arial" w:cs="Arial"/>
        </w:rPr>
        <w:t xml:space="preserve">Fundamentais </w:t>
      </w:r>
      <w:r w:rsidR="001279B9" w:rsidRPr="00631F21">
        <w:rPr>
          <w:rFonts w:ascii="Arial" w:hAnsi="Arial" w:cs="Arial"/>
        </w:rPr>
        <w:t xml:space="preserve">da </w:t>
      </w:r>
      <w:r w:rsidR="00134D2C">
        <w:rPr>
          <w:rFonts w:ascii="Arial" w:hAnsi="Arial" w:cs="Arial"/>
        </w:rPr>
        <w:t>R</w:t>
      </w:r>
      <w:r w:rsidR="001279B9" w:rsidRPr="00631F21">
        <w:rPr>
          <w:rFonts w:ascii="Arial" w:hAnsi="Arial" w:cs="Arial"/>
        </w:rPr>
        <w:t>epública</w:t>
      </w:r>
      <w:r w:rsidR="00134D2C">
        <w:rPr>
          <w:rFonts w:ascii="Arial" w:hAnsi="Arial" w:cs="Arial"/>
        </w:rPr>
        <w:t>, previstos no artigo</w:t>
      </w:r>
      <w:r w:rsidR="001279B9" w:rsidRPr="00631F21">
        <w:rPr>
          <w:rFonts w:ascii="Arial" w:hAnsi="Arial" w:cs="Arial"/>
        </w:rPr>
        <w:t xml:space="preserve"> 3</w:t>
      </w:r>
      <w:r w:rsidR="00134D2C">
        <w:rPr>
          <w:rFonts w:ascii="Arial" w:hAnsi="Arial" w:cs="Arial"/>
        </w:rPr>
        <w:t>.</w:t>
      </w:r>
      <w:r w:rsidR="001279B9" w:rsidRPr="00631F21">
        <w:rPr>
          <w:rFonts w:ascii="Arial" w:hAnsi="Arial" w:cs="Arial"/>
        </w:rPr>
        <w:t>º da Constituição Federa</w:t>
      </w:r>
      <w:r w:rsidR="00134D2C">
        <w:rPr>
          <w:rFonts w:ascii="Arial" w:hAnsi="Arial" w:cs="Arial"/>
        </w:rPr>
        <w:t>l</w:t>
      </w:r>
      <w:r w:rsidRPr="00631F21">
        <w:rPr>
          <w:rFonts w:ascii="Arial" w:hAnsi="Arial" w:cs="Arial"/>
        </w:rPr>
        <w:t>,</w:t>
      </w:r>
      <w:r w:rsidR="00134D2C">
        <w:rPr>
          <w:rFonts w:ascii="Arial" w:hAnsi="Arial" w:cs="Arial"/>
        </w:rPr>
        <w:t xml:space="preserve"> e sejam promovidos os Direitos Fundamentais,</w:t>
      </w:r>
      <w:r w:rsidR="00973C41" w:rsidRPr="00631F21">
        <w:rPr>
          <w:rFonts w:ascii="Arial" w:hAnsi="Arial" w:cs="Arial"/>
        </w:rPr>
        <w:t xml:space="preserve"> o Estado n</w:t>
      </w:r>
      <w:r w:rsidR="00134D2C">
        <w:rPr>
          <w:rFonts w:ascii="Arial" w:hAnsi="Arial" w:cs="Arial"/>
        </w:rPr>
        <w:t>ecessita de recursos financeiros,</w:t>
      </w:r>
      <w:r w:rsidR="00973C41" w:rsidRPr="00631F21">
        <w:rPr>
          <w:rFonts w:ascii="Arial" w:hAnsi="Arial" w:cs="Arial"/>
        </w:rPr>
        <w:t xml:space="preserve"> </w:t>
      </w:r>
      <w:r w:rsidR="00BD62E9" w:rsidRPr="00631F21">
        <w:rPr>
          <w:rFonts w:ascii="Arial" w:hAnsi="Arial" w:cs="Arial"/>
        </w:rPr>
        <w:t>e</w:t>
      </w:r>
      <w:r w:rsidR="006C2D3C" w:rsidRPr="00631F21">
        <w:rPr>
          <w:rFonts w:ascii="Arial" w:hAnsi="Arial" w:cs="Arial"/>
        </w:rPr>
        <w:t xml:space="preserve"> </w:t>
      </w:r>
      <w:r w:rsidR="0094752F" w:rsidRPr="00631F21">
        <w:rPr>
          <w:rFonts w:ascii="Arial" w:hAnsi="Arial" w:cs="Arial"/>
        </w:rPr>
        <w:t>a</w:t>
      </w:r>
      <w:r w:rsidR="00973C41" w:rsidRPr="00631F21">
        <w:rPr>
          <w:rFonts w:ascii="Arial" w:hAnsi="Arial" w:cs="Arial"/>
        </w:rPr>
        <w:t xml:space="preserve"> principal </w:t>
      </w:r>
      <w:r w:rsidR="0094752F" w:rsidRPr="00631F21">
        <w:rPr>
          <w:rFonts w:ascii="Arial" w:hAnsi="Arial" w:cs="Arial"/>
        </w:rPr>
        <w:t>forma de obtê-los é por meio da instituição e arrecadação de tributos.</w:t>
      </w:r>
      <w:r w:rsidR="00F14345" w:rsidRPr="00631F21">
        <w:rPr>
          <w:rFonts w:ascii="Arial" w:hAnsi="Arial" w:cs="Arial"/>
        </w:rPr>
        <w:t xml:space="preserve"> </w:t>
      </w:r>
      <w:r w:rsidR="007E34A5" w:rsidRPr="00631F21">
        <w:rPr>
          <w:rFonts w:ascii="Arial" w:hAnsi="Arial" w:cs="Arial"/>
        </w:rPr>
        <w:t xml:space="preserve">Assim, pode-se dizer que a carga tributária total exigida da sociedade está diretamente ligada ao </w:t>
      </w:r>
      <w:r w:rsidR="007E34A5" w:rsidRPr="00405FE2">
        <w:rPr>
          <w:rFonts w:ascii="Arial" w:hAnsi="Arial" w:cs="Arial"/>
        </w:rPr>
        <w:t>“</w:t>
      </w:r>
      <w:r w:rsidR="00405FE2">
        <w:rPr>
          <w:rFonts w:ascii="Arial" w:hAnsi="Arial" w:cs="Arial"/>
        </w:rPr>
        <w:t>...</w:t>
      </w:r>
      <w:r w:rsidR="007E34A5" w:rsidRPr="00405FE2">
        <w:rPr>
          <w:rFonts w:ascii="Arial" w:hAnsi="Arial" w:cs="Arial"/>
        </w:rPr>
        <w:t>tamanho do dever estatal perante a sociedade</w:t>
      </w:r>
      <w:r w:rsidR="00D65C86" w:rsidRPr="00405FE2">
        <w:rPr>
          <w:rFonts w:ascii="Arial" w:hAnsi="Arial" w:cs="Arial"/>
        </w:rPr>
        <w:t>”</w:t>
      </w:r>
      <w:r w:rsidR="00405FE2">
        <w:rPr>
          <w:rFonts w:ascii="Arial" w:hAnsi="Arial" w:cs="Arial"/>
        </w:rPr>
        <w:t xml:space="preserve"> (Medeiros, 2009, p. 6)</w:t>
      </w:r>
      <w:r w:rsidR="00F221F6" w:rsidRPr="00631F21">
        <w:rPr>
          <w:rFonts w:ascii="Arial" w:hAnsi="Arial" w:cs="Arial"/>
        </w:rPr>
        <w:t>.</w:t>
      </w:r>
      <w:r w:rsidR="00134D2C">
        <w:rPr>
          <w:rFonts w:ascii="Arial" w:hAnsi="Arial" w:cs="Arial"/>
        </w:rPr>
        <w:t xml:space="preserve"> A</w:t>
      </w:r>
      <w:r w:rsidR="005959F0" w:rsidRPr="00631F21">
        <w:rPr>
          <w:rFonts w:ascii="Arial" w:hAnsi="Arial" w:cs="Arial"/>
        </w:rPr>
        <w:t xml:space="preserve"> função </w:t>
      </w:r>
      <w:r w:rsidR="00134D2C">
        <w:rPr>
          <w:rFonts w:ascii="Arial" w:hAnsi="Arial" w:cs="Arial"/>
        </w:rPr>
        <w:t>clássica</w:t>
      </w:r>
      <w:r w:rsidR="005959F0" w:rsidRPr="00631F21">
        <w:rPr>
          <w:rFonts w:ascii="Arial" w:hAnsi="Arial" w:cs="Arial"/>
        </w:rPr>
        <w:t xml:space="preserve"> dos tributos é permitir que </w:t>
      </w:r>
      <w:r w:rsidR="00D65C86" w:rsidRPr="00631F21">
        <w:rPr>
          <w:rFonts w:ascii="Arial" w:hAnsi="Arial" w:cs="Arial"/>
        </w:rPr>
        <w:t>o Estado tenha recursos para suportar os g</w:t>
      </w:r>
      <w:r w:rsidR="002E22C6" w:rsidRPr="00631F21">
        <w:rPr>
          <w:rFonts w:ascii="Arial" w:hAnsi="Arial" w:cs="Arial"/>
        </w:rPr>
        <w:t>astos públicos</w:t>
      </w:r>
      <w:r w:rsidR="00134D2C">
        <w:rPr>
          <w:rFonts w:ascii="Arial" w:hAnsi="Arial" w:cs="Arial"/>
        </w:rPr>
        <w:t xml:space="preserve">, </w:t>
      </w:r>
      <w:r w:rsidR="005959F0" w:rsidRPr="00631F21">
        <w:rPr>
          <w:rFonts w:ascii="Arial" w:hAnsi="Arial" w:cs="Arial"/>
        </w:rPr>
        <w:t xml:space="preserve">o que se denomina </w:t>
      </w:r>
      <w:r w:rsidR="00134D2C">
        <w:rPr>
          <w:rFonts w:ascii="Arial" w:hAnsi="Arial" w:cs="Arial"/>
        </w:rPr>
        <w:t xml:space="preserve">função </w:t>
      </w:r>
      <w:r w:rsidR="00F221F6" w:rsidRPr="00631F21">
        <w:rPr>
          <w:rFonts w:ascii="Arial" w:hAnsi="Arial" w:cs="Arial"/>
        </w:rPr>
        <w:t>fiscal dos tributos.</w:t>
      </w:r>
    </w:p>
    <w:p w14:paraId="3AE63308" w14:textId="77777777" w:rsidR="004209BF" w:rsidRPr="00631F21" w:rsidRDefault="004209BF" w:rsidP="00631F21">
      <w:pPr>
        <w:spacing w:line="276" w:lineRule="auto"/>
        <w:ind w:firstLine="1418"/>
        <w:jc w:val="both"/>
        <w:rPr>
          <w:rFonts w:ascii="Arial" w:hAnsi="Arial" w:cs="Arial"/>
        </w:rPr>
      </w:pPr>
      <w:r w:rsidRPr="00631F21">
        <w:rPr>
          <w:rFonts w:ascii="Arial" w:hAnsi="Arial" w:cs="Arial"/>
        </w:rPr>
        <w:t xml:space="preserve">A Constituição </w:t>
      </w:r>
      <w:r w:rsidR="00134D2C">
        <w:rPr>
          <w:rFonts w:ascii="Arial" w:hAnsi="Arial" w:cs="Arial"/>
        </w:rPr>
        <w:t xml:space="preserve">prevê dois modos </w:t>
      </w:r>
      <w:r w:rsidRPr="00631F21">
        <w:rPr>
          <w:rFonts w:ascii="Arial" w:hAnsi="Arial" w:cs="Arial"/>
        </w:rPr>
        <w:t xml:space="preserve">principais </w:t>
      </w:r>
      <w:r w:rsidR="00134D2C">
        <w:rPr>
          <w:rFonts w:ascii="Arial" w:hAnsi="Arial" w:cs="Arial"/>
        </w:rPr>
        <w:t>de</w:t>
      </w:r>
      <w:r w:rsidRPr="00631F21">
        <w:rPr>
          <w:rFonts w:ascii="Arial" w:hAnsi="Arial" w:cs="Arial"/>
        </w:rPr>
        <w:t xml:space="preserve"> repartição das receitas tributárias entre União, Estados, Distrito Federal e Municípios:</w:t>
      </w:r>
      <w:r w:rsidR="006444C2" w:rsidRPr="00631F21">
        <w:rPr>
          <w:rFonts w:ascii="Arial" w:hAnsi="Arial" w:cs="Arial"/>
        </w:rPr>
        <w:t xml:space="preserve"> repartição da competência t</w:t>
      </w:r>
      <w:r w:rsidR="00134D2C">
        <w:rPr>
          <w:rFonts w:ascii="Arial" w:hAnsi="Arial" w:cs="Arial"/>
        </w:rPr>
        <w:t xml:space="preserve">ributária, isto é, a </w:t>
      </w:r>
      <w:r w:rsidRPr="00631F21">
        <w:rPr>
          <w:rFonts w:ascii="Arial" w:hAnsi="Arial" w:cs="Arial"/>
        </w:rPr>
        <w:t xml:space="preserve">possibilidade de </w:t>
      </w:r>
      <w:r w:rsidR="006444C2" w:rsidRPr="00631F21">
        <w:rPr>
          <w:rFonts w:ascii="Arial" w:hAnsi="Arial" w:cs="Arial"/>
        </w:rPr>
        <w:t xml:space="preserve">instituir e </w:t>
      </w:r>
      <w:r w:rsidR="00134D2C">
        <w:rPr>
          <w:rFonts w:ascii="Arial" w:hAnsi="Arial" w:cs="Arial"/>
        </w:rPr>
        <w:t>cobrar tributos,</w:t>
      </w:r>
      <w:r w:rsidR="006444C2" w:rsidRPr="00631F21">
        <w:rPr>
          <w:rFonts w:ascii="Arial" w:hAnsi="Arial" w:cs="Arial"/>
        </w:rPr>
        <w:t xml:space="preserve"> e </w:t>
      </w:r>
      <w:r w:rsidRPr="00631F21">
        <w:rPr>
          <w:rFonts w:ascii="Arial" w:hAnsi="Arial" w:cs="Arial"/>
        </w:rPr>
        <w:t xml:space="preserve">distribuição do resultado da arrecadação tributária, de forma direta </w:t>
      </w:r>
      <w:r w:rsidR="00134D2C">
        <w:rPr>
          <w:rFonts w:ascii="Arial" w:hAnsi="Arial" w:cs="Arial"/>
        </w:rPr>
        <w:t xml:space="preserve"> via repasses </w:t>
      </w:r>
      <w:r w:rsidRPr="00631F21">
        <w:rPr>
          <w:rFonts w:ascii="Arial" w:hAnsi="Arial" w:cs="Arial"/>
        </w:rPr>
        <w:t xml:space="preserve">ou indireta, </w:t>
      </w:r>
      <w:r w:rsidR="00134D2C">
        <w:rPr>
          <w:rFonts w:ascii="Arial" w:hAnsi="Arial" w:cs="Arial"/>
        </w:rPr>
        <w:t>por meio</w:t>
      </w:r>
      <w:r w:rsidRPr="00631F21">
        <w:rPr>
          <w:rFonts w:ascii="Arial" w:hAnsi="Arial" w:cs="Arial"/>
        </w:rPr>
        <w:t xml:space="preserve"> da intermediação dos fundos de partição, tanto dos </w:t>
      </w:r>
      <w:r w:rsidR="00134D2C">
        <w:rPr>
          <w:rFonts w:ascii="Arial" w:hAnsi="Arial" w:cs="Arial"/>
        </w:rPr>
        <w:t>E</w:t>
      </w:r>
      <w:r w:rsidRPr="00631F21">
        <w:rPr>
          <w:rFonts w:ascii="Arial" w:hAnsi="Arial" w:cs="Arial"/>
        </w:rPr>
        <w:t xml:space="preserve">stados (FPE) quanto os </w:t>
      </w:r>
      <w:r w:rsidR="00134D2C">
        <w:rPr>
          <w:rFonts w:ascii="Arial" w:hAnsi="Arial" w:cs="Arial"/>
        </w:rPr>
        <w:t>M</w:t>
      </w:r>
      <w:r w:rsidRPr="00631F21">
        <w:rPr>
          <w:rFonts w:ascii="Arial" w:hAnsi="Arial" w:cs="Arial"/>
        </w:rPr>
        <w:t>unicípios (FPM).</w:t>
      </w:r>
    </w:p>
    <w:p w14:paraId="2C4083F0" w14:textId="77777777" w:rsidR="00542B2D" w:rsidRPr="00631F21" w:rsidRDefault="00542B2D" w:rsidP="00631F21">
      <w:pPr>
        <w:spacing w:line="276" w:lineRule="auto"/>
        <w:ind w:firstLine="1418"/>
        <w:jc w:val="both"/>
        <w:rPr>
          <w:rFonts w:ascii="Arial" w:hAnsi="Arial" w:cs="Arial"/>
        </w:rPr>
      </w:pPr>
      <w:r w:rsidRPr="00631F21">
        <w:rPr>
          <w:rFonts w:ascii="Arial" w:hAnsi="Arial" w:cs="Arial"/>
        </w:rPr>
        <w:t xml:space="preserve">A guerra fiscal surge quando há competição na arrecadação de </w:t>
      </w:r>
      <w:r w:rsidR="00134D2C">
        <w:rPr>
          <w:rFonts w:ascii="Arial" w:hAnsi="Arial" w:cs="Arial"/>
        </w:rPr>
        <w:t>impostos e</w:t>
      </w:r>
      <w:r w:rsidRPr="00631F21">
        <w:rPr>
          <w:rFonts w:ascii="Arial" w:hAnsi="Arial" w:cs="Arial"/>
        </w:rPr>
        <w:t xml:space="preserve">ntre </w:t>
      </w:r>
      <w:r w:rsidR="00134D2C">
        <w:rPr>
          <w:rFonts w:ascii="Arial" w:hAnsi="Arial" w:cs="Arial"/>
        </w:rPr>
        <w:t>E</w:t>
      </w:r>
      <w:r w:rsidRPr="00631F21">
        <w:rPr>
          <w:rFonts w:ascii="Arial" w:hAnsi="Arial" w:cs="Arial"/>
        </w:rPr>
        <w:t xml:space="preserve">stados ou </w:t>
      </w:r>
      <w:r w:rsidR="00134D2C">
        <w:rPr>
          <w:rFonts w:ascii="Arial" w:hAnsi="Arial" w:cs="Arial"/>
        </w:rPr>
        <w:t>M</w:t>
      </w:r>
      <w:r w:rsidRPr="00631F21">
        <w:rPr>
          <w:rFonts w:ascii="Arial" w:hAnsi="Arial" w:cs="Arial"/>
        </w:rPr>
        <w:t xml:space="preserve">unicípios. Nos últimos anos, a guerra fiscal entre </w:t>
      </w:r>
      <w:r w:rsidR="00134D2C">
        <w:rPr>
          <w:rFonts w:ascii="Arial" w:hAnsi="Arial" w:cs="Arial"/>
        </w:rPr>
        <w:t>E</w:t>
      </w:r>
      <w:r w:rsidRPr="00631F21">
        <w:rPr>
          <w:rFonts w:ascii="Arial" w:hAnsi="Arial" w:cs="Arial"/>
        </w:rPr>
        <w:t xml:space="preserve">stados vem se acentuando no que se refere aos benefícios fiscais na importação de mercadorias, especificamente pela redução do ICMS nessas operações. Essa disputa particular entre </w:t>
      </w:r>
      <w:r w:rsidR="00134D2C">
        <w:rPr>
          <w:rFonts w:ascii="Arial" w:hAnsi="Arial" w:cs="Arial"/>
        </w:rPr>
        <w:t>E</w:t>
      </w:r>
      <w:r w:rsidRPr="00631F21">
        <w:rPr>
          <w:rFonts w:ascii="Arial" w:hAnsi="Arial" w:cs="Arial"/>
        </w:rPr>
        <w:t>stados também é frequentemente denominada “</w:t>
      </w:r>
      <w:r w:rsidR="00137E77">
        <w:rPr>
          <w:rFonts w:ascii="Arial" w:hAnsi="Arial" w:cs="Arial"/>
        </w:rPr>
        <w:t>guerra dos portos</w:t>
      </w:r>
      <w:r w:rsidRPr="00631F21">
        <w:rPr>
          <w:rFonts w:ascii="Arial" w:hAnsi="Arial" w:cs="Arial"/>
        </w:rPr>
        <w:t>”.</w:t>
      </w:r>
    </w:p>
    <w:p w14:paraId="42125359" w14:textId="77777777" w:rsidR="00542B2D" w:rsidRPr="00631F21" w:rsidRDefault="00542B2D" w:rsidP="00631F21">
      <w:pPr>
        <w:spacing w:line="276" w:lineRule="auto"/>
        <w:ind w:firstLine="1418"/>
        <w:jc w:val="both"/>
        <w:rPr>
          <w:rFonts w:ascii="Arial" w:hAnsi="Arial" w:cs="Arial"/>
        </w:rPr>
      </w:pPr>
      <w:r w:rsidRPr="00631F21">
        <w:rPr>
          <w:rFonts w:ascii="Arial" w:hAnsi="Arial" w:cs="Arial"/>
        </w:rPr>
        <w:t xml:space="preserve">Com o intuito de acabar com essa disputa, o Senado Federal aprovou, em 2012, a Resolução n. 13, </w:t>
      </w:r>
      <w:r w:rsidR="00134D2C">
        <w:rPr>
          <w:rFonts w:ascii="Arial" w:hAnsi="Arial" w:cs="Arial"/>
        </w:rPr>
        <w:t>que</w:t>
      </w:r>
      <w:r w:rsidRPr="00631F21">
        <w:rPr>
          <w:rFonts w:ascii="Arial" w:hAnsi="Arial" w:cs="Arial"/>
        </w:rPr>
        <w:t xml:space="preserve"> entrou</w:t>
      </w:r>
      <w:r w:rsidR="006C2D3C" w:rsidRPr="00631F21">
        <w:rPr>
          <w:rFonts w:ascii="Arial" w:hAnsi="Arial" w:cs="Arial"/>
        </w:rPr>
        <w:t xml:space="preserve"> em vigor</w:t>
      </w:r>
      <w:r w:rsidRPr="00631F21">
        <w:rPr>
          <w:rFonts w:ascii="Arial" w:hAnsi="Arial" w:cs="Arial"/>
        </w:rPr>
        <w:t xml:space="preserve"> no dia 1º de janeiro deste ano. Contudo, tanto a forma escolhida para o combate da </w:t>
      </w:r>
      <w:r w:rsidR="00137E77">
        <w:rPr>
          <w:rFonts w:ascii="Arial" w:hAnsi="Arial" w:cs="Arial"/>
        </w:rPr>
        <w:t>guerra fiscal</w:t>
      </w:r>
      <w:r w:rsidRPr="00631F21">
        <w:rPr>
          <w:rFonts w:ascii="Arial" w:hAnsi="Arial" w:cs="Arial"/>
        </w:rPr>
        <w:t xml:space="preserve"> do ICMS, bem como sua eficácia, vêm sendo frequentemente questionadas.</w:t>
      </w:r>
    </w:p>
    <w:p w14:paraId="541449E8" w14:textId="77777777" w:rsidR="009174FF" w:rsidRPr="00631F21" w:rsidRDefault="00134D2C" w:rsidP="00631F21">
      <w:pPr>
        <w:spacing w:line="276" w:lineRule="auto"/>
        <w:ind w:firstLine="1418"/>
        <w:jc w:val="both"/>
        <w:rPr>
          <w:rFonts w:ascii="Arial" w:hAnsi="Arial" w:cs="Arial"/>
        </w:rPr>
      </w:pPr>
      <w:r>
        <w:rPr>
          <w:rFonts w:ascii="Arial" w:hAnsi="Arial" w:cs="Arial"/>
        </w:rPr>
        <w:t xml:space="preserve">O presente artigo intenta </w:t>
      </w:r>
      <w:r w:rsidR="00102312" w:rsidRPr="00631F21">
        <w:rPr>
          <w:rFonts w:ascii="Arial" w:hAnsi="Arial" w:cs="Arial"/>
        </w:rPr>
        <w:t xml:space="preserve">avaliar </w:t>
      </w:r>
      <w:r>
        <w:rPr>
          <w:rFonts w:ascii="Arial" w:hAnsi="Arial" w:cs="Arial"/>
        </w:rPr>
        <w:t>algum</w:t>
      </w:r>
      <w:r w:rsidR="00102312" w:rsidRPr="00631F21">
        <w:rPr>
          <w:rFonts w:ascii="Arial" w:hAnsi="Arial" w:cs="Arial"/>
        </w:rPr>
        <w:t xml:space="preserve">as consequências da </w:t>
      </w:r>
      <w:r w:rsidR="00137E77">
        <w:rPr>
          <w:rFonts w:ascii="Arial" w:hAnsi="Arial" w:cs="Arial"/>
        </w:rPr>
        <w:t>guerra dos portos</w:t>
      </w:r>
      <w:r w:rsidR="00102312" w:rsidRPr="00631F21">
        <w:rPr>
          <w:rFonts w:ascii="Arial" w:hAnsi="Arial" w:cs="Arial"/>
        </w:rPr>
        <w:t xml:space="preserve"> e a eficácia da Resolução n. 13/2012</w:t>
      </w:r>
      <w:r w:rsidR="003A70FA" w:rsidRPr="00631F21">
        <w:rPr>
          <w:rFonts w:ascii="Arial" w:hAnsi="Arial" w:cs="Arial"/>
        </w:rPr>
        <w:t xml:space="preserve">, </w:t>
      </w:r>
      <w:r>
        <w:rPr>
          <w:rFonts w:ascii="Arial" w:hAnsi="Arial" w:cs="Arial"/>
        </w:rPr>
        <w:t>s</w:t>
      </w:r>
      <w:r w:rsidR="00FC7A1E" w:rsidRPr="00631F21">
        <w:rPr>
          <w:rFonts w:ascii="Arial" w:hAnsi="Arial" w:cs="Arial"/>
        </w:rPr>
        <w:t xml:space="preserve">ob perspectiva </w:t>
      </w:r>
      <w:r>
        <w:rPr>
          <w:rFonts w:ascii="Arial" w:hAnsi="Arial" w:cs="Arial"/>
        </w:rPr>
        <w:t xml:space="preserve">interdisciplinar, que congregue, de forma complexa, a visão jurídica e </w:t>
      </w:r>
      <w:r w:rsidR="00FC7A1E" w:rsidRPr="00631F21">
        <w:rPr>
          <w:rFonts w:ascii="Arial" w:hAnsi="Arial" w:cs="Arial"/>
        </w:rPr>
        <w:t>dados econômicos.</w:t>
      </w:r>
    </w:p>
    <w:p w14:paraId="29643B8C" w14:textId="77777777" w:rsidR="00516E3B" w:rsidRPr="00D47D3B" w:rsidRDefault="000E250C" w:rsidP="00D47D3B">
      <w:pPr>
        <w:spacing w:line="276" w:lineRule="auto"/>
        <w:ind w:firstLine="1418"/>
        <w:jc w:val="both"/>
        <w:rPr>
          <w:lang w:val="en-US"/>
        </w:rPr>
      </w:pPr>
      <w:r w:rsidRPr="00631F21">
        <w:rPr>
          <w:rFonts w:ascii="Arial" w:hAnsi="Arial" w:cs="Arial"/>
        </w:rPr>
        <w:t>Esse estud</w:t>
      </w:r>
      <w:r w:rsidR="00516E3B">
        <w:rPr>
          <w:rFonts w:ascii="Arial" w:hAnsi="Arial" w:cs="Arial"/>
        </w:rPr>
        <w:t>o interdisciplinar é necessário.</w:t>
      </w:r>
      <w:r w:rsidR="00134D2C">
        <w:rPr>
          <w:rFonts w:ascii="Arial" w:hAnsi="Arial" w:cs="Arial"/>
        </w:rPr>
        <w:t xml:space="preserve"> A</w:t>
      </w:r>
      <w:r w:rsidRPr="00631F21">
        <w:rPr>
          <w:rFonts w:ascii="Arial" w:hAnsi="Arial" w:cs="Arial"/>
        </w:rPr>
        <w:t xml:space="preserve"> exegese no </w:t>
      </w:r>
      <w:r w:rsidR="00516E3B">
        <w:rPr>
          <w:rFonts w:ascii="Arial" w:hAnsi="Arial" w:cs="Arial"/>
        </w:rPr>
        <w:t>D</w:t>
      </w:r>
      <w:r w:rsidRPr="00631F21">
        <w:rPr>
          <w:rFonts w:ascii="Arial" w:hAnsi="Arial" w:cs="Arial"/>
        </w:rPr>
        <w:t xml:space="preserve">ireito </w:t>
      </w:r>
      <w:r w:rsidR="00516E3B">
        <w:rPr>
          <w:rFonts w:ascii="Arial" w:hAnsi="Arial" w:cs="Arial"/>
        </w:rPr>
        <w:t>T</w:t>
      </w:r>
      <w:r w:rsidRPr="00631F21">
        <w:rPr>
          <w:rFonts w:ascii="Arial" w:hAnsi="Arial" w:cs="Arial"/>
        </w:rPr>
        <w:t xml:space="preserve">ributário, como nos demais segmentos do </w:t>
      </w:r>
      <w:r w:rsidR="00516E3B">
        <w:rPr>
          <w:rFonts w:ascii="Arial" w:hAnsi="Arial" w:cs="Arial"/>
        </w:rPr>
        <w:t>D</w:t>
      </w:r>
      <w:r w:rsidRPr="00631F21">
        <w:rPr>
          <w:rFonts w:ascii="Arial" w:hAnsi="Arial" w:cs="Arial"/>
        </w:rPr>
        <w:t>ireito, não pode se reduzir somente a consideração de várias alternativas na interp</w:t>
      </w:r>
      <w:r w:rsidR="00134D2C">
        <w:rPr>
          <w:rFonts w:ascii="Arial" w:hAnsi="Arial" w:cs="Arial"/>
        </w:rPr>
        <w:t xml:space="preserve">retação de dispositivos legais: </w:t>
      </w:r>
      <w:r w:rsidRPr="00631F21">
        <w:rPr>
          <w:rFonts w:ascii="Arial" w:hAnsi="Arial" w:cs="Arial"/>
        </w:rPr>
        <w:t xml:space="preserve">é um ônus do jurista identificar a melhor e mais justa alternativa de acordo com todos </w:t>
      </w:r>
      <w:r w:rsidR="00134D2C">
        <w:rPr>
          <w:rFonts w:ascii="Arial" w:hAnsi="Arial" w:cs="Arial"/>
        </w:rPr>
        <w:t xml:space="preserve">os campos de ciência envolvidos, </w:t>
      </w:r>
      <w:r w:rsidR="00134D2C" w:rsidRPr="00631F21">
        <w:rPr>
          <w:rFonts w:ascii="Arial" w:hAnsi="Arial" w:cs="Arial"/>
        </w:rPr>
        <w:t>como ressalta</w:t>
      </w:r>
      <w:r w:rsidR="00405FE2">
        <w:rPr>
          <w:rFonts w:ascii="Arial" w:hAnsi="Arial" w:cs="Arial"/>
        </w:rPr>
        <w:t xml:space="preserve"> José Souto Maior Borges (2013, p. 120)</w:t>
      </w:r>
      <w:r w:rsidR="00134D2C">
        <w:rPr>
          <w:rFonts w:ascii="Arial" w:hAnsi="Arial" w:cs="Arial"/>
        </w:rPr>
        <w:t>.</w:t>
      </w:r>
      <w:r w:rsidR="00516E3B">
        <w:rPr>
          <w:rFonts w:ascii="Arial" w:hAnsi="Arial" w:cs="Arial"/>
        </w:rPr>
        <w:t xml:space="preserve"> Por isso, é útil e cabível um trabalho em sede de</w:t>
      </w:r>
      <w:r w:rsidR="00516E3B" w:rsidRPr="00D47D3B">
        <w:rPr>
          <w:rFonts w:ascii="Arial" w:hAnsi="Arial" w:cs="Arial"/>
        </w:rPr>
        <w:t xml:space="preserve"> Análise Econômica do Direito, aqui vista como </w:t>
      </w:r>
      <w:r w:rsidR="00D47D3B" w:rsidRPr="00D47D3B">
        <w:rPr>
          <w:rFonts w:ascii="Arial" w:hAnsi="Arial" w:cs="Arial"/>
        </w:rPr>
        <w:t xml:space="preserve">o exame, sob o ponto de vista </w:t>
      </w:r>
      <w:r w:rsidR="00D47D3B" w:rsidRPr="00D47D3B">
        <w:rPr>
          <w:rFonts w:ascii="Arial" w:hAnsi="Arial" w:cs="Arial"/>
        </w:rPr>
        <w:lastRenderedPageBreak/>
        <w:t>econômico</w:t>
      </w:r>
      <w:r w:rsidR="00D47D3B">
        <w:rPr>
          <w:rFonts w:ascii="Arial" w:hAnsi="Arial" w:cs="Arial"/>
        </w:rPr>
        <w:t>,</w:t>
      </w:r>
      <w:r w:rsidR="00D47D3B" w:rsidRPr="00D47D3B">
        <w:rPr>
          <w:rFonts w:ascii="Arial" w:hAnsi="Arial" w:cs="Arial"/>
        </w:rPr>
        <w:t xml:space="preserve"> dos “</w:t>
      </w:r>
      <w:r w:rsidR="00516E3B" w:rsidRPr="00D47D3B">
        <w:rPr>
          <w:rFonts w:ascii="Arial" w:hAnsi="Arial" w:cs="Arial"/>
        </w:rPr>
        <w:t xml:space="preserve">impactos que a </w:t>
      </w:r>
      <w:r w:rsidR="00D47D3B" w:rsidRPr="00D47D3B">
        <w:rPr>
          <w:rFonts w:ascii="Arial" w:hAnsi="Arial" w:cs="Arial"/>
        </w:rPr>
        <w:t>presença</w:t>
      </w:r>
      <w:r w:rsidR="00516E3B" w:rsidRPr="00D47D3B">
        <w:rPr>
          <w:rFonts w:ascii="Arial" w:hAnsi="Arial" w:cs="Arial"/>
        </w:rPr>
        <w:t xml:space="preserve"> ou </w:t>
      </w:r>
      <w:r w:rsidR="00D47D3B" w:rsidRPr="00D47D3B">
        <w:rPr>
          <w:rFonts w:ascii="Arial" w:hAnsi="Arial" w:cs="Arial"/>
        </w:rPr>
        <w:t>ausência</w:t>
      </w:r>
      <w:r w:rsidR="00516E3B" w:rsidRPr="00D47D3B">
        <w:rPr>
          <w:rFonts w:ascii="Arial" w:hAnsi="Arial" w:cs="Arial"/>
        </w:rPr>
        <w:t xml:space="preserve"> de normas </w:t>
      </w:r>
      <w:r w:rsidR="00D47D3B" w:rsidRPr="00D47D3B">
        <w:rPr>
          <w:rFonts w:ascii="Arial" w:hAnsi="Arial" w:cs="Arial"/>
        </w:rPr>
        <w:t>jurídicas</w:t>
      </w:r>
      <w:r w:rsidR="00516E3B" w:rsidRPr="00D47D3B">
        <w:rPr>
          <w:rFonts w:ascii="Arial" w:hAnsi="Arial" w:cs="Arial"/>
        </w:rPr>
        <w:t xml:space="preserve"> podem gerar nas </w:t>
      </w:r>
      <w:r w:rsidR="00D47D3B" w:rsidRPr="00D47D3B">
        <w:rPr>
          <w:rFonts w:ascii="Arial" w:hAnsi="Arial" w:cs="Arial"/>
        </w:rPr>
        <w:t>relações</w:t>
      </w:r>
      <w:r w:rsidR="00516E3B" w:rsidRPr="00D47D3B">
        <w:rPr>
          <w:rFonts w:ascii="Arial" w:hAnsi="Arial" w:cs="Arial"/>
        </w:rPr>
        <w:t xml:space="preserve"> sociais</w:t>
      </w:r>
      <w:r w:rsidR="00D47D3B" w:rsidRPr="00D47D3B">
        <w:rPr>
          <w:rFonts w:ascii="Arial" w:hAnsi="Arial" w:cs="Arial"/>
        </w:rPr>
        <w:t>”</w:t>
      </w:r>
      <w:r w:rsidR="00E72F04">
        <w:rPr>
          <w:rFonts w:ascii="Arial" w:hAnsi="Arial" w:cs="Arial"/>
        </w:rPr>
        <w:t xml:space="preserve"> (Ribeiro; </w:t>
      </w:r>
      <w:proofErr w:type="spellStart"/>
      <w:r w:rsidR="00E72F04">
        <w:rPr>
          <w:rFonts w:ascii="Arial" w:hAnsi="Arial" w:cs="Arial"/>
        </w:rPr>
        <w:t>Czelusniak</w:t>
      </w:r>
      <w:proofErr w:type="spellEnd"/>
      <w:r w:rsidR="00E72F04">
        <w:rPr>
          <w:rFonts w:ascii="Arial" w:hAnsi="Arial" w:cs="Arial"/>
        </w:rPr>
        <w:t>, 2013, p. 23)</w:t>
      </w:r>
      <w:r w:rsidR="00D47D3B" w:rsidRPr="00D47D3B">
        <w:rPr>
          <w:rFonts w:ascii="Arial" w:hAnsi="Arial" w:cs="Arial"/>
        </w:rPr>
        <w:t>.</w:t>
      </w:r>
    </w:p>
    <w:p w14:paraId="054D43C7" w14:textId="77777777" w:rsidR="002A1B0E" w:rsidRPr="00631F21" w:rsidRDefault="009174FF" w:rsidP="00631F21">
      <w:pPr>
        <w:spacing w:line="276" w:lineRule="auto"/>
        <w:ind w:firstLine="1418"/>
        <w:jc w:val="both"/>
        <w:rPr>
          <w:rFonts w:ascii="Arial" w:hAnsi="Arial" w:cs="Arial"/>
        </w:rPr>
      </w:pPr>
      <w:r w:rsidRPr="00631F21">
        <w:rPr>
          <w:rFonts w:ascii="Arial" w:hAnsi="Arial" w:cs="Arial"/>
        </w:rPr>
        <w:t>Neste</w:t>
      </w:r>
      <w:r w:rsidR="002A1B0E" w:rsidRPr="00631F21">
        <w:rPr>
          <w:rFonts w:ascii="Arial" w:hAnsi="Arial" w:cs="Arial"/>
        </w:rPr>
        <w:t xml:space="preserve"> context</w:t>
      </w:r>
      <w:r w:rsidR="003D5685" w:rsidRPr="00631F21">
        <w:rPr>
          <w:rFonts w:ascii="Arial" w:hAnsi="Arial" w:cs="Arial"/>
        </w:rPr>
        <w:t>o, inicia-se o trabalho com um</w:t>
      </w:r>
      <w:r w:rsidRPr="00631F21">
        <w:rPr>
          <w:rFonts w:ascii="Arial" w:hAnsi="Arial" w:cs="Arial"/>
        </w:rPr>
        <w:t xml:space="preserve"> breve</w:t>
      </w:r>
      <w:r w:rsidR="003D5685" w:rsidRPr="00631F21">
        <w:rPr>
          <w:rFonts w:ascii="Arial" w:hAnsi="Arial" w:cs="Arial"/>
        </w:rPr>
        <w:t xml:space="preserve"> relato</w:t>
      </w:r>
      <w:r w:rsidRPr="00631F21">
        <w:rPr>
          <w:rFonts w:ascii="Arial" w:hAnsi="Arial" w:cs="Arial"/>
        </w:rPr>
        <w:t xml:space="preserve"> </w:t>
      </w:r>
      <w:r w:rsidR="003D5685" w:rsidRPr="00631F21">
        <w:rPr>
          <w:rFonts w:ascii="Arial" w:hAnsi="Arial" w:cs="Arial"/>
        </w:rPr>
        <w:t>sobre a forma de funcionamento do ICMS e as alterações trazidas pela Resolução n. 13/2012.</w:t>
      </w:r>
      <w:r w:rsidR="002A1B0E" w:rsidRPr="00631F21">
        <w:rPr>
          <w:rFonts w:ascii="Arial" w:hAnsi="Arial" w:cs="Arial"/>
        </w:rPr>
        <w:t xml:space="preserve"> Em seguida, </w:t>
      </w:r>
      <w:r w:rsidR="00134D2C">
        <w:rPr>
          <w:rFonts w:ascii="Arial" w:hAnsi="Arial" w:cs="Arial"/>
        </w:rPr>
        <w:t>discorre-se</w:t>
      </w:r>
      <w:r w:rsidR="002A1B0E" w:rsidRPr="00631F21">
        <w:rPr>
          <w:rFonts w:ascii="Arial" w:hAnsi="Arial" w:cs="Arial"/>
        </w:rPr>
        <w:t xml:space="preserve"> sobre </w:t>
      </w:r>
      <w:r w:rsidR="003D5685" w:rsidRPr="00631F21">
        <w:rPr>
          <w:rFonts w:ascii="Arial" w:hAnsi="Arial" w:cs="Arial"/>
        </w:rPr>
        <w:t xml:space="preserve">os impactos da </w:t>
      </w:r>
      <w:r w:rsidR="00137E77">
        <w:rPr>
          <w:rFonts w:ascii="Arial" w:hAnsi="Arial" w:cs="Arial"/>
        </w:rPr>
        <w:t>guerra dos portos</w:t>
      </w:r>
      <w:r w:rsidR="003D5685" w:rsidRPr="00631F21">
        <w:rPr>
          <w:rFonts w:ascii="Arial" w:hAnsi="Arial" w:cs="Arial"/>
        </w:rPr>
        <w:t xml:space="preserve"> no desenvolvimento do país</w:t>
      </w:r>
      <w:r w:rsidR="00134D2C">
        <w:rPr>
          <w:rFonts w:ascii="Arial" w:hAnsi="Arial" w:cs="Arial"/>
        </w:rPr>
        <w:t>. A</w:t>
      </w:r>
      <w:r w:rsidR="002A1B0E" w:rsidRPr="00631F21">
        <w:rPr>
          <w:rFonts w:ascii="Arial" w:hAnsi="Arial" w:cs="Arial"/>
        </w:rPr>
        <w:t xml:space="preserve">o final, </w:t>
      </w:r>
      <w:r w:rsidR="00134D2C">
        <w:rPr>
          <w:rFonts w:ascii="Arial" w:hAnsi="Arial" w:cs="Arial"/>
        </w:rPr>
        <w:t>são elaboradas, a título de conclusão,</w:t>
      </w:r>
      <w:r w:rsidR="002A1B0E" w:rsidRPr="00631F21">
        <w:rPr>
          <w:rFonts w:ascii="Arial" w:hAnsi="Arial" w:cs="Arial"/>
        </w:rPr>
        <w:t xml:space="preserve"> considerações sobre </w:t>
      </w:r>
      <w:r w:rsidR="003A70FA" w:rsidRPr="00631F21">
        <w:rPr>
          <w:rFonts w:ascii="Arial" w:hAnsi="Arial" w:cs="Arial"/>
        </w:rPr>
        <w:t xml:space="preserve">a </w:t>
      </w:r>
      <w:r w:rsidR="003D5685" w:rsidRPr="00631F21">
        <w:rPr>
          <w:rFonts w:ascii="Arial" w:hAnsi="Arial" w:cs="Arial"/>
        </w:rPr>
        <w:t xml:space="preserve">eficácia </w:t>
      </w:r>
      <w:r w:rsidR="00134D2C">
        <w:rPr>
          <w:rFonts w:ascii="Arial" w:hAnsi="Arial" w:cs="Arial"/>
        </w:rPr>
        <w:t xml:space="preserve">jurídica e econômica </w:t>
      </w:r>
      <w:r w:rsidR="003D5685" w:rsidRPr="00631F21">
        <w:rPr>
          <w:rFonts w:ascii="Arial" w:hAnsi="Arial" w:cs="Arial"/>
        </w:rPr>
        <w:t>da Resolução n. 13/2012</w:t>
      </w:r>
      <w:r w:rsidR="002A1B0E" w:rsidRPr="00631F21">
        <w:rPr>
          <w:rFonts w:ascii="Arial" w:hAnsi="Arial" w:cs="Arial"/>
        </w:rPr>
        <w:t>.</w:t>
      </w:r>
    </w:p>
    <w:p w14:paraId="002DDB93" w14:textId="77777777" w:rsidR="006173BA" w:rsidRPr="00631F21" w:rsidRDefault="006173BA" w:rsidP="00631F21">
      <w:pPr>
        <w:spacing w:line="276" w:lineRule="auto"/>
        <w:ind w:firstLine="1418"/>
        <w:jc w:val="both"/>
        <w:rPr>
          <w:rFonts w:ascii="Arial" w:hAnsi="Arial" w:cs="Arial"/>
        </w:rPr>
      </w:pPr>
    </w:p>
    <w:p w14:paraId="7A4D454E" w14:textId="77777777" w:rsidR="00D066CD" w:rsidRPr="00631F21" w:rsidRDefault="001F209B" w:rsidP="002B0C6F">
      <w:pPr>
        <w:pStyle w:val="ListParagraph"/>
        <w:spacing w:line="276" w:lineRule="auto"/>
        <w:ind w:left="0"/>
        <w:jc w:val="both"/>
        <w:rPr>
          <w:rFonts w:ascii="Arial" w:hAnsi="Arial" w:cs="Arial"/>
        </w:rPr>
      </w:pPr>
      <w:r w:rsidRPr="00631F21">
        <w:rPr>
          <w:rFonts w:ascii="Arial" w:hAnsi="Arial" w:cs="Arial"/>
          <w:b/>
        </w:rPr>
        <w:t xml:space="preserve">2. </w:t>
      </w:r>
      <w:r w:rsidR="003D5685" w:rsidRPr="00631F21">
        <w:rPr>
          <w:rFonts w:ascii="Arial" w:hAnsi="Arial" w:cs="Arial"/>
          <w:b/>
        </w:rPr>
        <w:t>O ICMS e a Resolução n. 13 do Senado Federal.</w:t>
      </w:r>
    </w:p>
    <w:p w14:paraId="0168B64E" w14:textId="77777777" w:rsidR="001279B9" w:rsidRPr="00631F21" w:rsidRDefault="001279B9" w:rsidP="00A36CF7">
      <w:pPr>
        <w:spacing w:line="276" w:lineRule="auto"/>
        <w:jc w:val="both"/>
        <w:rPr>
          <w:rFonts w:ascii="Arial" w:hAnsi="Arial" w:cs="Arial"/>
        </w:rPr>
      </w:pPr>
    </w:p>
    <w:p w14:paraId="29267EAB" w14:textId="77777777" w:rsidR="009C3054" w:rsidRPr="00631F21" w:rsidRDefault="009C3054" w:rsidP="00631F21">
      <w:pPr>
        <w:spacing w:line="276" w:lineRule="auto"/>
        <w:ind w:firstLine="1418"/>
        <w:jc w:val="both"/>
        <w:rPr>
          <w:rFonts w:ascii="Arial" w:hAnsi="Arial" w:cs="Arial"/>
        </w:rPr>
      </w:pPr>
      <w:r w:rsidRPr="00631F21">
        <w:rPr>
          <w:rFonts w:ascii="Arial" w:hAnsi="Arial" w:cs="Arial"/>
        </w:rPr>
        <w:t>Resumidamente, pode-se afirmar que o</w:t>
      </w:r>
      <w:r w:rsidR="00B22E7D" w:rsidRPr="00631F21">
        <w:rPr>
          <w:rFonts w:ascii="Arial" w:hAnsi="Arial" w:cs="Arial"/>
        </w:rPr>
        <w:t xml:space="preserve"> ICMS incide sobre</w:t>
      </w:r>
      <w:r w:rsidR="00113019">
        <w:rPr>
          <w:rFonts w:ascii="Arial" w:hAnsi="Arial" w:cs="Arial"/>
          <w:i/>
        </w:rPr>
        <w:t xml:space="preserve"> </w:t>
      </w:r>
      <w:r w:rsidRPr="00631F21">
        <w:rPr>
          <w:rFonts w:ascii="Arial" w:hAnsi="Arial" w:cs="Arial"/>
        </w:rPr>
        <w:t>operações relativas à ci</w:t>
      </w:r>
      <w:r w:rsidR="00113019">
        <w:rPr>
          <w:rFonts w:ascii="Arial" w:hAnsi="Arial" w:cs="Arial"/>
        </w:rPr>
        <w:t>rculação de mercadorias;</w:t>
      </w:r>
      <w:r w:rsidRPr="00631F21">
        <w:rPr>
          <w:rFonts w:ascii="Arial" w:hAnsi="Arial" w:cs="Arial"/>
        </w:rPr>
        <w:t xml:space="preserve"> prestações de serviços de transporte interestadual e intermunicipal</w:t>
      </w:r>
      <w:r w:rsidR="00113019">
        <w:rPr>
          <w:rFonts w:ascii="Arial" w:hAnsi="Arial" w:cs="Arial"/>
        </w:rPr>
        <w:t xml:space="preserve">; </w:t>
      </w:r>
      <w:r w:rsidRPr="00631F21">
        <w:rPr>
          <w:rFonts w:ascii="Arial" w:hAnsi="Arial" w:cs="Arial"/>
        </w:rPr>
        <w:t>presta</w:t>
      </w:r>
      <w:r w:rsidR="00113019">
        <w:rPr>
          <w:rFonts w:ascii="Arial" w:hAnsi="Arial" w:cs="Arial"/>
        </w:rPr>
        <w:t xml:space="preserve">ções de serviços de comunicação; </w:t>
      </w:r>
      <w:r w:rsidRPr="00631F21">
        <w:rPr>
          <w:rFonts w:ascii="Arial" w:hAnsi="Arial" w:cs="Arial"/>
        </w:rPr>
        <w:t>a entrada em território nacional de me</w:t>
      </w:r>
      <w:r w:rsidR="00113019">
        <w:rPr>
          <w:rFonts w:ascii="Arial" w:hAnsi="Arial" w:cs="Arial"/>
        </w:rPr>
        <w:t xml:space="preserve">rcadoria importada do exterior; e </w:t>
      </w:r>
      <w:r w:rsidRPr="00631F21">
        <w:rPr>
          <w:rFonts w:ascii="Arial" w:hAnsi="Arial" w:cs="Arial"/>
        </w:rPr>
        <w:t>a entrada, no território do Estado destinatário, de petróleo e derivados, e de energia elétrica</w:t>
      </w:r>
      <w:r w:rsidR="00516E3B">
        <w:rPr>
          <w:rFonts w:ascii="Arial" w:hAnsi="Arial" w:cs="Arial"/>
        </w:rPr>
        <w:t xml:space="preserve"> (Carrazza, 2011, p. 23)</w:t>
      </w:r>
      <w:r w:rsidRPr="00631F21">
        <w:rPr>
          <w:rFonts w:ascii="Arial" w:hAnsi="Arial" w:cs="Arial"/>
        </w:rPr>
        <w:t>.</w:t>
      </w:r>
    </w:p>
    <w:p w14:paraId="44D61FAB" w14:textId="77777777" w:rsidR="00DE43E5" w:rsidRPr="00DE43E5" w:rsidRDefault="009C3054" w:rsidP="00DE43E5">
      <w:pPr>
        <w:spacing w:line="276" w:lineRule="auto"/>
        <w:ind w:firstLine="1418"/>
        <w:jc w:val="both"/>
        <w:rPr>
          <w:rFonts w:ascii="Arial" w:hAnsi="Arial" w:cs="Arial"/>
        </w:rPr>
      </w:pPr>
      <w:r w:rsidRPr="00631F21">
        <w:rPr>
          <w:rFonts w:ascii="Arial" w:hAnsi="Arial" w:cs="Arial"/>
        </w:rPr>
        <w:t xml:space="preserve">As alíquotas para as operações internas, ou seja, operações </w:t>
      </w:r>
      <w:r w:rsidR="00586D60">
        <w:rPr>
          <w:rFonts w:ascii="Arial" w:hAnsi="Arial" w:cs="Arial"/>
        </w:rPr>
        <w:t xml:space="preserve">realizadas no interior </w:t>
      </w:r>
      <w:r w:rsidRPr="00631F21">
        <w:rPr>
          <w:rFonts w:ascii="Arial" w:hAnsi="Arial" w:cs="Arial"/>
        </w:rPr>
        <w:t xml:space="preserve">de um mesmo </w:t>
      </w:r>
      <w:r w:rsidR="00586D60">
        <w:rPr>
          <w:rFonts w:ascii="Arial" w:hAnsi="Arial" w:cs="Arial"/>
        </w:rPr>
        <w:t>E</w:t>
      </w:r>
      <w:r w:rsidRPr="00631F21">
        <w:rPr>
          <w:rFonts w:ascii="Arial" w:hAnsi="Arial" w:cs="Arial"/>
        </w:rPr>
        <w:t xml:space="preserve">stado, são definidas pelos próprios </w:t>
      </w:r>
      <w:r w:rsidR="00586D60">
        <w:rPr>
          <w:rFonts w:ascii="Arial" w:hAnsi="Arial" w:cs="Arial"/>
        </w:rPr>
        <w:t>E</w:t>
      </w:r>
      <w:r w:rsidRPr="00631F21">
        <w:rPr>
          <w:rFonts w:ascii="Arial" w:hAnsi="Arial" w:cs="Arial"/>
        </w:rPr>
        <w:t>stados. As rece</w:t>
      </w:r>
      <w:r w:rsidR="00DE43E5">
        <w:rPr>
          <w:rFonts w:ascii="Arial" w:hAnsi="Arial" w:cs="Arial"/>
        </w:rPr>
        <w:t>itas dessas operações pertencem, inicial</w:t>
      </w:r>
      <w:r w:rsidRPr="00631F21">
        <w:rPr>
          <w:rFonts w:ascii="Arial" w:hAnsi="Arial" w:cs="Arial"/>
        </w:rPr>
        <w:t>mente</w:t>
      </w:r>
      <w:r w:rsidR="00DE43E5">
        <w:rPr>
          <w:rFonts w:ascii="Arial" w:hAnsi="Arial" w:cs="Arial"/>
        </w:rPr>
        <w:t>,</w:t>
      </w:r>
      <w:r w:rsidRPr="00631F21">
        <w:rPr>
          <w:rFonts w:ascii="Arial" w:hAnsi="Arial" w:cs="Arial"/>
        </w:rPr>
        <w:t xml:space="preserve"> ao </w:t>
      </w:r>
      <w:r w:rsidR="00586D60">
        <w:rPr>
          <w:rFonts w:ascii="Arial" w:hAnsi="Arial" w:cs="Arial"/>
        </w:rPr>
        <w:t>E</w:t>
      </w:r>
      <w:r w:rsidR="00DE43E5">
        <w:rPr>
          <w:rFonts w:ascii="Arial" w:hAnsi="Arial" w:cs="Arial"/>
        </w:rPr>
        <w:t xml:space="preserve">stado onde as operações ocorrem, embora a Constituição preveja distribuição de arrecadação </w:t>
      </w:r>
      <w:r w:rsidR="00113019">
        <w:rPr>
          <w:rFonts w:ascii="Arial" w:hAnsi="Arial" w:cs="Arial"/>
        </w:rPr>
        <w:t xml:space="preserve">aos Municípios em seu </w:t>
      </w:r>
      <w:r w:rsidR="00DE43E5">
        <w:rPr>
          <w:rFonts w:ascii="Arial" w:hAnsi="Arial" w:cs="Arial"/>
        </w:rPr>
        <w:t>art</w:t>
      </w:r>
      <w:r w:rsidR="00113019">
        <w:rPr>
          <w:rFonts w:ascii="Arial" w:hAnsi="Arial" w:cs="Arial"/>
        </w:rPr>
        <w:t>igo</w:t>
      </w:r>
      <w:r w:rsidR="00113019" w:rsidRPr="00113019">
        <w:rPr>
          <w:rFonts w:ascii="Arial" w:hAnsi="Arial" w:cs="Arial"/>
        </w:rPr>
        <w:t xml:space="preserve"> 158, IV: “Pertencem aos municípios vinte e cinco por cento do produto da arrecadação do imposto do Estado sobre operações relativas à circulação de mercadorias e sobre prestações de serviços de transporte interestadual e intermunicipal e de comunicação”</w:t>
      </w:r>
      <w:r w:rsidR="00DE43E5">
        <w:rPr>
          <w:rFonts w:ascii="Arial" w:hAnsi="Arial" w:cs="Arial"/>
        </w:rPr>
        <w:t xml:space="preserve">. </w:t>
      </w:r>
      <w:r w:rsidRPr="00631F21">
        <w:rPr>
          <w:rFonts w:ascii="Arial" w:hAnsi="Arial" w:cs="Arial"/>
        </w:rPr>
        <w:t>Já a</w:t>
      </w:r>
      <w:r w:rsidR="00B22E7D" w:rsidRPr="00631F21">
        <w:rPr>
          <w:rFonts w:ascii="Arial" w:hAnsi="Arial" w:cs="Arial"/>
        </w:rPr>
        <w:t xml:space="preserve">s </w:t>
      </w:r>
      <w:r w:rsidRPr="00631F21">
        <w:rPr>
          <w:rFonts w:ascii="Arial" w:hAnsi="Arial" w:cs="Arial"/>
        </w:rPr>
        <w:t>alíquotas</w:t>
      </w:r>
      <w:r w:rsidR="00B22E7D" w:rsidRPr="00631F21">
        <w:rPr>
          <w:rFonts w:ascii="Arial" w:hAnsi="Arial" w:cs="Arial"/>
        </w:rPr>
        <w:t xml:space="preserve"> interestaduais</w:t>
      </w:r>
      <w:r w:rsidRPr="00631F21">
        <w:rPr>
          <w:rFonts w:ascii="Arial" w:hAnsi="Arial" w:cs="Arial"/>
        </w:rPr>
        <w:t xml:space="preserve"> são </w:t>
      </w:r>
      <w:r w:rsidR="006045C0" w:rsidRPr="00631F21">
        <w:rPr>
          <w:rFonts w:ascii="Arial" w:hAnsi="Arial" w:cs="Arial"/>
        </w:rPr>
        <w:t xml:space="preserve">aplicadas </w:t>
      </w:r>
      <w:r w:rsidRPr="00631F21">
        <w:rPr>
          <w:rFonts w:ascii="Arial" w:hAnsi="Arial" w:cs="Arial"/>
        </w:rPr>
        <w:t xml:space="preserve">nas operações em que o </w:t>
      </w:r>
      <w:r w:rsidR="00DE43E5">
        <w:rPr>
          <w:rFonts w:ascii="Arial" w:hAnsi="Arial" w:cs="Arial"/>
        </w:rPr>
        <w:t>E</w:t>
      </w:r>
      <w:r w:rsidRPr="00631F21">
        <w:rPr>
          <w:rFonts w:ascii="Arial" w:hAnsi="Arial" w:cs="Arial"/>
        </w:rPr>
        <w:t xml:space="preserve">stado de destino da mercadoria seja diferente do </w:t>
      </w:r>
      <w:r w:rsidR="00DE43E5">
        <w:rPr>
          <w:rFonts w:ascii="Arial" w:hAnsi="Arial" w:cs="Arial"/>
        </w:rPr>
        <w:t xml:space="preserve">Estado de origem, e </w:t>
      </w:r>
      <w:r w:rsidRPr="00631F21">
        <w:rPr>
          <w:rFonts w:ascii="Arial" w:hAnsi="Arial" w:cs="Arial"/>
        </w:rPr>
        <w:t>são</w:t>
      </w:r>
      <w:r w:rsidR="00B22E7D" w:rsidRPr="00631F21">
        <w:rPr>
          <w:rFonts w:ascii="Arial" w:hAnsi="Arial" w:cs="Arial"/>
        </w:rPr>
        <w:t xml:space="preserve"> definidas </w:t>
      </w:r>
      <w:r w:rsidR="00113019">
        <w:rPr>
          <w:rFonts w:ascii="Arial" w:hAnsi="Arial" w:cs="Arial"/>
        </w:rPr>
        <w:t xml:space="preserve">de forma diversa, conforme o artigo </w:t>
      </w:r>
      <w:r w:rsidRPr="00631F21">
        <w:rPr>
          <w:rFonts w:ascii="Arial" w:hAnsi="Arial" w:cs="Arial"/>
        </w:rPr>
        <w:t>155, § 2º, IV da Constituição</w:t>
      </w:r>
      <w:r w:rsidR="00113019">
        <w:rPr>
          <w:rFonts w:ascii="Arial" w:hAnsi="Arial" w:cs="Arial"/>
        </w:rPr>
        <w:t>: “</w:t>
      </w:r>
      <w:r w:rsidR="00113019" w:rsidRPr="00812BA1">
        <w:rPr>
          <w:rFonts w:ascii="Arial" w:hAnsi="Arial"/>
        </w:rPr>
        <w:t>resolução do Senado Federal, de iniciativa do Presidente da República ou de um terço dos Senadores, aprovada pela maioria absoluta de seus membros, estabelecerá as alíquotas aplicáveis às operações e prestações, interestaduais e de exportaçã</w:t>
      </w:r>
      <w:r w:rsidR="00113019">
        <w:rPr>
          <w:rFonts w:ascii="Arial" w:hAnsi="Arial"/>
        </w:rPr>
        <w:t>o”</w:t>
      </w:r>
      <w:r w:rsidRPr="00631F21">
        <w:rPr>
          <w:rFonts w:ascii="Arial" w:hAnsi="Arial" w:cs="Arial"/>
        </w:rPr>
        <w:t xml:space="preserve">. </w:t>
      </w:r>
      <w:r w:rsidR="004552A9" w:rsidRPr="00DE43E5">
        <w:rPr>
          <w:rFonts w:ascii="Arial" w:hAnsi="Arial" w:cs="Arial"/>
        </w:rPr>
        <w:t>Até a edição da Resolução n. 13/2012, as</w:t>
      </w:r>
      <w:r w:rsidRPr="00DE43E5">
        <w:rPr>
          <w:rFonts w:ascii="Arial" w:hAnsi="Arial" w:cs="Arial"/>
        </w:rPr>
        <w:t xml:space="preserve"> alí</w:t>
      </w:r>
      <w:r w:rsidR="004552A9" w:rsidRPr="00DE43E5">
        <w:rPr>
          <w:rFonts w:ascii="Arial" w:hAnsi="Arial" w:cs="Arial"/>
        </w:rPr>
        <w:t>quotas interestaduais eram</w:t>
      </w:r>
      <w:r w:rsidRPr="00DE43E5">
        <w:rPr>
          <w:rFonts w:ascii="Arial" w:hAnsi="Arial" w:cs="Arial"/>
        </w:rPr>
        <w:t xml:space="preserve"> 7%</w:t>
      </w:r>
      <w:r w:rsidR="00DE43E5" w:rsidRPr="00DE43E5">
        <w:rPr>
          <w:rFonts w:ascii="Arial" w:hAnsi="Arial" w:cs="Arial"/>
        </w:rPr>
        <w:t xml:space="preserve"> </w:t>
      </w:r>
      <w:r w:rsidR="00DE43E5" w:rsidRPr="00DE43E5">
        <w:rPr>
          <w:rFonts w:ascii="Arial" w:hAnsi="Arial"/>
        </w:rPr>
        <w:t>nas operações em que o Estado de origem faça parte das Regiões Sul e Sudeste, exceto o Estado do Espirito Santo, e 12% nas operações em que o Estado de destino integre as Regiões Norte, Nordeste ou Centro-Oeste ou para o Estado do Espírito Santo.</w:t>
      </w:r>
    </w:p>
    <w:p w14:paraId="6589B547" w14:textId="77777777" w:rsidR="004552A9" w:rsidRPr="00DE43E5" w:rsidRDefault="00B15F67" w:rsidP="00631F21">
      <w:pPr>
        <w:spacing w:line="276" w:lineRule="auto"/>
        <w:ind w:firstLine="1418"/>
        <w:jc w:val="both"/>
        <w:rPr>
          <w:rFonts w:ascii="Arial" w:hAnsi="Arial" w:cs="Arial"/>
        </w:rPr>
      </w:pPr>
      <w:r>
        <w:rPr>
          <w:rFonts w:ascii="Arial" w:hAnsi="Arial" w:cs="Arial"/>
        </w:rPr>
        <w:t>Pela sistemática de não cumulatividade, determinada na Constituição, o</w:t>
      </w:r>
      <w:r w:rsidR="004552A9" w:rsidRPr="00DE43E5">
        <w:rPr>
          <w:rFonts w:ascii="Arial" w:hAnsi="Arial" w:cs="Arial"/>
        </w:rPr>
        <w:t xml:space="preserve"> adquirente de</w:t>
      </w:r>
      <w:r w:rsidR="009C3054" w:rsidRPr="00DE43E5">
        <w:rPr>
          <w:rFonts w:ascii="Arial" w:hAnsi="Arial" w:cs="Arial"/>
        </w:rPr>
        <w:t xml:space="preserve"> mercadoria localizado no Estado de destino pode se creditar do valor do impost</w:t>
      </w:r>
      <w:r w:rsidR="004552A9" w:rsidRPr="00DE43E5">
        <w:rPr>
          <w:rFonts w:ascii="Arial" w:hAnsi="Arial" w:cs="Arial"/>
        </w:rPr>
        <w:t>o cobrado no Estado de origem</w:t>
      </w:r>
      <w:r w:rsidR="00113019">
        <w:rPr>
          <w:rFonts w:ascii="Arial" w:hAnsi="Arial" w:cs="Arial"/>
        </w:rPr>
        <w:t xml:space="preserve">: o </w:t>
      </w:r>
      <w:r w:rsidR="00113019" w:rsidRPr="00113019">
        <w:rPr>
          <w:rFonts w:ascii="Arial" w:hAnsi="Arial" w:cs="Arial"/>
        </w:rPr>
        <w:t>ICMS “será não-cumulativo, compensando-se o que for devido em cada operação relativa à circulação de mercadorias ou prestação de serviços com o montante cobrado nas anteriores”</w:t>
      </w:r>
      <w:r w:rsidR="004552A9" w:rsidRPr="00113019">
        <w:rPr>
          <w:rFonts w:ascii="Arial" w:hAnsi="Arial" w:cs="Arial"/>
        </w:rPr>
        <w:t xml:space="preserve"> </w:t>
      </w:r>
      <w:r w:rsidR="00113019" w:rsidRPr="00113019">
        <w:rPr>
          <w:rFonts w:ascii="Arial" w:hAnsi="Arial" w:cs="Arial"/>
        </w:rPr>
        <w:t>(art. 155, § 2.</w:t>
      </w:r>
      <w:r w:rsidR="00113019" w:rsidRPr="00113019">
        <w:rPr>
          <w:rFonts w:ascii="Arial" w:hAnsi="Arial" w:cs="Arial"/>
        </w:rPr>
        <w:sym w:font="Symbol" w:char="F0B0"/>
      </w:r>
      <w:r w:rsidR="00113019" w:rsidRPr="00113019">
        <w:rPr>
          <w:rFonts w:ascii="Arial" w:hAnsi="Arial" w:cs="Arial"/>
        </w:rPr>
        <w:t xml:space="preserve">, I). </w:t>
      </w:r>
      <w:r w:rsidRPr="00113019">
        <w:rPr>
          <w:rFonts w:ascii="Arial" w:hAnsi="Arial" w:cs="Arial"/>
        </w:rPr>
        <w:t>É</w:t>
      </w:r>
      <w:r w:rsidR="004552A9" w:rsidRPr="00113019">
        <w:rPr>
          <w:rFonts w:ascii="Arial" w:hAnsi="Arial" w:cs="Arial"/>
        </w:rPr>
        <w:t xml:space="preserve"> justamente esse mecanismo</w:t>
      </w:r>
      <w:r w:rsidRPr="00113019">
        <w:rPr>
          <w:rFonts w:ascii="Arial" w:hAnsi="Arial" w:cs="Arial"/>
        </w:rPr>
        <w:t xml:space="preserve">, em si </w:t>
      </w:r>
      <w:r w:rsidRPr="00113019">
        <w:rPr>
          <w:rFonts w:ascii="Arial" w:hAnsi="Arial" w:cs="Arial"/>
        </w:rPr>
        <w:lastRenderedPageBreak/>
        <w:t>necessário e benéfico,</w:t>
      </w:r>
      <w:r w:rsidR="004552A9" w:rsidRPr="00113019">
        <w:rPr>
          <w:rFonts w:ascii="Arial" w:hAnsi="Arial" w:cs="Arial"/>
        </w:rPr>
        <w:t xml:space="preserve"> que</w:t>
      </w:r>
      <w:r w:rsidR="004552A9" w:rsidRPr="00DE43E5">
        <w:rPr>
          <w:rFonts w:ascii="Arial" w:hAnsi="Arial" w:cs="Arial"/>
        </w:rPr>
        <w:t xml:space="preserve"> acaba permitindo o surgimento da guerra fiscal do ICMS</w:t>
      </w:r>
      <w:r>
        <w:rPr>
          <w:rFonts w:ascii="Arial" w:hAnsi="Arial" w:cs="Arial"/>
        </w:rPr>
        <w:t>, um efeito colateral negativo</w:t>
      </w:r>
      <w:r w:rsidR="004552A9" w:rsidRPr="00DE43E5">
        <w:rPr>
          <w:rFonts w:ascii="Arial" w:hAnsi="Arial" w:cs="Arial"/>
        </w:rPr>
        <w:t>.</w:t>
      </w:r>
    </w:p>
    <w:p w14:paraId="6EFC5854" w14:textId="77777777" w:rsidR="00173988" w:rsidRPr="00E403C0" w:rsidRDefault="00B15F67" w:rsidP="00631F21">
      <w:pPr>
        <w:spacing w:line="276" w:lineRule="auto"/>
        <w:ind w:firstLine="1418"/>
        <w:jc w:val="both"/>
        <w:rPr>
          <w:rFonts w:ascii="Arial" w:hAnsi="Arial" w:cs="Arial"/>
        </w:rPr>
      </w:pPr>
      <w:r w:rsidRPr="00E403C0">
        <w:rPr>
          <w:rFonts w:ascii="Arial" w:hAnsi="Arial" w:cs="Arial"/>
        </w:rPr>
        <w:t>D</w:t>
      </w:r>
      <w:r w:rsidR="004552A9" w:rsidRPr="00E403C0">
        <w:rPr>
          <w:rFonts w:ascii="Arial" w:hAnsi="Arial" w:cs="Arial"/>
        </w:rPr>
        <w:t xml:space="preserve">iversos estados, com o intuito de atrair empresas, concedem créditos presumidos que diminuem o valor do </w:t>
      </w:r>
      <w:r w:rsidR="004552A9" w:rsidRPr="00113019">
        <w:rPr>
          <w:rFonts w:ascii="Arial" w:hAnsi="Arial" w:cs="Arial"/>
          <w:sz w:val="22"/>
        </w:rPr>
        <w:t>imposto</w:t>
      </w:r>
      <w:r w:rsidR="004552A9" w:rsidRPr="00E403C0">
        <w:rPr>
          <w:rFonts w:ascii="Arial" w:hAnsi="Arial" w:cs="Arial"/>
        </w:rPr>
        <w:t xml:space="preserve"> a pagar nas importações e</w:t>
      </w:r>
      <w:r w:rsidR="00E403C0" w:rsidRPr="00E403C0">
        <w:rPr>
          <w:rFonts w:ascii="Arial" w:hAnsi="Arial" w:cs="Arial"/>
        </w:rPr>
        <w:t>,</w:t>
      </w:r>
      <w:r w:rsidR="004552A9" w:rsidRPr="00E403C0">
        <w:rPr>
          <w:rFonts w:ascii="Arial" w:hAnsi="Arial" w:cs="Arial"/>
        </w:rPr>
        <w:t xml:space="preserve"> consequentemente</w:t>
      </w:r>
      <w:r w:rsidR="00E403C0" w:rsidRPr="00E403C0">
        <w:rPr>
          <w:rFonts w:ascii="Arial" w:hAnsi="Arial" w:cs="Arial"/>
        </w:rPr>
        <w:t>,</w:t>
      </w:r>
      <w:r w:rsidR="004552A9" w:rsidRPr="00E403C0">
        <w:rPr>
          <w:rFonts w:ascii="Arial" w:hAnsi="Arial" w:cs="Arial"/>
        </w:rPr>
        <w:t xml:space="preserve"> também diminuem o valor total devido do imposto.</w:t>
      </w:r>
      <w:r w:rsidR="00E403C0" w:rsidRPr="00E403C0">
        <w:rPr>
          <w:rFonts w:ascii="Arial" w:hAnsi="Arial" w:cs="Arial"/>
        </w:rPr>
        <w:t xml:space="preserve"> Esses créditos presumidos, muitas vezes, combinam-se com outras técnicas de incentivo </w:t>
      </w:r>
      <w:r w:rsidR="00E403C0" w:rsidRPr="00E403C0">
        <w:rPr>
          <w:rFonts w:ascii="Arial" w:hAnsi="Arial"/>
        </w:rPr>
        <w:t>nas importações, como a redução de base de cálculo, de alíquota ou de carga tributária total e o diferimento do imposto.</w:t>
      </w:r>
    </w:p>
    <w:p w14:paraId="61D5922A" w14:textId="77777777" w:rsidR="004552A9" w:rsidRPr="00631F21" w:rsidRDefault="004552A9" w:rsidP="00631F21">
      <w:pPr>
        <w:spacing w:line="276" w:lineRule="auto"/>
        <w:ind w:firstLine="1418"/>
        <w:jc w:val="both"/>
        <w:rPr>
          <w:rFonts w:ascii="Arial" w:hAnsi="Arial" w:cs="Arial"/>
        </w:rPr>
      </w:pPr>
      <w:r w:rsidRPr="00631F21">
        <w:rPr>
          <w:rFonts w:ascii="Arial" w:hAnsi="Arial" w:cs="Arial"/>
        </w:rPr>
        <w:t xml:space="preserve"> Para </w:t>
      </w:r>
      <w:r w:rsidR="008D62AA">
        <w:rPr>
          <w:rFonts w:ascii="Arial" w:hAnsi="Arial" w:cs="Arial"/>
        </w:rPr>
        <w:t>melhor compreensão</w:t>
      </w:r>
      <w:r w:rsidR="00173988" w:rsidRPr="00631F21">
        <w:rPr>
          <w:rFonts w:ascii="Arial" w:hAnsi="Arial" w:cs="Arial"/>
        </w:rPr>
        <w:t xml:space="preserve">, </w:t>
      </w:r>
      <w:r w:rsidR="008D62AA">
        <w:rPr>
          <w:rFonts w:ascii="Arial" w:hAnsi="Arial" w:cs="Arial"/>
        </w:rPr>
        <w:t xml:space="preserve">reproduzimos </w:t>
      </w:r>
      <w:r w:rsidR="00173988" w:rsidRPr="00631F21">
        <w:rPr>
          <w:rFonts w:ascii="Arial" w:hAnsi="Arial" w:cs="Arial"/>
        </w:rPr>
        <w:t>abaixo um exemplo no qual</w:t>
      </w:r>
      <w:r w:rsidRPr="00631F21">
        <w:rPr>
          <w:rFonts w:ascii="Arial" w:hAnsi="Arial" w:cs="Arial"/>
        </w:rPr>
        <w:t xml:space="preserve"> uma empresa importa determinada mercadoria em </w:t>
      </w:r>
      <w:r w:rsidR="008D62AA">
        <w:rPr>
          <w:rFonts w:ascii="Arial" w:hAnsi="Arial" w:cs="Arial"/>
        </w:rPr>
        <w:t>E</w:t>
      </w:r>
      <w:r w:rsidRPr="00631F21">
        <w:rPr>
          <w:rFonts w:ascii="Arial" w:hAnsi="Arial" w:cs="Arial"/>
        </w:rPr>
        <w:t xml:space="preserve">stado que concede créditos presumidos e revende essa mercadoria para </w:t>
      </w:r>
      <w:r w:rsidR="008D62AA">
        <w:rPr>
          <w:rFonts w:ascii="Arial" w:hAnsi="Arial" w:cs="Arial"/>
        </w:rPr>
        <w:t>E</w:t>
      </w:r>
      <w:r w:rsidR="00173988" w:rsidRPr="00631F21">
        <w:rPr>
          <w:rFonts w:ascii="Arial" w:hAnsi="Arial" w:cs="Arial"/>
        </w:rPr>
        <w:t xml:space="preserve">mpresa de </w:t>
      </w:r>
      <w:r w:rsidRPr="00631F21">
        <w:rPr>
          <w:rFonts w:ascii="Arial" w:hAnsi="Arial" w:cs="Arial"/>
        </w:rPr>
        <w:t>outro estado</w:t>
      </w:r>
      <w:r w:rsidR="00173988" w:rsidRPr="00631F21">
        <w:rPr>
          <w:rFonts w:ascii="Arial" w:hAnsi="Arial" w:cs="Arial"/>
        </w:rPr>
        <w:t>. Est</w:t>
      </w:r>
      <w:r w:rsidR="006045C0" w:rsidRPr="00631F21">
        <w:rPr>
          <w:rFonts w:ascii="Arial" w:hAnsi="Arial" w:cs="Arial"/>
        </w:rPr>
        <w:t>a última</w:t>
      </w:r>
      <w:r w:rsidR="00173988" w:rsidRPr="00631F21">
        <w:rPr>
          <w:rFonts w:ascii="Arial" w:hAnsi="Arial" w:cs="Arial"/>
        </w:rPr>
        <w:t>, por sua vez, revende a mercadoria ao consumidor final. As alíquotas utilizadas</w:t>
      </w:r>
      <w:r w:rsidR="008D62AA">
        <w:rPr>
          <w:rFonts w:ascii="Arial" w:hAnsi="Arial" w:cs="Arial"/>
        </w:rPr>
        <w:t xml:space="preserve"> (18%)</w:t>
      </w:r>
      <w:r w:rsidR="00173988" w:rsidRPr="00631F21">
        <w:rPr>
          <w:rFonts w:ascii="Arial" w:hAnsi="Arial" w:cs="Arial"/>
        </w:rPr>
        <w:t xml:space="preserve"> e o crédito presumido de 15% são meramente exemplificativos</w:t>
      </w:r>
      <w:r w:rsidR="0006004B">
        <w:rPr>
          <w:rFonts w:ascii="Arial" w:hAnsi="Arial" w:cs="Arial"/>
        </w:rPr>
        <w:t>; o cálculo do ICMS por dentro foi suprimido para facilitar a compreensão:</w:t>
      </w:r>
      <w:r w:rsidR="0006004B">
        <w:rPr>
          <w:rFonts w:ascii="Arial" w:hAnsi="Arial" w:cs="Arial"/>
        </w:rPr>
        <w:tab/>
      </w:r>
    </w:p>
    <w:p w14:paraId="595534A4" w14:textId="77777777" w:rsidR="00B10424" w:rsidRPr="00631F21" w:rsidRDefault="00B10424" w:rsidP="00631F21">
      <w:pPr>
        <w:spacing w:line="276" w:lineRule="auto"/>
        <w:ind w:firstLine="1418"/>
        <w:jc w:val="both"/>
        <w:rPr>
          <w:rFonts w:ascii="Arial" w:hAnsi="Arial" w:cs="Arial"/>
        </w:rPr>
      </w:pPr>
    </w:p>
    <w:tbl>
      <w:tblPr>
        <w:tblW w:w="6176" w:type="dxa"/>
        <w:tblInd w:w="1668" w:type="dxa"/>
        <w:tblBorders>
          <w:top w:val="single" w:sz="8" w:space="0" w:color="000000"/>
          <w:bottom w:val="single" w:sz="8" w:space="0" w:color="000000"/>
        </w:tblBorders>
        <w:tblLayout w:type="fixed"/>
        <w:tblLook w:val="04A0" w:firstRow="1" w:lastRow="0" w:firstColumn="1" w:lastColumn="0" w:noHBand="0" w:noVBand="1"/>
      </w:tblPr>
      <w:tblGrid>
        <w:gridCol w:w="3936"/>
        <w:gridCol w:w="2240"/>
      </w:tblGrid>
      <w:tr w:rsidR="00B10424" w:rsidRPr="00631F21" w14:paraId="134CDE19" w14:textId="77777777" w:rsidTr="006D5864">
        <w:trPr>
          <w:trHeight w:val="300"/>
        </w:trPr>
        <w:tc>
          <w:tcPr>
            <w:tcW w:w="3936" w:type="dxa"/>
            <w:tcBorders>
              <w:top w:val="single" w:sz="8" w:space="0" w:color="000000"/>
              <w:bottom w:val="single" w:sz="8" w:space="0" w:color="000000"/>
            </w:tcBorders>
            <w:shd w:val="clear" w:color="auto" w:fill="auto"/>
            <w:noWrap/>
            <w:hideMark/>
          </w:tcPr>
          <w:p w14:paraId="34D15A2F"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Operação</w:t>
            </w:r>
          </w:p>
        </w:tc>
        <w:tc>
          <w:tcPr>
            <w:tcW w:w="2240" w:type="dxa"/>
            <w:tcBorders>
              <w:top w:val="single" w:sz="8" w:space="0" w:color="000000"/>
              <w:bottom w:val="single" w:sz="8" w:space="0" w:color="000000"/>
            </w:tcBorders>
            <w:shd w:val="clear" w:color="auto" w:fill="auto"/>
            <w:noWrap/>
            <w:hideMark/>
          </w:tcPr>
          <w:p w14:paraId="5E7D9869" w14:textId="77777777" w:rsidR="00B10424" w:rsidRPr="006D5864" w:rsidRDefault="004759D3" w:rsidP="0006004B">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 xml:space="preserve">          </w:t>
            </w:r>
            <w:r w:rsidR="00B10424" w:rsidRPr="006D5864">
              <w:rPr>
                <w:rFonts w:ascii="Arial" w:eastAsia="Times New Roman" w:hAnsi="Arial" w:cs="Arial"/>
                <w:b/>
                <w:bCs/>
                <w:color w:val="000000"/>
                <w:sz w:val="22"/>
                <w:szCs w:val="22"/>
              </w:rPr>
              <w:t>Valores (R$)</w:t>
            </w:r>
          </w:p>
        </w:tc>
      </w:tr>
      <w:tr w:rsidR="00B15F67" w:rsidRPr="00631F21" w14:paraId="13657D1F" w14:textId="77777777" w:rsidTr="006D5864">
        <w:trPr>
          <w:trHeight w:val="280"/>
        </w:trPr>
        <w:tc>
          <w:tcPr>
            <w:tcW w:w="3936" w:type="dxa"/>
            <w:shd w:val="clear" w:color="auto" w:fill="C0C0C0"/>
            <w:noWrap/>
            <w:hideMark/>
          </w:tcPr>
          <w:p w14:paraId="06F1126B"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da importação</w:t>
            </w:r>
          </w:p>
        </w:tc>
        <w:tc>
          <w:tcPr>
            <w:tcW w:w="2240" w:type="dxa"/>
            <w:tcBorders>
              <w:left w:val="nil"/>
              <w:right w:val="nil"/>
            </w:tcBorders>
            <w:shd w:val="clear" w:color="auto" w:fill="C0C0C0"/>
            <w:noWrap/>
            <w:hideMark/>
          </w:tcPr>
          <w:p w14:paraId="695C4239"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100,00 </w:t>
            </w:r>
          </w:p>
        </w:tc>
      </w:tr>
      <w:tr w:rsidR="00B10424" w:rsidRPr="00631F21" w14:paraId="28094711" w14:textId="77777777" w:rsidTr="006D5864">
        <w:trPr>
          <w:trHeight w:val="280"/>
        </w:trPr>
        <w:tc>
          <w:tcPr>
            <w:tcW w:w="3936" w:type="dxa"/>
            <w:shd w:val="clear" w:color="auto" w:fill="auto"/>
            <w:noWrap/>
            <w:hideMark/>
          </w:tcPr>
          <w:p w14:paraId="377DBDC4"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a recolher na entrada (18%)</w:t>
            </w:r>
          </w:p>
        </w:tc>
        <w:tc>
          <w:tcPr>
            <w:tcW w:w="2240" w:type="dxa"/>
            <w:shd w:val="clear" w:color="auto" w:fill="auto"/>
            <w:noWrap/>
            <w:hideMark/>
          </w:tcPr>
          <w:p w14:paraId="6DE5E82F"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18,00 </w:t>
            </w:r>
          </w:p>
        </w:tc>
      </w:tr>
      <w:tr w:rsidR="00B15F67" w:rsidRPr="00631F21" w14:paraId="455942F0" w14:textId="77777777" w:rsidTr="006D5864">
        <w:trPr>
          <w:trHeight w:val="280"/>
        </w:trPr>
        <w:tc>
          <w:tcPr>
            <w:tcW w:w="3936" w:type="dxa"/>
            <w:shd w:val="clear" w:color="auto" w:fill="C0C0C0"/>
            <w:noWrap/>
            <w:hideMark/>
          </w:tcPr>
          <w:p w14:paraId="06F8118C"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Crédito presumido (15%)</w:t>
            </w:r>
          </w:p>
        </w:tc>
        <w:tc>
          <w:tcPr>
            <w:tcW w:w="2240" w:type="dxa"/>
            <w:tcBorders>
              <w:left w:val="nil"/>
              <w:right w:val="nil"/>
            </w:tcBorders>
            <w:shd w:val="clear" w:color="auto" w:fill="C0C0C0"/>
            <w:noWrap/>
            <w:hideMark/>
          </w:tcPr>
          <w:p w14:paraId="75C5EE70"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15,00 </w:t>
            </w:r>
          </w:p>
        </w:tc>
      </w:tr>
      <w:tr w:rsidR="00B10424" w:rsidRPr="00631F21" w14:paraId="1058EAE6" w14:textId="77777777" w:rsidTr="006D5864">
        <w:trPr>
          <w:trHeight w:val="300"/>
        </w:trPr>
        <w:tc>
          <w:tcPr>
            <w:tcW w:w="3936" w:type="dxa"/>
            <w:shd w:val="clear" w:color="auto" w:fill="auto"/>
            <w:noWrap/>
            <w:hideMark/>
          </w:tcPr>
          <w:p w14:paraId="0C69BB98"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pago</w:t>
            </w:r>
          </w:p>
        </w:tc>
        <w:tc>
          <w:tcPr>
            <w:tcW w:w="2240" w:type="dxa"/>
            <w:shd w:val="clear" w:color="auto" w:fill="auto"/>
            <w:noWrap/>
            <w:hideMark/>
          </w:tcPr>
          <w:p w14:paraId="4F4E77DB"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3,00 </w:t>
            </w:r>
          </w:p>
        </w:tc>
      </w:tr>
      <w:tr w:rsidR="00B15F67" w:rsidRPr="00631F21" w14:paraId="0FDE37C3" w14:textId="77777777" w:rsidTr="006D5864">
        <w:trPr>
          <w:trHeight w:val="280"/>
        </w:trPr>
        <w:tc>
          <w:tcPr>
            <w:tcW w:w="3936" w:type="dxa"/>
            <w:shd w:val="clear" w:color="auto" w:fill="C0C0C0"/>
            <w:noWrap/>
            <w:hideMark/>
          </w:tcPr>
          <w:p w14:paraId="3E3820F8"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Venda interestadual</w:t>
            </w:r>
          </w:p>
        </w:tc>
        <w:tc>
          <w:tcPr>
            <w:tcW w:w="2240" w:type="dxa"/>
            <w:tcBorders>
              <w:left w:val="nil"/>
              <w:right w:val="nil"/>
            </w:tcBorders>
            <w:shd w:val="clear" w:color="auto" w:fill="C0C0C0"/>
            <w:noWrap/>
            <w:hideMark/>
          </w:tcPr>
          <w:p w14:paraId="0A559267"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150,00 </w:t>
            </w:r>
          </w:p>
        </w:tc>
      </w:tr>
      <w:tr w:rsidR="00B10424" w:rsidRPr="00631F21" w14:paraId="538F7179" w14:textId="77777777" w:rsidTr="006D5864">
        <w:trPr>
          <w:trHeight w:val="280"/>
        </w:trPr>
        <w:tc>
          <w:tcPr>
            <w:tcW w:w="3936" w:type="dxa"/>
            <w:shd w:val="clear" w:color="auto" w:fill="auto"/>
            <w:noWrap/>
            <w:hideMark/>
          </w:tcPr>
          <w:p w14:paraId="5B0DEC1C"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interestadual (12%)</w:t>
            </w:r>
          </w:p>
        </w:tc>
        <w:tc>
          <w:tcPr>
            <w:tcW w:w="2240" w:type="dxa"/>
            <w:shd w:val="clear" w:color="auto" w:fill="auto"/>
            <w:noWrap/>
            <w:hideMark/>
          </w:tcPr>
          <w:p w14:paraId="4027D7D2"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18,00 </w:t>
            </w:r>
          </w:p>
        </w:tc>
      </w:tr>
      <w:tr w:rsidR="00B15F67" w:rsidRPr="00631F21" w14:paraId="42B95101" w14:textId="77777777" w:rsidTr="006D5864">
        <w:trPr>
          <w:trHeight w:val="280"/>
        </w:trPr>
        <w:tc>
          <w:tcPr>
            <w:tcW w:w="3936" w:type="dxa"/>
            <w:shd w:val="clear" w:color="auto" w:fill="C0C0C0"/>
            <w:noWrap/>
            <w:hideMark/>
          </w:tcPr>
          <w:p w14:paraId="41011529"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Diferença de ICMS a recolher</w:t>
            </w:r>
          </w:p>
        </w:tc>
        <w:tc>
          <w:tcPr>
            <w:tcW w:w="2240" w:type="dxa"/>
            <w:tcBorders>
              <w:left w:val="nil"/>
              <w:right w:val="nil"/>
            </w:tcBorders>
            <w:shd w:val="clear" w:color="auto" w:fill="C0C0C0"/>
            <w:noWrap/>
            <w:hideMark/>
          </w:tcPr>
          <w:p w14:paraId="61959671"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   </w:t>
            </w:r>
          </w:p>
        </w:tc>
      </w:tr>
      <w:tr w:rsidR="00B10424" w:rsidRPr="00631F21" w14:paraId="3E58096D" w14:textId="77777777" w:rsidTr="006D5864">
        <w:trPr>
          <w:trHeight w:val="300"/>
        </w:trPr>
        <w:tc>
          <w:tcPr>
            <w:tcW w:w="3936" w:type="dxa"/>
            <w:shd w:val="clear" w:color="auto" w:fill="auto"/>
            <w:noWrap/>
            <w:hideMark/>
          </w:tcPr>
          <w:p w14:paraId="5A65790A"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Total de ICMS recolhido</w:t>
            </w:r>
          </w:p>
        </w:tc>
        <w:tc>
          <w:tcPr>
            <w:tcW w:w="2240" w:type="dxa"/>
            <w:shd w:val="clear" w:color="auto" w:fill="auto"/>
            <w:noWrap/>
            <w:hideMark/>
          </w:tcPr>
          <w:p w14:paraId="01E16122"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3,00 </w:t>
            </w:r>
          </w:p>
        </w:tc>
      </w:tr>
      <w:tr w:rsidR="00B15F67" w:rsidRPr="00631F21" w14:paraId="295C01A9" w14:textId="77777777" w:rsidTr="006D5864">
        <w:trPr>
          <w:trHeight w:val="300"/>
        </w:trPr>
        <w:tc>
          <w:tcPr>
            <w:tcW w:w="3936" w:type="dxa"/>
            <w:shd w:val="clear" w:color="auto" w:fill="C0C0C0"/>
            <w:noWrap/>
            <w:hideMark/>
          </w:tcPr>
          <w:p w14:paraId="526E7DA8"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Venda ao consumidor final</w:t>
            </w:r>
          </w:p>
        </w:tc>
        <w:tc>
          <w:tcPr>
            <w:tcW w:w="2240" w:type="dxa"/>
            <w:tcBorders>
              <w:left w:val="nil"/>
              <w:right w:val="nil"/>
            </w:tcBorders>
            <w:shd w:val="clear" w:color="auto" w:fill="C0C0C0"/>
            <w:noWrap/>
            <w:hideMark/>
          </w:tcPr>
          <w:p w14:paraId="73D76574"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170,00 </w:t>
            </w:r>
          </w:p>
        </w:tc>
      </w:tr>
      <w:tr w:rsidR="00B10424" w:rsidRPr="00631F21" w14:paraId="098AD65C" w14:textId="77777777" w:rsidTr="006D5864">
        <w:trPr>
          <w:trHeight w:val="280"/>
        </w:trPr>
        <w:tc>
          <w:tcPr>
            <w:tcW w:w="3936" w:type="dxa"/>
            <w:shd w:val="clear" w:color="auto" w:fill="auto"/>
            <w:noWrap/>
            <w:hideMark/>
          </w:tcPr>
          <w:p w14:paraId="49B8873C"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devido (18%)</w:t>
            </w:r>
          </w:p>
        </w:tc>
        <w:tc>
          <w:tcPr>
            <w:tcW w:w="2240" w:type="dxa"/>
            <w:shd w:val="clear" w:color="auto" w:fill="auto"/>
            <w:noWrap/>
            <w:hideMark/>
          </w:tcPr>
          <w:p w14:paraId="4728F6A4"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30,60 </w:t>
            </w:r>
          </w:p>
        </w:tc>
      </w:tr>
      <w:tr w:rsidR="00B15F67" w:rsidRPr="00631F21" w14:paraId="03858A4C" w14:textId="77777777" w:rsidTr="006D5864">
        <w:trPr>
          <w:trHeight w:val="300"/>
        </w:trPr>
        <w:tc>
          <w:tcPr>
            <w:tcW w:w="3936" w:type="dxa"/>
            <w:shd w:val="clear" w:color="auto" w:fill="C0C0C0"/>
            <w:noWrap/>
            <w:hideMark/>
          </w:tcPr>
          <w:p w14:paraId="2E4E46AA"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Diferença de ICMS a recolher</w:t>
            </w:r>
          </w:p>
        </w:tc>
        <w:tc>
          <w:tcPr>
            <w:tcW w:w="2240" w:type="dxa"/>
            <w:tcBorders>
              <w:left w:val="nil"/>
              <w:right w:val="nil"/>
            </w:tcBorders>
            <w:shd w:val="clear" w:color="auto" w:fill="C0C0C0"/>
            <w:noWrap/>
            <w:hideMark/>
          </w:tcPr>
          <w:p w14:paraId="0BF9A6ED"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12,60 </w:t>
            </w:r>
          </w:p>
        </w:tc>
      </w:tr>
      <w:tr w:rsidR="00B10424" w:rsidRPr="00631F21" w14:paraId="04146C40" w14:textId="77777777" w:rsidTr="006D5864">
        <w:trPr>
          <w:trHeight w:val="300"/>
        </w:trPr>
        <w:tc>
          <w:tcPr>
            <w:tcW w:w="3936" w:type="dxa"/>
            <w:shd w:val="clear" w:color="auto" w:fill="auto"/>
            <w:noWrap/>
            <w:hideMark/>
          </w:tcPr>
          <w:p w14:paraId="351741ED"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total da operação</w:t>
            </w:r>
          </w:p>
        </w:tc>
        <w:tc>
          <w:tcPr>
            <w:tcW w:w="2240" w:type="dxa"/>
            <w:shd w:val="clear" w:color="auto" w:fill="auto"/>
            <w:noWrap/>
            <w:hideMark/>
          </w:tcPr>
          <w:p w14:paraId="58490367"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182,60 </w:t>
            </w:r>
          </w:p>
        </w:tc>
      </w:tr>
      <w:tr w:rsidR="00B15F67" w:rsidRPr="00631F21" w14:paraId="53DECD55" w14:textId="77777777" w:rsidTr="006D5864">
        <w:trPr>
          <w:trHeight w:val="300"/>
        </w:trPr>
        <w:tc>
          <w:tcPr>
            <w:tcW w:w="3936" w:type="dxa"/>
            <w:shd w:val="clear" w:color="auto" w:fill="C0C0C0"/>
            <w:noWrap/>
            <w:hideMark/>
          </w:tcPr>
          <w:p w14:paraId="1E8980F5"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Total do ICMS devido</w:t>
            </w:r>
          </w:p>
        </w:tc>
        <w:tc>
          <w:tcPr>
            <w:tcW w:w="2240" w:type="dxa"/>
            <w:tcBorders>
              <w:left w:val="nil"/>
              <w:right w:val="nil"/>
            </w:tcBorders>
            <w:shd w:val="clear" w:color="auto" w:fill="C0C0C0"/>
            <w:noWrap/>
            <w:hideMark/>
          </w:tcPr>
          <w:p w14:paraId="1C250934"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30,60 </w:t>
            </w:r>
          </w:p>
        </w:tc>
      </w:tr>
      <w:tr w:rsidR="00B10424" w:rsidRPr="00631F21" w14:paraId="27482768" w14:textId="77777777" w:rsidTr="006D5864">
        <w:trPr>
          <w:trHeight w:val="300"/>
        </w:trPr>
        <w:tc>
          <w:tcPr>
            <w:tcW w:w="3936" w:type="dxa"/>
            <w:shd w:val="clear" w:color="auto" w:fill="auto"/>
            <w:noWrap/>
            <w:hideMark/>
          </w:tcPr>
          <w:p w14:paraId="25780D9F"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Total do ICMS recolhido</w:t>
            </w:r>
          </w:p>
        </w:tc>
        <w:tc>
          <w:tcPr>
            <w:tcW w:w="2240" w:type="dxa"/>
            <w:shd w:val="clear" w:color="auto" w:fill="auto"/>
            <w:noWrap/>
            <w:hideMark/>
          </w:tcPr>
          <w:p w14:paraId="09AF5B24"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15,60 </w:t>
            </w:r>
          </w:p>
        </w:tc>
      </w:tr>
      <w:tr w:rsidR="00B15F67" w:rsidRPr="00631F21" w14:paraId="34EE50F8" w14:textId="77777777" w:rsidTr="006D5864">
        <w:trPr>
          <w:trHeight w:val="300"/>
        </w:trPr>
        <w:tc>
          <w:tcPr>
            <w:tcW w:w="3936" w:type="dxa"/>
            <w:shd w:val="clear" w:color="auto" w:fill="C0C0C0"/>
            <w:noWrap/>
            <w:hideMark/>
          </w:tcPr>
          <w:p w14:paraId="161C8485"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Economia sobre valor da operação</w:t>
            </w:r>
          </w:p>
        </w:tc>
        <w:tc>
          <w:tcPr>
            <w:tcW w:w="2240" w:type="dxa"/>
            <w:tcBorders>
              <w:left w:val="nil"/>
              <w:right w:val="nil"/>
            </w:tcBorders>
            <w:shd w:val="clear" w:color="auto" w:fill="C0C0C0"/>
            <w:noWrap/>
            <w:hideMark/>
          </w:tcPr>
          <w:p w14:paraId="5F149D95" w14:textId="77777777" w:rsidR="00B10424" w:rsidRPr="006D5864" w:rsidRDefault="00B10424" w:rsidP="006D5864">
            <w:pPr>
              <w:spacing w:line="276" w:lineRule="auto"/>
              <w:jc w:val="right"/>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8,21%</w:t>
            </w:r>
          </w:p>
        </w:tc>
      </w:tr>
    </w:tbl>
    <w:p w14:paraId="35A50CE4" w14:textId="77777777" w:rsidR="00B10424" w:rsidRPr="00631F21" w:rsidRDefault="00B10424" w:rsidP="00631F21">
      <w:pPr>
        <w:spacing w:line="276" w:lineRule="auto"/>
        <w:jc w:val="both"/>
        <w:rPr>
          <w:rFonts w:ascii="Arial" w:hAnsi="Arial" w:cs="Arial"/>
        </w:rPr>
      </w:pPr>
    </w:p>
    <w:p w14:paraId="17EC55A8" w14:textId="77777777" w:rsidR="00296847" w:rsidRDefault="00173988" w:rsidP="00631F21">
      <w:pPr>
        <w:spacing w:line="276" w:lineRule="auto"/>
        <w:ind w:firstLine="1418"/>
        <w:jc w:val="both"/>
        <w:rPr>
          <w:rFonts w:ascii="Arial" w:hAnsi="Arial" w:cs="Arial"/>
        </w:rPr>
      </w:pPr>
      <w:r w:rsidRPr="00631F21">
        <w:rPr>
          <w:rFonts w:ascii="Arial" w:hAnsi="Arial" w:cs="Arial"/>
        </w:rPr>
        <w:t xml:space="preserve">Como se pode observar, </w:t>
      </w:r>
      <w:r w:rsidR="00296847">
        <w:rPr>
          <w:rFonts w:ascii="Arial" w:hAnsi="Arial" w:cs="Arial"/>
        </w:rPr>
        <w:t xml:space="preserve">no momento em que a mercadoria entra no território nacional, o valor do ICMS-importação a ser recolhido seria de R$ 18,00, no entanto, como no exemplo acima há um benefício fiscal consistente no crédito presumido de ICMS à alíquota de 15%, o contribuinte acaba recolhendo somente R$ 3,00 de ICMS na importação. Posteriormente, na venda dessa mercadoria a contribuinte de outro estado, o importador aproveita esse crédito e não recolhe nenhum valor de ICMS. Finalmente, quando da venda da mercadoria ao consumidor final, tem-se </w:t>
      </w:r>
      <w:r w:rsidR="00296847" w:rsidRPr="00631F21">
        <w:rPr>
          <w:rFonts w:ascii="Arial" w:hAnsi="Arial" w:cs="Arial"/>
        </w:rPr>
        <w:t>o valor total pago</w:t>
      </w:r>
      <w:r w:rsidR="00296847">
        <w:rPr>
          <w:rFonts w:ascii="Arial" w:hAnsi="Arial" w:cs="Arial"/>
        </w:rPr>
        <w:t>de ICMS de</w:t>
      </w:r>
      <w:r w:rsidR="00296847" w:rsidRPr="00631F21">
        <w:rPr>
          <w:rFonts w:ascii="Arial" w:hAnsi="Arial" w:cs="Arial"/>
        </w:rPr>
        <w:t xml:space="preserve"> R$ 15,60.</w:t>
      </w:r>
      <w:r w:rsidR="00296847">
        <w:rPr>
          <w:rFonts w:ascii="Arial" w:hAnsi="Arial" w:cs="Arial"/>
        </w:rPr>
        <w:t xml:space="preserve"> Contudo, </w:t>
      </w:r>
      <w:r w:rsidRPr="00631F21">
        <w:rPr>
          <w:rFonts w:ascii="Arial" w:hAnsi="Arial" w:cs="Arial"/>
        </w:rPr>
        <w:t xml:space="preserve">sem a concessão dos benefícios, o valor total de ICMS que teria sido pago seria de R$ </w:t>
      </w:r>
      <w:r w:rsidR="00B10424" w:rsidRPr="00631F21">
        <w:rPr>
          <w:rFonts w:ascii="Arial" w:hAnsi="Arial" w:cs="Arial"/>
        </w:rPr>
        <w:t>30,6</w:t>
      </w:r>
      <w:r w:rsidRPr="00631F21">
        <w:rPr>
          <w:rFonts w:ascii="Arial" w:hAnsi="Arial" w:cs="Arial"/>
        </w:rPr>
        <w:t>0</w:t>
      </w:r>
      <w:r w:rsidR="006045C0" w:rsidRPr="00631F21">
        <w:rPr>
          <w:rFonts w:ascii="Arial" w:hAnsi="Arial" w:cs="Arial"/>
        </w:rPr>
        <w:t>.</w:t>
      </w:r>
      <w:r w:rsidRPr="00631F21">
        <w:rPr>
          <w:rFonts w:ascii="Arial" w:hAnsi="Arial" w:cs="Arial"/>
        </w:rPr>
        <w:t xml:space="preserve"> </w:t>
      </w:r>
    </w:p>
    <w:p w14:paraId="609EC4CD" w14:textId="77777777" w:rsidR="004552A9" w:rsidRPr="00631F21" w:rsidRDefault="00296847" w:rsidP="00631F21">
      <w:pPr>
        <w:spacing w:line="276" w:lineRule="auto"/>
        <w:ind w:firstLine="1418"/>
        <w:jc w:val="both"/>
        <w:rPr>
          <w:rFonts w:ascii="Arial" w:hAnsi="Arial" w:cs="Arial"/>
        </w:rPr>
      </w:pPr>
      <w:r>
        <w:rPr>
          <w:rFonts w:ascii="Arial" w:hAnsi="Arial" w:cs="Arial"/>
        </w:rPr>
        <w:lastRenderedPageBreak/>
        <w:t>Desta forma, no exemplo acima, a concessão de benefícios fiscais de ICMS na Importação resultou em u</w:t>
      </w:r>
      <w:r w:rsidR="00B10424" w:rsidRPr="00631F21">
        <w:rPr>
          <w:rFonts w:ascii="Arial" w:hAnsi="Arial" w:cs="Arial"/>
        </w:rPr>
        <w:t>ma economia de aproximadamente 8,21% sobre o valor total da operação.</w:t>
      </w:r>
      <w:r w:rsidR="00CF665D" w:rsidRPr="00CF665D">
        <w:rPr>
          <w:rFonts w:ascii="Arial" w:hAnsi="Arial" w:cs="Arial"/>
        </w:rPr>
        <w:t xml:space="preserve"> </w:t>
      </w:r>
      <w:r>
        <w:rPr>
          <w:rFonts w:ascii="Arial" w:hAnsi="Arial" w:cs="Arial"/>
        </w:rPr>
        <w:t>Isso significa que  o</w:t>
      </w:r>
      <w:r w:rsidR="00CF665D" w:rsidRPr="00631F21">
        <w:rPr>
          <w:rFonts w:ascii="Arial" w:hAnsi="Arial" w:cs="Arial"/>
        </w:rPr>
        <w:t xml:space="preserve"> incentivo fiscal pode ser considerado um cu</w:t>
      </w:r>
      <w:r w:rsidR="00CF665D">
        <w:rPr>
          <w:rFonts w:ascii="Arial" w:hAnsi="Arial" w:cs="Arial"/>
        </w:rPr>
        <w:t>sto de transação, uma vez que pode ser</w:t>
      </w:r>
      <w:r w:rsidR="00CF665D" w:rsidRPr="00631F21">
        <w:rPr>
          <w:rFonts w:ascii="Arial" w:hAnsi="Arial" w:cs="Arial"/>
        </w:rPr>
        <w:t xml:space="preserve"> capaz de alterar a tomada de decisões das empresas. Assim, a escolha racional do seu administrador poderá levar a nova unidade da empresa para o </w:t>
      </w:r>
      <w:r w:rsidR="00CF665D">
        <w:rPr>
          <w:rFonts w:ascii="Arial" w:hAnsi="Arial" w:cs="Arial"/>
        </w:rPr>
        <w:t>E</w:t>
      </w:r>
      <w:r w:rsidR="00CF665D" w:rsidRPr="00631F21">
        <w:rPr>
          <w:rFonts w:ascii="Arial" w:hAnsi="Arial" w:cs="Arial"/>
        </w:rPr>
        <w:t>stado que fornecer os melhores benefícios fiscais</w:t>
      </w:r>
      <w:r w:rsidR="00CF665D">
        <w:rPr>
          <w:rFonts w:ascii="Arial" w:hAnsi="Arial" w:cs="Arial"/>
        </w:rPr>
        <w:t>, desde que os benefícios superem os custos da mudança</w:t>
      </w:r>
      <w:r w:rsidR="00516E3B">
        <w:rPr>
          <w:rFonts w:ascii="Arial" w:hAnsi="Arial" w:cs="Arial"/>
        </w:rPr>
        <w:t xml:space="preserve"> (Gonçalves; Ribeiro, 2013, p. 85)</w:t>
      </w:r>
      <w:r w:rsidR="00CF665D" w:rsidRPr="00631F21">
        <w:rPr>
          <w:rFonts w:ascii="Arial" w:hAnsi="Arial" w:cs="Arial"/>
        </w:rPr>
        <w:t>.</w:t>
      </w:r>
    </w:p>
    <w:p w14:paraId="45F0E435" w14:textId="77777777" w:rsidR="008D62AA" w:rsidRDefault="00173988" w:rsidP="008D62AA">
      <w:pPr>
        <w:spacing w:line="276" w:lineRule="auto"/>
        <w:ind w:firstLine="1418"/>
        <w:jc w:val="both"/>
        <w:rPr>
          <w:rFonts w:ascii="Arial" w:hAnsi="Arial" w:cs="Arial"/>
        </w:rPr>
      </w:pPr>
      <w:r w:rsidRPr="00631F21">
        <w:rPr>
          <w:rFonts w:ascii="Arial" w:hAnsi="Arial" w:cs="Arial"/>
        </w:rPr>
        <w:t xml:space="preserve">Como essa possibilidade de concessão de benefícios geraria guerra fiscal entre os estados, a Constituição Federal previu, em seu art. 155, XII, “g”, que caberia </w:t>
      </w:r>
      <w:r w:rsidR="006045C0" w:rsidRPr="00631F21">
        <w:rPr>
          <w:rFonts w:ascii="Arial" w:hAnsi="Arial" w:cs="Arial"/>
        </w:rPr>
        <w:t>à</w:t>
      </w:r>
      <w:r w:rsidRPr="00631F21">
        <w:rPr>
          <w:rFonts w:ascii="Arial" w:hAnsi="Arial" w:cs="Arial"/>
        </w:rPr>
        <w:t xml:space="preserve"> lei complementar </w:t>
      </w:r>
      <w:r w:rsidRPr="00631F21">
        <w:rPr>
          <w:rFonts w:ascii="Arial" w:hAnsi="Arial" w:cs="Arial"/>
          <w:i/>
        </w:rPr>
        <w:t>“regular a forma como, mediante deliberação dos Estados e do Distrito Federal, isenções, incentivos e benefícios fiscais serão concedidos e revogados”</w:t>
      </w:r>
      <w:r w:rsidRPr="00631F21">
        <w:rPr>
          <w:rFonts w:ascii="Arial" w:hAnsi="Arial" w:cs="Arial"/>
        </w:rPr>
        <w:t>.</w:t>
      </w:r>
      <w:r w:rsidR="008D62AA">
        <w:rPr>
          <w:rFonts w:ascii="Arial" w:hAnsi="Arial" w:cs="Arial"/>
        </w:rPr>
        <w:t xml:space="preserve"> No entanto, essa lei complementar nunca foi elaborada pelo Congresso Nacional. </w:t>
      </w:r>
    </w:p>
    <w:p w14:paraId="456FA922" w14:textId="77777777" w:rsidR="00173988" w:rsidRPr="00631F21" w:rsidRDefault="008D62AA" w:rsidP="008D62AA">
      <w:pPr>
        <w:spacing w:line="276" w:lineRule="auto"/>
        <w:ind w:firstLine="1418"/>
        <w:jc w:val="both"/>
        <w:rPr>
          <w:rFonts w:ascii="Arial" w:hAnsi="Arial" w:cs="Arial"/>
        </w:rPr>
      </w:pPr>
      <w:r>
        <w:rPr>
          <w:rFonts w:ascii="Arial" w:hAnsi="Arial" w:cs="Arial"/>
        </w:rPr>
        <w:t xml:space="preserve">Diante da ausência, doutrina e jurisprudência têm considerado recepcionada uma lei editada no período de ditadura militar, a Lei Complementar n. 24/1975. Essa lei, em expediente claramente antidemocrático, </w:t>
      </w:r>
      <w:r w:rsidR="00173988" w:rsidRPr="00631F21">
        <w:rPr>
          <w:rFonts w:ascii="Arial" w:hAnsi="Arial" w:cs="Arial"/>
        </w:rPr>
        <w:t>defini</w:t>
      </w:r>
      <w:r>
        <w:rPr>
          <w:rFonts w:ascii="Arial" w:hAnsi="Arial" w:cs="Arial"/>
        </w:rPr>
        <w:t>u</w:t>
      </w:r>
      <w:r w:rsidR="00173988" w:rsidRPr="00631F21">
        <w:rPr>
          <w:rFonts w:ascii="Arial" w:hAnsi="Arial" w:cs="Arial"/>
        </w:rPr>
        <w:t xml:space="preserve"> que a concessão de qualquer benefício em relação ao ICMS dependeria de aprova</w:t>
      </w:r>
      <w:r>
        <w:rPr>
          <w:rFonts w:ascii="Arial" w:hAnsi="Arial" w:cs="Arial"/>
        </w:rPr>
        <w:t>ção unânime de todos os Estados, mediante voto no</w:t>
      </w:r>
      <w:r w:rsidR="00173988" w:rsidRPr="00631F21">
        <w:rPr>
          <w:rFonts w:ascii="Arial" w:hAnsi="Arial" w:cs="Arial"/>
        </w:rPr>
        <w:t xml:space="preserve"> Conselho Nacional de Política Fazendária </w:t>
      </w:r>
      <w:r>
        <w:rPr>
          <w:rFonts w:ascii="Arial" w:hAnsi="Arial" w:cs="Arial"/>
        </w:rPr>
        <w:t>–</w:t>
      </w:r>
      <w:r w:rsidR="00173988" w:rsidRPr="00631F21">
        <w:rPr>
          <w:rFonts w:ascii="Arial" w:hAnsi="Arial" w:cs="Arial"/>
        </w:rPr>
        <w:t xml:space="preserve"> CONFAZ. </w:t>
      </w:r>
      <w:r>
        <w:rPr>
          <w:rFonts w:ascii="Arial" w:hAnsi="Arial" w:cs="Arial"/>
        </w:rPr>
        <w:t>Na Constituição de 1988, nem Emenda Constitucional demanda aprovação unânime e a forma federativa de Estado é cláusula pétrea; ainda assim, a comunidade jurídica tem considerado recepcionada a Lei Complementar n. 24/1975, que requer unanimidade para que um Estado relativamente autônomo possa decidir a respeito de seu principal imposto.</w:t>
      </w:r>
    </w:p>
    <w:p w14:paraId="67B85C0F" w14:textId="77777777" w:rsidR="00173988" w:rsidRPr="00631F21" w:rsidRDefault="008D62AA" w:rsidP="00631F21">
      <w:pPr>
        <w:spacing w:line="276" w:lineRule="auto"/>
        <w:ind w:firstLine="1418"/>
        <w:jc w:val="both"/>
        <w:rPr>
          <w:rFonts w:ascii="Arial" w:hAnsi="Arial" w:cs="Arial"/>
        </w:rPr>
      </w:pPr>
      <w:r>
        <w:rPr>
          <w:rFonts w:ascii="Arial" w:hAnsi="Arial" w:cs="Arial"/>
        </w:rPr>
        <w:t>Justamente em função da extrema dificuldade de se conseguir unanimidade</w:t>
      </w:r>
      <w:r w:rsidR="00173988" w:rsidRPr="00631F21">
        <w:rPr>
          <w:rFonts w:ascii="Arial" w:hAnsi="Arial" w:cs="Arial"/>
        </w:rPr>
        <w:t xml:space="preserve">, os Estados passaram a conceder diversas espécies de benefícios fiscais, </w:t>
      </w:r>
      <w:r w:rsidR="00061CC1" w:rsidRPr="00631F21">
        <w:rPr>
          <w:rFonts w:ascii="Arial" w:hAnsi="Arial" w:cs="Arial"/>
        </w:rPr>
        <w:t>sem aprovação prévia do CONFAZ</w:t>
      </w:r>
      <w:r w:rsidR="00346F75">
        <w:rPr>
          <w:rFonts w:ascii="Arial" w:hAnsi="Arial" w:cs="Arial"/>
        </w:rPr>
        <w:t>,</w:t>
      </w:r>
      <w:r w:rsidR="00061CC1" w:rsidRPr="00631F21">
        <w:rPr>
          <w:rFonts w:ascii="Arial" w:hAnsi="Arial" w:cs="Arial"/>
        </w:rPr>
        <w:t xml:space="preserve"> </w:t>
      </w:r>
      <w:r w:rsidR="00173988" w:rsidRPr="00631F21">
        <w:rPr>
          <w:rFonts w:ascii="Arial" w:hAnsi="Arial" w:cs="Arial"/>
        </w:rPr>
        <w:t>a fim de reduzir o ICMS</w:t>
      </w:r>
      <w:r w:rsidR="00061CC1">
        <w:rPr>
          <w:rFonts w:ascii="Arial" w:hAnsi="Arial" w:cs="Arial"/>
        </w:rPr>
        <w:t>,</w:t>
      </w:r>
      <w:r w:rsidR="00173988" w:rsidRPr="00631F21">
        <w:rPr>
          <w:rFonts w:ascii="Arial" w:hAnsi="Arial" w:cs="Arial"/>
        </w:rPr>
        <w:t xml:space="preserve"> principalmen</w:t>
      </w:r>
      <w:r w:rsidR="00061CC1">
        <w:rPr>
          <w:rFonts w:ascii="Arial" w:hAnsi="Arial" w:cs="Arial"/>
        </w:rPr>
        <w:t>te na importação de mercadorias</w:t>
      </w:r>
      <w:r w:rsidR="006F3B60">
        <w:rPr>
          <w:rFonts w:ascii="Arial" w:hAnsi="Arial" w:cs="Arial"/>
        </w:rPr>
        <w:t xml:space="preserve"> (Melo, 2012, p. 65)</w:t>
      </w:r>
      <w:r w:rsidR="00B22E7D" w:rsidRPr="00631F21">
        <w:rPr>
          <w:rFonts w:ascii="Arial" w:hAnsi="Arial" w:cs="Arial"/>
        </w:rPr>
        <w:t>.</w:t>
      </w:r>
      <w:r w:rsidR="00173988" w:rsidRPr="00631F21">
        <w:rPr>
          <w:rFonts w:ascii="Arial" w:hAnsi="Arial" w:cs="Arial"/>
        </w:rPr>
        <w:t xml:space="preserve"> O objetivo dessa prática foi justamente atrair empresas e investimento</w:t>
      </w:r>
      <w:r w:rsidR="00137E77">
        <w:rPr>
          <w:rFonts w:ascii="Arial" w:hAnsi="Arial" w:cs="Arial"/>
        </w:rPr>
        <w:t>s, o que resultou na conhecida guerra dos portos</w:t>
      </w:r>
      <w:r w:rsidR="00173988" w:rsidRPr="00631F21">
        <w:rPr>
          <w:rFonts w:ascii="Arial" w:hAnsi="Arial" w:cs="Arial"/>
        </w:rPr>
        <w:t>.</w:t>
      </w:r>
    </w:p>
    <w:p w14:paraId="26B09C11" w14:textId="77777777" w:rsidR="007B5DB9" w:rsidRPr="00631F21" w:rsidRDefault="00173988" w:rsidP="00346F75">
      <w:pPr>
        <w:spacing w:line="276" w:lineRule="auto"/>
        <w:ind w:firstLine="1418"/>
        <w:jc w:val="both"/>
        <w:rPr>
          <w:rFonts w:ascii="Arial" w:hAnsi="Arial" w:cs="Arial"/>
        </w:rPr>
      </w:pPr>
      <w:r w:rsidRPr="00631F21">
        <w:rPr>
          <w:rFonts w:ascii="Arial" w:hAnsi="Arial" w:cs="Arial"/>
        </w:rPr>
        <w:t xml:space="preserve">Como intuito de </w:t>
      </w:r>
      <w:r w:rsidR="00061CC1">
        <w:rPr>
          <w:rFonts w:ascii="Arial" w:hAnsi="Arial" w:cs="Arial"/>
        </w:rPr>
        <w:t>inviabilizar essa disputa</w:t>
      </w:r>
      <w:r w:rsidRPr="00631F21">
        <w:rPr>
          <w:rFonts w:ascii="Arial" w:hAnsi="Arial" w:cs="Arial"/>
        </w:rPr>
        <w:t xml:space="preserve">, o Senado Federal promulgou, em 25/04/2012, a Resolução n. 13, </w:t>
      </w:r>
      <w:r w:rsidR="00061CC1">
        <w:rPr>
          <w:rFonts w:ascii="Arial" w:hAnsi="Arial" w:cs="Arial"/>
        </w:rPr>
        <w:t>vigente desde</w:t>
      </w:r>
      <w:r w:rsidRPr="00631F21">
        <w:rPr>
          <w:rFonts w:ascii="Arial" w:hAnsi="Arial" w:cs="Arial"/>
        </w:rPr>
        <w:t xml:space="preserve"> 1</w:t>
      </w:r>
      <w:r w:rsidR="00061CC1">
        <w:rPr>
          <w:rFonts w:ascii="Arial" w:hAnsi="Arial" w:cs="Arial"/>
        </w:rPr>
        <w:t>.</w:t>
      </w:r>
      <w:r w:rsidRPr="00631F21">
        <w:rPr>
          <w:rFonts w:ascii="Arial" w:hAnsi="Arial" w:cs="Arial"/>
        </w:rPr>
        <w:t>º de janeiro de 2013.</w:t>
      </w:r>
      <w:r w:rsidR="00346F75">
        <w:rPr>
          <w:rFonts w:ascii="Arial" w:hAnsi="Arial" w:cs="Arial"/>
        </w:rPr>
        <w:t xml:space="preserve"> </w:t>
      </w:r>
      <w:r w:rsidRPr="00631F21">
        <w:rPr>
          <w:rFonts w:ascii="Arial" w:hAnsi="Arial" w:cs="Arial"/>
        </w:rPr>
        <w:t>A resolução estabeleceu alíquota interestadual</w:t>
      </w:r>
      <w:r w:rsidR="00346F75">
        <w:rPr>
          <w:rFonts w:ascii="Arial" w:hAnsi="Arial" w:cs="Arial"/>
        </w:rPr>
        <w:t xml:space="preserve"> de 4%</w:t>
      </w:r>
      <w:r w:rsidRPr="00631F21">
        <w:rPr>
          <w:rFonts w:ascii="Arial" w:hAnsi="Arial" w:cs="Arial"/>
        </w:rPr>
        <w:t xml:space="preserve"> para operaçõ</w:t>
      </w:r>
      <w:r w:rsidR="00346F75">
        <w:rPr>
          <w:rFonts w:ascii="Arial" w:hAnsi="Arial" w:cs="Arial"/>
        </w:rPr>
        <w:t>es com produtos importados</w:t>
      </w:r>
      <w:r w:rsidRPr="00631F21">
        <w:rPr>
          <w:rFonts w:ascii="Arial" w:hAnsi="Arial" w:cs="Arial"/>
        </w:rPr>
        <w:t xml:space="preserve">, </w:t>
      </w:r>
      <w:r w:rsidR="00346F75">
        <w:rPr>
          <w:rFonts w:ascii="Arial" w:hAnsi="Arial" w:cs="Arial"/>
        </w:rPr>
        <w:t>desde</w:t>
      </w:r>
      <w:r w:rsidRPr="00631F21">
        <w:rPr>
          <w:rFonts w:ascii="Arial" w:hAnsi="Arial" w:cs="Arial"/>
        </w:rPr>
        <w:t xml:space="preserve"> que esses produtos não tenham sido submetidos </w:t>
      </w:r>
      <w:r w:rsidR="00346F75">
        <w:rPr>
          <w:rFonts w:ascii="Arial" w:hAnsi="Arial" w:cs="Arial"/>
        </w:rPr>
        <w:t>a processo de industrialização ou</w:t>
      </w:r>
      <w:r w:rsidRPr="00631F21">
        <w:rPr>
          <w:rFonts w:ascii="Arial" w:hAnsi="Arial" w:cs="Arial"/>
        </w:rPr>
        <w:t xml:space="preserve"> que</w:t>
      </w:r>
      <w:r w:rsidR="00346F75">
        <w:rPr>
          <w:rFonts w:ascii="Arial" w:hAnsi="Arial" w:cs="Arial"/>
        </w:rPr>
        <w:t>, caso</w:t>
      </w:r>
      <w:r w:rsidRPr="00631F21">
        <w:rPr>
          <w:rFonts w:ascii="Arial" w:hAnsi="Arial" w:cs="Arial"/>
        </w:rPr>
        <w:t xml:space="preserve"> submetidos a qualquer processo de transformação, resultem em mercadorias ou bens com </w:t>
      </w:r>
      <w:r w:rsidR="00346F75">
        <w:rPr>
          <w:rFonts w:ascii="Arial" w:hAnsi="Arial" w:cs="Arial"/>
        </w:rPr>
        <w:t>conteúdo de i</w:t>
      </w:r>
      <w:r w:rsidRPr="00631F21">
        <w:rPr>
          <w:rFonts w:ascii="Arial" w:hAnsi="Arial" w:cs="Arial"/>
        </w:rPr>
        <w:t>mportação superior a 40% (quarenta por cento).</w:t>
      </w:r>
      <w:r w:rsidR="00346F75">
        <w:rPr>
          <w:rFonts w:ascii="Arial" w:hAnsi="Arial" w:cs="Arial"/>
        </w:rPr>
        <w:t xml:space="preserve"> </w:t>
      </w:r>
      <w:r w:rsidR="007B5DB9" w:rsidRPr="00631F21">
        <w:rPr>
          <w:rFonts w:ascii="Arial" w:hAnsi="Arial" w:cs="Arial"/>
        </w:rPr>
        <w:t>Assim, os bens produzidos no Brasil e aqueles que não se enquadram nos critérios acima continuam sujeitos às alíquotas interestaduais de 7% e 12%</w:t>
      </w:r>
      <w:r w:rsidR="00346F75">
        <w:rPr>
          <w:rFonts w:ascii="Arial" w:hAnsi="Arial" w:cs="Arial"/>
        </w:rPr>
        <w:t xml:space="preserve">. </w:t>
      </w:r>
      <w:r w:rsidR="007B5DB9" w:rsidRPr="00631F21">
        <w:rPr>
          <w:rFonts w:ascii="Arial" w:hAnsi="Arial" w:cs="Arial"/>
        </w:rPr>
        <w:t xml:space="preserve">Além disso, também não se enquadram na nova alíquota interestadual </w:t>
      </w:r>
      <w:r w:rsidR="00B10424" w:rsidRPr="00631F21">
        <w:rPr>
          <w:rFonts w:ascii="Arial" w:hAnsi="Arial" w:cs="Arial"/>
        </w:rPr>
        <w:t xml:space="preserve">de 4%, os </w:t>
      </w:r>
      <w:r w:rsidR="007B5DB9" w:rsidRPr="00631F21">
        <w:rPr>
          <w:rFonts w:ascii="Arial" w:hAnsi="Arial" w:cs="Arial"/>
        </w:rPr>
        <w:t xml:space="preserve">bens e mercadorias importados que não tenham similar </w:t>
      </w:r>
      <w:r w:rsidR="00B10424" w:rsidRPr="00631F21">
        <w:rPr>
          <w:rFonts w:ascii="Arial" w:hAnsi="Arial" w:cs="Arial"/>
        </w:rPr>
        <w:t xml:space="preserve">nacional e os </w:t>
      </w:r>
      <w:r w:rsidR="007B5DB9" w:rsidRPr="00631F21">
        <w:rPr>
          <w:rFonts w:ascii="Arial" w:hAnsi="Arial" w:cs="Arial"/>
        </w:rPr>
        <w:t xml:space="preserve">bens produzidos por </w:t>
      </w:r>
      <w:r w:rsidR="00B10424" w:rsidRPr="00631F21">
        <w:rPr>
          <w:rFonts w:ascii="Arial" w:hAnsi="Arial" w:cs="Arial"/>
        </w:rPr>
        <w:lastRenderedPageBreak/>
        <w:t>processo produtivo básico (</w:t>
      </w:r>
      <w:r w:rsidR="007B5DB9" w:rsidRPr="00631F21">
        <w:rPr>
          <w:rFonts w:ascii="Arial" w:hAnsi="Arial" w:cs="Arial"/>
        </w:rPr>
        <w:t xml:space="preserve">algumas indústrias de setores como de informática, </w:t>
      </w:r>
      <w:r w:rsidR="00B10424" w:rsidRPr="00631F21">
        <w:rPr>
          <w:rFonts w:ascii="Arial" w:hAnsi="Arial" w:cs="Arial"/>
        </w:rPr>
        <w:t xml:space="preserve">tecnologia e comunicação, </w:t>
      </w:r>
      <w:r w:rsidR="007B5DB9" w:rsidRPr="00631F21">
        <w:rPr>
          <w:rFonts w:ascii="Arial" w:hAnsi="Arial" w:cs="Arial"/>
        </w:rPr>
        <w:t>que tem um plano apre</w:t>
      </w:r>
      <w:r w:rsidR="00B10424" w:rsidRPr="00631F21">
        <w:rPr>
          <w:rFonts w:ascii="Arial" w:hAnsi="Arial" w:cs="Arial"/>
        </w:rPr>
        <w:t>sentado e aprovado pelo governo).</w:t>
      </w:r>
    </w:p>
    <w:p w14:paraId="6060123D" w14:textId="77777777" w:rsidR="00B10424" w:rsidRPr="00631F21" w:rsidRDefault="00B10424" w:rsidP="00631F21">
      <w:pPr>
        <w:spacing w:line="276" w:lineRule="auto"/>
        <w:ind w:firstLine="1418"/>
        <w:jc w:val="both"/>
        <w:rPr>
          <w:rFonts w:ascii="Arial" w:hAnsi="Arial" w:cs="Arial"/>
        </w:rPr>
      </w:pPr>
      <w:r w:rsidRPr="00631F21">
        <w:rPr>
          <w:rFonts w:ascii="Arial" w:hAnsi="Arial" w:cs="Arial"/>
        </w:rPr>
        <w:t xml:space="preserve">Se utilizarmos </w:t>
      </w:r>
      <w:r w:rsidR="00346F75">
        <w:rPr>
          <w:rFonts w:ascii="Arial" w:hAnsi="Arial" w:cs="Arial"/>
        </w:rPr>
        <w:t>o exemplo hipotético anterior</w:t>
      </w:r>
      <w:r w:rsidRPr="00631F21">
        <w:rPr>
          <w:rFonts w:ascii="Arial" w:hAnsi="Arial" w:cs="Arial"/>
        </w:rPr>
        <w:t>, mas aplicando as mudanças da Resolução n. 13/2012, teremos a seguinte tabela:</w:t>
      </w:r>
    </w:p>
    <w:p w14:paraId="60A894BC" w14:textId="77777777" w:rsidR="00B10424" w:rsidRPr="00631F21" w:rsidRDefault="00B10424" w:rsidP="00631F21">
      <w:pPr>
        <w:spacing w:line="276" w:lineRule="auto"/>
        <w:ind w:firstLine="1418"/>
        <w:jc w:val="both"/>
        <w:rPr>
          <w:rFonts w:ascii="Arial" w:hAnsi="Arial" w:cs="Arial"/>
        </w:rPr>
      </w:pPr>
    </w:p>
    <w:tbl>
      <w:tblPr>
        <w:tblW w:w="5528" w:type="dxa"/>
        <w:tblInd w:w="1526" w:type="dxa"/>
        <w:tblBorders>
          <w:top w:val="single" w:sz="8" w:space="0" w:color="000000"/>
          <w:bottom w:val="single" w:sz="8" w:space="0" w:color="000000"/>
        </w:tblBorders>
        <w:tblLayout w:type="fixed"/>
        <w:tblLook w:val="04A0" w:firstRow="1" w:lastRow="0" w:firstColumn="1" w:lastColumn="0" w:noHBand="0" w:noVBand="1"/>
      </w:tblPr>
      <w:tblGrid>
        <w:gridCol w:w="3969"/>
        <w:gridCol w:w="1559"/>
      </w:tblGrid>
      <w:tr w:rsidR="00BD40DD" w:rsidRPr="00631F21" w14:paraId="2C652612" w14:textId="77777777" w:rsidTr="006D5864">
        <w:trPr>
          <w:trHeight w:val="300"/>
        </w:trPr>
        <w:tc>
          <w:tcPr>
            <w:tcW w:w="3969" w:type="dxa"/>
            <w:tcBorders>
              <w:top w:val="single" w:sz="8" w:space="0" w:color="000000"/>
              <w:bottom w:val="single" w:sz="8" w:space="0" w:color="000000"/>
            </w:tcBorders>
            <w:shd w:val="clear" w:color="auto" w:fill="auto"/>
            <w:noWrap/>
            <w:hideMark/>
          </w:tcPr>
          <w:p w14:paraId="3E5EE3B0"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Operação</w:t>
            </w:r>
          </w:p>
        </w:tc>
        <w:tc>
          <w:tcPr>
            <w:tcW w:w="1559" w:type="dxa"/>
            <w:tcBorders>
              <w:top w:val="single" w:sz="8" w:space="0" w:color="000000"/>
              <w:bottom w:val="single" w:sz="8" w:space="0" w:color="000000"/>
            </w:tcBorders>
            <w:shd w:val="clear" w:color="auto" w:fill="auto"/>
            <w:noWrap/>
            <w:hideMark/>
          </w:tcPr>
          <w:p w14:paraId="5951A649" w14:textId="77777777" w:rsidR="00B10424" w:rsidRPr="006D5864" w:rsidRDefault="00B10424" w:rsidP="006D5864">
            <w:pPr>
              <w:spacing w:line="276" w:lineRule="auto"/>
              <w:jc w:val="center"/>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Valores (R$)</w:t>
            </w:r>
          </w:p>
        </w:tc>
      </w:tr>
      <w:tr w:rsidR="00B15F67" w:rsidRPr="00631F21" w14:paraId="6E8FEA80" w14:textId="77777777" w:rsidTr="006D5864">
        <w:trPr>
          <w:trHeight w:val="280"/>
        </w:trPr>
        <w:tc>
          <w:tcPr>
            <w:tcW w:w="3969" w:type="dxa"/>
            <w:shd w:val="clear" w:color="auto" w:fill="C0C0C0"/>
            <w:noWrap/>
            <w:hideMark/>
          </w:tcPr>
          <w:p w14:paraId="3F725B6D"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da importação</w:t>
            </w:r>
          </w:p>
        </w:tc>
        <w:tc>
          <w:tcPr>
            <w:tcW w:w="1559" w:type="dxa"/>
            <w:tcBorders>
              <w:left w:val="nil"/>
              <w:right w:val="nil"/>
            </w:tcBorders>
            <w:shd w:val="clear" w:color="auto" w:fill="C0C0C0"/>
            <w:noWrap/>
            <w:hideMark/>
          </w:tcPr>
          <w:p w14:paraId="212A4B1A"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100,00 </w:t>
            </w:r>
          </w:p>
        </w:tc>
      </w:tr>
      <w:tr w:rsidR="00BD40DD" w:rsidRPr="00631F21" w14:paraId="1924453D" w14:textId="77777777" w:rsidTr="006D5864">
        <w:trPr>
          <w:trHeight w:val="280"/>
        </w:trPr>
        <w:tc>
          <w:tcPr>
            <w:tcW w:w="3969" w:type="dxa"/>
            <w:shd w:val="clear" w:color="auto" w:fill="auto"/>
            <w:noWrap/>
            <w:hideMark/>
          </w:tcPr>
          <w:p w14:paraId="22242A56"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a recolher na entrada (18%)</w:t>
            </w:r>
          </w:p>
        </w:tc>
        <w:tc>
          <w:tcPr>
            <w:tcW w:w="1559" w:type="dxa"/>
            <w:shd w:val="clear" w:color="auto" w:fill="auto"/>
            <w:noWrap/>
            <w:hideMark/>
          </w:tcPr>
          <w:p w14:paraId="6078E634"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18,00 </w:t>
            </w:r>
          </w:p>
        </w:tc>
      </w:tr>
      <w:tr w:rsidR="00B15F67" w:rsidRPr="00631F21" w14:paraId="5E46B356" w14:textId="77777777" w:rsidTr="006D5864">
        <w:trPr>
          <w:trHeight w:val="280"/>
        </w:trPr>
        <w:tc>
          <w:tcPr>
            <w:tcW w:w="3969" w:type="dxa"/>
            <w:shd w:val="clear" w:color="auto" w:fill="C0C0C0"/>
            <w:noWrap/>
            <w:hideMark/>
          </w:tcPr>
          <w:p w14:paraId="1F8101AA"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Crédito presumido (15%)</w:t>
            </w:r>
          </w:p>
        </w:tc>
        <w:tc>
          <w:tcPr>
            <w:tcW w:w="1559" w:type="dxa"/>
            <w:tcBorders>
              <w:left w:val="nil"/>
              <w:right w:val="nil"/>
            </w:tcBorders>
            <w:shd w:val="clear" w:color="auto" w:fill="C0C0C0"/>
            <w:noWrap/>
            <w:hideMark/>
          </w:tcPr>
          <w:p w14:paraId="33299BB1"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15,00 </w:t>
            </w:r>
          </w:p>
        </w:tc>
      </w:tr>
      <w:tr w:rsidR="00BD40DD" w:rsidRPr="00631F21" w14:paraId="29C052A9" w14:textId="77777777" w:rsidTr="006D5864">
        <w:trPr>
          <w:trHeight w:val="300"/>
        </w:trPr>
        <w:tc>
          <w:tcPr>
            <w:tcW w:w="3969" w:type="dxa"/>
            <w:shd w:val="clear" w:color="auto" w:fill="auto"/>
            <w:noWrap/>
            <w:hideMark/>
          </w:tcPr>
          <w:p w14:paraId="595AC282"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pago</w:t>
            </w:r>
          </w:p>
        </w:tc>
        <w:tc>
          <w:tcPr>
            <w:tcW w:w="1559" w:type="dxa"/>
            <w:shd w:val="clear" w:color="auto" w:fill="auto"/>
            <w:noWrap/>
            <w:hideMark/>
          </w:tcPr>
          <w:p w14:paraId="09E4CE05"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3,00 </w:t>
            </w:r>
          </w:p>
        </w:tc>
      </w:tr>
      <w:tr w:rsidR="00B15F67" w:rsidRPr="00631F21" w14:paraId="69456B69" w14:textId="77777777" w:rsidTr="006D5864">
        <w:trPr>
          <w:trHeight w:val="280"/>
        </w:trPr>
        <w:tc>
          <w:tcPr>
            <w:tcW w:w="3969" w:type="dxa"/>
            <w:shd w:val="clear" w:color="auto" w:fill="C0C0C0"/>
            <w:noWrap/>
            <w:hideMark/>
          </w:tcPr>
          <w:p w14:paraId="522FE3C0"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Venda interestadual</w:t>
            </w:r>
          </w:p>
        </w:tc>
        <w:tc>
          <w:tcPr>
            <w:tcW w:w="1559" w:type="dxa"/>
            <w:tcBorders>
              <w:left w:val="nil"/>
              <w:right w:val="nil"/>
            </w:tcBorders>
            <w:shd w:val="clear" w:color="auto" w:fill="C0C0C0"/>
            <w:noWrap/>
            <w:hideMark/>
          </w:tcPr>
          <w:p w14:paraId="12412C19"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150,00 </w:t>
            </w:r>
          </w:p>
        </w:tc>
      </w:tr>
      <w:tr w:rsidR="00BD40DD" w:rsidRPr="00631F21" w14:paraId="6C3FF3E0" w14:textId="77777777" w:rsidTr="006D5864">
        <w:trPr>
          <w:trHeight w:val="280"/>
        </w:trPr>
        <w:tc>
          <w:tcPr>
            <w:tcW w:w="3969" w:type="dxa"/>
            <w:shd w:val="clear" w:color="auto" w:fill="auto"/>
            <w:noWrap/>
            <w:hideMark/>
          </w:tcPr>
          <w:p w14:paraId="27367B0E"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interestadual (4%)</w:t>
            </w:r>
          </w:p>
        </w:tc>
        <w:tc>
          <w:tcPr>
            <w:tcW w:w="1559" w:type="dxa"/>
            <w:shd w:val="clear" w:color="auto" w:fill="auto"/>
            <w:noWrap/>
            <w:hideMark/>
          </w:tcPr>
          <w:p w14:paraId="701B8EBE"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6,00 </w:t>
            </w:r>
          </w:p>
        </w:tc>
      </w:tr>
      <w:tr w:rsidR="00B15F67" w:rsidRPr="00631F21" w14:paraId="6CE23173" w14:textId="77777777" w:rsidTr="006D5864">
        <w:trPr>
          <w:trHeight w:val="280"/>
        </w:trPr>
        <w:tc>
          <w:tcPr>
            <w:tcW w:w="3969" w:type="dxa"/>
            <w:shd w:val="clear" w:color="auto" w:fill="C0C0C0"/>
            <w:noWrap/>
            <w:hideMark/>
          </w:tcPr>
          <w:p w14:paraId="6C7BC518"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Diferença de ICMS a recolher</w:t>
            </w:r>
          </w:p>
        </w:tc>
        <w:tc>
          <w:tcPr>
            <w:tcW w:w="1559" w:type="dxa"/>
            <w:tcBorders>
              <w:left w:val="nil"/>
              <w:right w:val="nil"/>
            </w:tcBorders>
            <w:shd w:val="clear" w:color="auto" w:fill="C0C0C0"/>
            <w:noWrap/>
            <w:hideMark/>
          </w:tcPr>
          <w:p w14:paraId="63451923"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   </w:t>
            </w:r>
          </w:p>
        </w:tc>
      </w:tr>
      <w:tr w:rsidR="00BD40DD" w:rsidRPr="00631F21" w14:paraId="09BF19AA" w14:textId="77777777" w:rsidTr="006D5864">
        <w:trPr>
          <w:trHeight w:val="300"/>
        </w:trPr>
        <w:tc>
          <w:tcPr>
            <w:tcW w:w="3969" w:type="dxa"/>
            <w:shd w:val="clear" w:color="auto" w:fill="auto"/>
            <w:noWrap/>
            <w:hideMark/>
          </w:tcPr>
          <w:p w14:paraId="3C8FEB89"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Total de ICMS recolhido</w:t>
            </w:r>
          </w:p>
        </w:tc>
        <w:tc>
          <w:tcPr>
            <w:tcW w:w="1559" w:type="dxa"/>
            <w:shd w:val="clear" w:color="auto" w:fill="auto"/>
            <w:noWrap/>
            <w:hideMark/>
          </w:tcPr>
          <w:p w14:paraId="784BA9D4"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3,00 </w:t>
            </w:r>
          </w:p>
        </w:tc>
      </w:tr>
      <w:tr w:rsidR="00B15F67" w:rsidRPr="00631F21" w14:paraId="4FB865AA" w14:textId="77777777" w:rsidTr="006D5864">
        <w:trPr>
          <w:trHeight w:val="280"/>
        </w:trPr>
        <w:tc>
          <w:tcPr>
            <w:tcW w:w="3969" w:type="dxa"/>
            <w:shd w:val="clear" w:color="auto" w:fill="C0C0C0"/>
            <w:noWrap/>
            <w:hideMark/>
          </w:tcPr>
          <w:p w14:paraId="034834C0"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Venda ao consumidor final</w:t>
            </w:r>
          </w:p>
        </w:tc>
        <w:tc>
          <w:tcPr>
            <w:tcW w:w="1559" w:type="dxa"/>
            <w:tcBorders>
              <w:left w:val="nil"/>
              <w:right w:val="nil"/>
            </w:tcBorders>
            <w:shd w:val="clear" w:color="auto" w:fill="C0C0C0"/>
            <w:noWrap/>
            <w:hideMark/>
          </w:tcPr>
          <w:p w14:paraId="041C60C0"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170,00 </w:t>
            </w:r>
          </w:p>
        </w:tc>
      </w:tr>
      <w:tr w:rsidR="00BD40DD" w:rsidRPr="00631F21" w14:paraId="016D66CB" w14:textId="77777777" w:rsidTr="006D5864">
        <w:trPr>
          <w:trHeight w:val="280"/>
        </w:trPr>
        <w:tc>
          <w:tcPr>
            <w:tcW w:w="3969" w:type="dxa"/>
            <w:shd w:val="clear" w:color="auto" w:fill="auto"/>
            <w:noWrap/>
            <w:hideMark/>
          </w:tcPr>
          <w:p w14:paraId="70211944"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ICMS devido (18%)</w:t>
            </w:r>
          </w:p>
        </w:tc>
        <w:tc>
          <w:tcPr>
            <w:tcW w:w="1559" w:type="dxa"/>
            <w:shd w:val="clear" w:color="auto" w:fill="auto"/>
            <w:noWrap/>
            <w:hideMark/>
          </w:tcPr>
          <w:p w14:paraId="40D3338C"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30,60 </w:t>
            </w:r>
          </w:p>
        </w:tc>
      </w:tr>
      <w:tr w:rsidR="00B15F67" w:rsidRPr="00631F21" w14:paraId="2D9B4792" w14:textId="77777777" w:rsidTr="006D5864">
        <w:trPr>
          <w:trHeight w:val="300"/>
        </w:trPr>
        <w:tc>
          <w:tcPr>
            <w:tcW w:w="3969" w:type="dxa"/>
            <w:shd w:val="clear" w:color="auto" w:fill="C0C0C0"/>
            <w:noWrap/>
            <w:hideMark/>
          </w:tcPr>
          <w:p w14:paraId="5D0D208F"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Diferença de ICMS a recolher</w:t>
            </w:r>
          </w:p>
        </w:tc>
        <w:tc>
          <w:tcPr>
            <w:tcW w:w="1559" w:type="dxa"/>
            <w:tcBorders>
              <w:left w:val="nil"/>
              <w:right w:val="nil"/>
            </w:tcBorders>
            <w:shd w:val="clear" w:color="auto" w:fill="C0C0C0"/>
            <w:noWrap/>
            <w:hideMark/>
          </w:tcPr>
          <w:p w14:paraId="5BA6EB3C"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24,60 </w:t>
            </w:r>
          </w:p>
        </w:tc>
      </w:tr>
      <w:tr w:rsidR="00BD40DD" w:rsidRPr="00631F21" w14:paraId="129C729D" w14:textId="77777777" w:rsidTr="006D5864">
        <w:trPr>
          <w:trHeight w:val="280"/>
        </w:trPr>
        <w:tc>
          <w:tcPr>
            <w:tcW w:w="3969" w:type="dxa"/>
            <w:shd w:val="clear" w:color="auto" w:fill="auto"/>
            <w:noWrap/>
            <w:hideMark/>
          </w:tcPr>
          <w:p w14:paraId="39157FA9"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total da operação</w:t>
            </w:r>
          </w:p>
        </w:tc>
        <w:tc>
          <w:tcPr>
            <w:tcW w:w="1559" w:type="dxa"/>
            <w:shd w:val="clear" w:color="auto" w:fill="auto"/>
            <w:noWrap/>
            <w:hideMark/>
          </w:tcPr>
          <w:p w14:paraId="08CF4526"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194,60 </w:t>
            </w:r>
          </w:p>
        </w:tc>
      </w:tr>
      <w:tr w:rsidR="00B15F67" w:rsidRPr="00631F21" w14:paraId="2B607113" w14:textId="77777777" w:rsidTr="006D5864">
        <w:trPr>
          <w:trHeight w:val="280"/>
        </w:trPr>
        <w:tc>
          <w:tcPr>
            <w:tcW w:w="3969" w:type="dxa"/>
            <w:shd w:val="clear" w:color="auto" w:fill="C0C0C0"/>
            <w:noWrap/>
            <w:hideMark/>
          </w:tcPr>
          <w:p w14:paraId="16E5A02B"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Total do ICMS devido</w:t>
            </w:r>
          </w:p>
        </w:tc>
        <w:tc>
          <w:tcPr>
            <w:tcW w:w="1559" w:type="dxa"/>
            <w:tcBorders>
              <w:left w:val="nil"/>
              <w:right w:val="nil"/>
            </w:tcBorders>
            <w:shd w:val="clear" w:color="auto" w:fill="C0C0C0"/>
            <w:noWrap/>
            <w:hideMark/>
          </w:tcPr>
          <w:p w14:paraId="023E4EC4"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30,60 </w:t>
            </w:r>
          </w:p>
        </w:tc>
      </w:tr>
      <w:tr w:rsidR="00BD40DD" w:rsidRPr="00631F21" w14:paraId="6516C601" w14:textId="77777777" w:rsidTr="006D5864">
        <w:trPr>
          <w:trHeight w:val="280"/>
        </w:trPr>
        <w:tc>
          <w:tcPr>
            <w:tcW w:w="3969" w:type="dxa"/>
            <w:shd w:val="clear" w:color="auto" w:fill="auto"/>
            <w:noWrap/>
            <w:hideMark/>
          </w:tcPr>
          <w:p w14:paraId="2DDE9E67"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Valor Total do ICMS recolhido</w:t>
            </w:r>
          </w:p>
        </w:tc>
        <w:tc>
          <w:tcPr>
            <w:tcW w:w="1559" w:type="dxa"/>
            <w:shd w:val="clear" w:color="auto" w:fill="auto"/>
            <w:noWrap/>
            <w:hideMark/>
          </w:tcPr>
          <w:p w14:paraId="506F9E3F" w14:textId="77777777" w:rsidR="00B10424" w:rsidRPr="006D5864" w:rsidRDefault="00B10424" w:rsidP="006D5864">
            <w:pPr>
              <w:spacing w:line="276" w:lineRule="auto"/>
              <w:jc w:val="right"/>
              <w:rPr>
                <w:rFonts w:ascii="Arial" w:eastAsia="Times New Roman" w:hAnsi="Arial" w:cs="Arial"/>
                <w:color w:val="000000"/>
                <w:sz w:val="22"/>
                <w:szCs w:val="22"/>
              </w:rPr>
            </w:pPr>
            <w:r w:rsidRPr="006D5864">
              <w:rPr>
                <w:rFonts w:ascii="Arial" w:eastAsia="Times New Roman" w:hAnsi="Arial" w:cs="Arial"/>
                <w:color w:val="000000"/>
                <w:sz w:val="22"/>
                <w:szCs w:val="22"/>
              </w:rPr>
              <w:t xml:space="preserve"> 27,60 </w:t>
            </w:r>
          </w:p>
        </w:tc>
      </w:tr>
      <w:tr w:rsidR="00B15F67" w:rsidRPr="00631F21" w14:paraId="13A6F8D2" w14:textId="77777777" w:rsidTr="006D5864">
        <w:trPr>
          <w:trHeight w:val="300"/>
        </w:trPr>
        <w:tc>
          <w:tcPr>
            <w:tcW w:w="3969" w:type="dxa"/>
            <w:shd w:val="clear" w:color="auto" w:fill="C0C0C0"/>
            <w:noWrap/>
            <w:hideMark/>
          </w:tcPr>
          <w:p w14:paraId="35B6FC84" w14:textId="77777777" w:rsidR="00B10424" w:rsidRPr="006D5864" w:rsidRDefault="00B10424" w:rsidP="006D5864">
            <w:pPr>
              <w:spacing w:line="276" w:lineRule="auto"/>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Economia sobre valor da operação</w:t>
            </w:r>
          </w:p>
        </w:tc>
        <w:tc>
          <w:tcPr>
            <w:tcW w:w="1559" w:type="dxa"/>
            <w:tcBorders>
              <w:left w:val="nil"/>
              <w:right w:val="nil"/>
            </w:tcBorders>
            <w:shd w:val="clear" w:color="auto" w:fill="C0C0C0"/>
            <w:noWrap/>
            <w:hideMark/>
          </w:tcPr>
          <w:p w14:paraId="480219DC" w14:textId="77777777" w:rsidR="00B10424" w:rsidRPr="006D5864" w:rsidRDefault="00B10424" w:rsidP="006D5864">
            <w:pPr>
              <w:spacing w:line="276" w:lineRule="auto"/>
              <w:jc w:val="right"/>
              <w:rPr>
                <w:rFonts w:ascii="Arial" w:eastAsia="Times New Roman" w:hAnsi="Arial" w:cs="Arial"/>
                <w:b/>
                <w:bCs/>
                <w:color w:val="000000"/>
                <w:sz w:val="22"/>
                <w:szCs w:val="22"/>
              </w:rPr>
            </w:pPr>
            <w:r w:rsidRPr="006D5864">
              <w:rPr>
                <w:rFonts w:ascii="Arial" w:eastAsia="Times New Roman" w:hAnsi="Arial" w:cs="Arial"/>
                <w:b/>
                <w:bCs/>
                <w:color w:val="000000"/>
                <w:sz w:val="22"/>
                <w:szCs w:val="22"/>
              </w:rPr>
              <w:t>1,54%</w:t>
            </w:r>
          </w:p>
        </w:tc>
      </w:tr>
    </w:tbl>
    <w:p w14:paraId="07A45959" w14:textId="77777777" w:rsidR="00B10424" w:rsidRPr="00631F21" w:rsidRDefault="00B10424" w:rsidP="00631F21">
      <w:pPr>
        <w:spacing w:line="276" w:lineRule="auto"/>
        <w:ind w:firstLine="1418"/>
        <w:jc w:val="both"/>
        <w:rPr>
          <w:rFonts w:ascii="Arial" w:hAnsi="Arial" w:cs="Arial"/>
        </w:rPr>
      </w:pPr>
    </w:p>
    <w:p w14:paraId="470462A1" w14:textId="77777777" w:rsidR="00296847" w:rsidRDefault="00CF665D" w:rsidP="00CF665D">
      <w:pPr>
        <w:spacing w:line="276" w:lineRule="auto"/>
        <w:ind w:firstLine="1418"/>
        <w:jc w:val="both"/>
        <w:rPr>
          <w:rFonts w:ascii="Arial" w:hAnsi="Arial" w:cs="Arial"/>
        </w:rPr>
      </w:pPr>
      <w:r>
        <w:rPr>
          <w:rFonts w:ascii="Arial" w:hAnsi="Arial" w:cs="Arial"/>
        </w:rPr>
        <w:t>A</w:t>
      </w:r>
      <w:r w:rsidR="00B10424" w:rsidRPr="00631F21">
        <w:rPr>
          <w:rFonts w:ascii="Arial" w:hAnsi="Arial" w:cs="Arial"/>
        </w:rPr>
        <w:t xml:space="preserve"> alíquota interestadual de 4% </w:t>
      </w:r>
      <w:r w:rsidR="00346F75">
        <w:rPr>
          <w:rFonts w:ascii="Arial" w:hAnsi="Arial" w:cs="Arial"/>
        </w:rPr>
        <w:t xml:space="preserve">praticamente </w:t>
      </w:r>
      <w:r w:rsidR="00B10424" w:rsidRPr="00631F21">
        <w:rPr>
          <w:rFonts w:ascii="Arial" w:hAnsi="Arial" w:cs="Arial"/>
        </w:rPr>
        <w:t xml:space="preserve">neutraliza os benefícios concedidos por alguns </w:t>
      </w:r>
      <w:r w:rsidR="00346F75">
        <w:rPr>
          <w:rFonts w:ascii="Arial" w:hAnsi="Arial" w:cs="Arial"/>
        </w:rPr>
        <w:t>E</w:t>
      </w:r>
      <w:r w:rsidR="00B10424" w:rsidRPr="00631F21">
        <w:rPr>
          <w:rFonts w:ascii="Arial" w:hAnsi="Arial" w:cs="Arial"/>
        </w:rPr>
        <w:t>stados.</w:t>
      </w:r>
      <w:r w:rsidR="00296847">
        <w:rPr>
          <w:rFonts w:ascii="Arial" w:hAnsi="Arial" w:cs="Arial"/>
        </w:rPr>
        <w:t xml:space="preserve"> Apesar do importador continuar tendo o benefício do ICMS na importação e recolher somente o valor de R$ 3,00 a título de ICMS nessa primeira fase, em razão da alíquota interestadual ser de 4%, ele não consegue “carregar” esses benefícios para a próxima fase da operação.</w:t>
      </w:r>
    </w:p>
    <w:p w14:paraId="0E489647" w14:textId="77777777" w:rsidR="00296847" w:rsidRDefault="00296847" w:rsidP="00CF665D">
      <w:pPr>
        <w:spacing w:line="276" w:lineRule="auto"/>
        <w:ind w:firstLine="1418"/>
        <w:jc w:val="both"/>
        <w:rPr>
          <w:rFonts w:ascii="Arial" w:hAnsi="Arial" w:cs="Arial"/>
        </w:rPr>
      </w:pPr>
      <w:r>
        <w:rPr>
          <w:rFonts w:ascii="Arial" w:hAnsi="Arial" w:cs="Arial"/>
        </w:rPr>
        <w:t xml:space="preserve">Explica-se. No exemplo acima, o valor do ICMS na venda da mercadoria importada a contribuinte de outro estado seria de R$ 6,00, ou seja, o importador aproveitaria somente R$ 3,00 do crédito presumido de R$ 15,00, enquanto no exemplo com a alíquota interestadual de 12%, o importador aproveita os R$ 15,00 do crédito presumido. Consequentemente, o valor do ICMS a ser pago na venda ao contribuinte final com a alíquota interestadual de 4% é muito maior: R$ 24,60, contra R$ 12,60 na operação com a alíquota interestadual de 12%. Em razão disso, a concessão de benefícios fiscais de ICMS na Importação resultaria em uma economia de apenas 1,54% </w:t>
      </w:r>
      <w:r w:rsidRPr="00631F21">
        <w:rPr>
          <w:rFonts w:ascii="Arial" w:hAnsi="Arial" w:cs="Arial"/>
        </w:rPr>
        <w:t>sobre o valor total da operação</w:t>
      </w:r>
      <w:r>
        <w:rPr>
          <w:rFonts w:ascii="Arial" w:hAnsi="Arial" w:cs="Arial"/>
        </w:rPr>
        <w:t>, contra u</w:t>
      </w:r>
      <w:r w:rsidRPr="00631F21">
        <w:rPr>
          <w:rFonts w:ascii="Arial" w:hAnsi="Arial" w:cs="Arial"/>
        </w:rPr>
        <w:t>ma economia de aproximadamente 8,21%</w:t>
      </w:r>
      <w:r>
        <w:rPr>
          <w:rFonts w:ascii="Arial" w:hAnsi="Arial" w:cs="Arial"/>
        </w:rPr>
        <w:t xml:space="preserve"> no exemplo anterior</w:t>
      </w:r>
      <w:r w:rsidRPr="00631F21">
        <w:rPr>
          <w:rFonts w:ascii="Arial" w:hAnsi="Arial" w:cs="Arial"/>
        </w:rPr>
        <w:t>.</w:t>
      </w:r>
    </w:p>
    <w:p w14:paraId="11B9E8D4" w14:textId="77777777" w:rsidR="006D2D41" w:rsidRPr="00631F21" w:rsidRDefault="00296847" w:rsidP="00CF665D">
      <w:pPr>
        <w:spacing w:line="276" w:lineRule="auto"/>
        <w:ind w:firstLine="1418"/>
        <w:jc w:val="both"/>
        <w:rPr>
          <w:rFonts w:ascii="Arial" w:hAnsi="Arial" w:cs="Arial"/>
        </w:rPr>
      </w:pPr>
      <w:r>
        <w:rPr>
          <w:rFonts w:ascii="Arial" w:hAnsi="Arial" w:cs="Arial"/>
        </w:rPr>
        <w:t>Assim, a</w:t>
      </w:r>
      <w:r w:rsidR="00CF665D" w:rsidRPr="00631F21">
        <w:rPr>
          <w:rFonts w:ascii="Arial" w:hAnsi="Arial" w:cs="Arial"/>
        </w:rPr>
        <w:t xml:space="preserve"> resolução buscou tornar menos interessante a utilização de portos de determinados </w:t>
      </w:r>
      <w:r w:rsidR="00CF665D">
        <w:rPr>
          <w:rFonts w:ascii="Arial" w:hAnsi="Arial" w:cs="Arial"/>
        </w:rPr>
        <w:t>E</w:t>
      </w:r>
      <w:r w:rsidR="00CF665D" w:rsidRPr="00631F21">
        <w:rPr>
          <w:rFonts w:ascii="Arial" w:hAnsi="Arial" w:cs="Arial"/>
        </w:rPr>
        <w:t xml:space="preserve">stados somente em razão da concessão de benefícios fiscais. </w:t>
      </w:r>
      <w:r w:rsidR="00346F75">
        <w:rPr>
          <w:rFonts w:ascii="Arial" w:hAnsi="Arial" w:cs="Arial"/>
        </w:rPr>
        <w:t>E</w:t>
      </w:r>
      <w:r w:rsidR="00B10424" w:rsidRPr="00631F21">
        <w:rPr>
          <w:rFonts w:ascii="Arial" w:hAnsi="Arial" w:cs="Arial"/>
        </w:rPr>
        <w:t>nqua</w:t>
      </w:r>
      <w:r>
        <w:rPr>
          <w:rFonts w:ascii="Arial" w:hAnsi="Arial" w:cs="Arial"/>
        </w:rPr>
        <w:t>nto uma diferença de perto de cerca de 8%</w:t>
      </w:r>
      <w:r w:rsidR="00CF665D">
        <w:rPr>
          <w:rFonts w:ascii="Arial" w:hAnsi="Arial" w:cs="Arial"/>
        </w:rPr>
        <w:t xml:space="preserve">, como no </w:t>
      </w:r>
      <w:r w:rsidR="00CF665D">
        <w:rPr>
          <w:rFonts w:ascii="Arial" w:hAnsi="Arial" w:cs="Arial"/>
        </w:rPr>
        <w:lastRenderedPageBreak/>
        <w:t>exemplo anterior,</w:t>
      </w:r>
      <w:r w:rsidR="00B10424" w:rsidRPr="00631F21">
        <w:rPr>
          <w:rFonts w:ascii="Arial" w:hAnsi="Arial" w:cs="Arial"/>
        </w:rPr>
        <w:t xml:space="preserve"> </w:t>
      </w:r>
      <w:r w:rsidR="00346F75">
        <w:rPr>
          <w:rFonts w:ascii="Arial" w:hAnsi="Arial" w:cs="Arial"/>
        </w:rPr>
        <w:t xml:space="preserve">poderia </w:t>
      </w:r>
      <w:r w:rsidR="00B10424" w:rsidRPr="00631F21">
        <w:rPr>
          <w:rFonts w:ascii="Arial" w:hAnsi="Arial" w:cs="Arial"/>
        </w:rPr>
        <w:t xml:space="preserve">ser capaz de fazer com que indústrias e importadores se transferissem de um </w:t>
      </w:r>
      <w:r w:rsidR="00346F75">
        <w:rPr>
          <w:rFonts w:ascii="Arial" w:hAnsi="Arial" w:cs="Arial"/>
        </w:rPr>
        <w:t>E</w:t>
      </w:r>
      <w:r w:rsidR="00B10424" w:rsidRPr="00631F21">
        <w:rPr>
          <w:rFonts w:ascii="Arial" w:hAnsi="Arial" w:cs="Arial"/>
        </w:rPr>
        <w:t xml:space="preserve">stado para outro, </w:t>
      </w:r>
      <w:r w:rsidR="00CF665D">
        <w:rPr>
          <w:rFonts w:ascii="Arial" w:hAnsi="Arial" w:cs="Arial"/>
        </w:rPr>
        <w:t>caso</w:t>
      </w:r>
      <w:r w:rsidR="00B10424" w:rsidRPr="00631F21">
        <w:rPr>
          <w:rFonts w:ascii="Arial" w:hAnsi="Arial" w:cs="Arial"/>
        </w:rPr>
        <w:t xml:space="preserve"> os custos logísticos de tal mudança, a longo prazo, </w:t>
      </w:r>
      <w:r w:rsidR="00CF665D">
        <w:rPr>
          <w:rFonts w:ascii="Arial" w:hAnsi="Arial" w:cs="Arial"/>
        </w:rPr>
        <w:t>fossem</w:t>
      </w:r>
      <w:r w:rsidR="00346F75">
        <w:rPr>
          <w:rFonts w:ascii="Arial" w:hAnsi="Arial" w:cs="Arial"/>
        </w:rPr>
        <w:t xml:space="preserve"> inferiores à </w:t>
      </w:r>
      <w:r>
        <w:rPr>
          <w:rFonts w:ascii="Arial" w:hAnsi="Arial" w:cs="Arial"/>
        </w:rPr>
        <w:t>economia de 8,21%</w:t>
      </w:r>
      <w:r w:rsidR="00B10424" w:rsidRPr="00631F21">
        <w:rPr>
          <w:rFonts w:ascii="Arial" w:hAnsi="Arial" w:cs="Arial"/>
        </w:rPr>
        <w:t xml:space="preserve">, a diferença de apenas 1,54% </w:t>
      </w:r>
      <w:r w:rsidR="007639BD" w:rsidRPr="00631F21">
        <w:rPr>
          <w:rFonts w:ascii="Arial" w:hAnsi="Arial" w:cs="Arial"/>
        </w:rPr>
        <w:t xml:space="preserve">dificilmente </w:t>
      </w:r>
      <w:r w:rsidR="00B10424" w:rsidRPr="00631F21">
        <w:rPr>
          <w:rFonts w:ascii="Arial" w:hAnsi="Arial" w:cs="Arial"/>
        </w:rPr>
        <w:t xml:space="preserve">seria capaz de cobrir </w:t>
      </w:r>
      <w:r w:rsidR="00346F75">
        <w:rPr>
          <w:rFonts w:ascii="Arial" w:hAnsi="Arial" w:cs="Arial"/>
        </w:rPr>
        <w:t xml:space="preserve">esses custos e justificar a </w:t>
      </w:r>
      <w:r w:rsidR="00B10424" w:rsidRPr="00631F21">
        <w:rPr>
          <w:rFonts w:ascii="Arial" w:hAnsi="Arial" w:cs="Arial"/>
        </w:rPr>
        <w:t>mudança dos contribuintes.</w:t>
      </w:r>
    </w:p>
    <w:p w14:paraId="2425C7FC" w14:textId="77777777" w:rsidR="006D2D41" w:rsidRPr="00631F21" w:rsidRDefault="00937849" w:rsidP="00631F21">
      <w:pPr>
        <w:spacing w:line="276" w:lineRule="auto"/>
        <w:ind w:firstLine="1418"/>
        <w:jc w:val="both"/>
        <w:rPr>
          <w:rFonts w:ascii="Arial" w:hAnsi="Arial" w:cs="Arial"/>
        </w:rPr>
      </w:pPr>
      <w:r w:rsidRPr="00631F21">
        <w:rPr>
          <w:rFonts w:ascii="Arial" w:hAnsi="Arial" w:cs="Arial"/>
        </w:rPr>
        <w:t xml:space="preserve"> </w:t>
      </w:r>
    </w:p>
    <w:p w14:paraId="5875E683" w14:textId="77777777" w:rsidR="004A70E1" w:rsidRPr="00631F21" w:rsidRDefault="00D3552C" w:rsidP="002B0C6F">
      <w:pPr>
        <w:spacing w:line="276" w:lineRule="auto"/>
        <w:jc w:val="both"/>
        <w:rPr>
          <w:rFonts w:ascii="Arial" w:hAnsi="Arial" w:cs="Arial"/>
          <w:b/>
        </w:rPr>
      </w:pPr>
      <w:r w:rsidRPr="00631F21">
        <w:rPr>
          <w:rFonts w:ascii="Arial" w:hAnsi="Arial" w:cs="Arial"/>
          <w:b/>
        </w:rPr>
        <w:t xml:space="preserve">3. </w:t>
      </w:r>
      <w:r w:rsidR="00CF665D">
        <w:rPr>
          <w:rFonts w:ascii="Arial" w:hAnsi="Arial" w:cs="Arial"/>
          <w:b/>
        </w:rPr>
        <w:t>I</w:t>
      </w:r>
      <w:r w:rsidR="00920C38" w:rsidRPr="00631F21">
        <w:rPr>
          <w:rFonts w:ascii="Arial" w:hAnsi="Arial" w:cs="Arial"/>
          <w:b/>
        </w:rPr>
        <w:t xml:space="preserve">mpactos da </w:t>
      </w:r>
      <w:r w:rsidR="00137E77">
        <w:rPr>
          <w:rFonts w:ascii="Arial" w:hAnsi="Arial" w:cs="Arial"/>
          <w:b/>
        </w:rPr>
        <w:t>guerra fiscal</w:t>
      </w:r>
      <w:r w:rsidR="00920C38" w:rsidRPr="00631F21">
        <w:rPr>
          <w:rFonts w:ascii="Arial" w:hAnsi="Arial" w:cs="Arial"/>
          <w:b/>
        </w:rPr>
        <w:t xml:space="preserve"> </w:t>
      </w:r>
      <w:r w:rsidR="00937849" w:rsidRPr="00631F21">
        <w:rPr>
          <w:rFonts w:ascii="Arial" w:hAnsi="Arial" w:cs="Arial"/>
          <w:b/>
        </w:rPr>
        <w:t>na Ordem Econômica</w:t>
      </w:r>
      <w:r w:rsidR="00895831">
        <w:rPr>
          <w:rFonts w:ascii="Arial" w:hAnsi="Arial" w:cs="Arial"/>
          <w:b/>
        </w:rPr>
        <w:t>.</w:t>
      </w:r>
    </w:p>
    <w:p w14:paraId="3E1912DF" w14:textId="77777777" w:rsidR="000E250C" w:rsidRPr="00631F21" w:rsidRDefault="000E250C" w:rsidP="00631F21">
      <w:pPr>
        <w:spacing w:line="276" w:lineRule="auto"/>
        <w:ind w:firstLine="1418"/>
        <w:jc w:val="both"/>
        <w:rPr>
          <w:rFonts w:ascii="Arial" w:hAnsi="Arial" w:cs="Arial"/>
          <w:b/>
        </w:rPr>
      </w:pPr>
    </w:p>
    <w:p w14:paraId="62F5C256" w14:textId="77777777" w:rsidR="00FE7453" w:rsidRPr="00631F21" w:rsidRDefault="00FE7453" w:rsidP="00631F21">
      <w:pPr>
        <w:spacing w:line="276" w:lineRule="auto"/>
        <w:ind w:firstLine="1418"/>
        <w:jc w:val="both"/>
        <w:rPr>
          <w:rFonts w:ascii="Arial" w:hAnsi="Arial" w:cs="Arial"/>
        </w:rPr>
      </w:pPr>
      <w:r w:rsidRPr="00631F21">
        <w:rPr>
          <w:rFonts w:ascii="Arial" w:hAnsi="Arial" w:cs="Arial"/>
        </w:rPr>
        <w:t xml:space="preserve">A crítica à </w:t>
      </w:r>
      <w:r w:rsidR="00137E77">
        <w:rPr>
          <w:rFonts w:ascii="Arial" w:hAnsi="Arial" w:cs="Arial"/>
        </w:rPr>
        <w:t>guerra fiscal</w:t>
      </w:r>
      <w:r w:rsidRPr="00631F21">
        <w:rPr>
          <w:rFonts w:ascii="Arial" w:hAnsi="Arial" w:cs="Arial"/>
        </w:rPr>
        <w:t xml:space="preserve"> e, especificamente, à </w:t>
      </w:r>
      <w:r w:rsidR="00137E77">
        <w:rPr>
          <w:rFonts w:ascii="Arial" w:hAnsi="Arial" w:cs="Arial"/>
        </w:rPr>
        <w:t>guerra dos portos</w:t>
      </w:r>
      <w:r w:rsidR="00126958" w:rsidRPr="00631F21">
        <w:rPr>
          <w:rFonts w:ascii="Arial" w:hAnsi="Arial" w:cs="Arial"/>
        </w:rPr>
        <w:t>,</w:t>
      </w:r>
      <w:r w:rsidRPr="00631F21">
        <w:rPr>
          <w:rFonts w:ascii="Arial" w:hAnsi="Arial" w:cs="Arial"/>
        </w:rPr>
        <w:t xml:space="preserve"> é comum.</w:t>
      </w:r>
      <w:r w:rsidR="00CF665D">
        <w:rPr>
          <w:rFonts w:ascii="Arial" w:hAnsi="Arial" w:cs="Arial"/>
        </w:rPr>
        <w:t xml:space="preserve"> De fato, há aspectos negativos incontestáveis.</w:t>
      </w:r>
      <w:r w:rsidRPr="00631F21">
        <w:rPr>
          <w:rFonts w:ascii="Arial" w:hAnsi="Arial" w:cs="Arial"/>
        </w:rPr>
        <w:t xml:space="preserve"> Entretanto, </w:t>
      </w:r>
      <w:r w:rsidR="00CF665D">
        <w:rPr>
          <w:rFonts w:ascii="Arial" w:hAnsi="Arial" w:cs="Arial"/>
        </w:rPr>
        <w:t xml:space="preserve">procurando complexificar a visão da realidade, é possível levantar </w:t>
      </w:r>
      <w:r w:rsidRPr="00631F21">
        <w:rPr>
          <w:rFonts w:ascii="Arial" w:hAnsi="Arial" w:cs="Arial"/>
        </w:rPr>
        <w:t xml:space="preserve">algumas ressalvas sobre os impactos da dessa disputa. </w:t>
      </w:r>
    </w:p>
    <w:p w14:paraId="092D4878" w14:textId="77777777" w:rsidR="00FE7453" w:rsidRPr="00631F21" w:rsidRDefault="00FE7453" w:rsidP="00631F21">
      <w:pPr>
        <w:spacing w:line="276" w:lineRule="auto"/>
        <w:ind w:firstLine="1418"/>
        <w:jc w:val="both"/>
        <w:rPr>
          <w:rFonts w:ascii="Arial" w:hAnsi="Arial" w:cs="Arial"/>
        </w:rPr>
      </w:pPr>
      <w:r w:rsidRPr="00631F21">
        <w:rPr>
          <w:rFonts w:ascii="Arial" w:hAnsi="Arial" w:cs="Arial"/>
        </w:rPr>
        <w:t xml:space="preserve">A conclusão que a </w:t>
      </w:r>
      <w:r w:rsidR="00137E77">
        <w:rPr>
          <w:rFonts w:ascii="Arial" w:hAnsi="Arial" w:cs="Arial"/>
        </w:rPr>
        <w:t>guerra fiscal</w:t>
      </w:r>
      <w:r w:rsidRPr="00631F21">
        <w:rPr>
          <w:rFonts w:ascii="Arial" w:hAnsi="Arial" w:cs="Arial"/>
        </w:rPr>
        <w:t xml:space="preserve"> traria majoritariamente prejuízos para o país </w:t>
      </w:r>
      <w:r w:rsidR="00CF665D">
        <w:rPr>
          <w:rFonts w:ascii="Arial" w:hAnsi="Arial" w:cs="Arial"/>
        </w:rPr>
        <w:t xml:space="preserve">parece lógica quando se considera </w:t>
      </w:r>
      <w:r w:rsidRPr="00631F21">
        <w:rPr>
          <w:rFonts w:ascii="Arial" w:hAnsi="Arial" w:cs="Arial"/>
        </w:rPr>
        <w:t xml:space="preserve">que essa disputa entre entes da mesma federação não busca atrair novos investimentos para o país, mas somente deslocar investimentos de um </w:t>
      </w:r>
      <w:r w:rsidR="00CF665D">
        <w:rPr>
          <w:rFonts w:ascii="Arial" w:hAnsi="Arial" w:cs="Arial"/>
        </w:rPr>
        <w:t>E</w:t>
      </w:r>
      <w:r w:rsidRPr="00631F21">
        <w:rPr>
          <w:rFonts w:ascii="Arial" w:hAnsi="Arial" w:cs="Arial"/>
        </w:rPr>
        <w:t xml:space="preserve">stado para outro. Ou seja, o benefício para um </w:t>
      </w:r>
      <w:r w:rsidR="00CF665D">
        <w:rPr>
          <w:rFonts w:ascii="Arial" w:hAnsi="Arial" w:cs="Arial"/>
        </w:rPr>
        <w:t>E</w:t>
      </w:r>
      <w:r w:rsidRPr="00631F21">
        <w:rPr>
          <w:rFonts w:ascii="Arial" w:hAnsi="Arial" w:cs="Arial"/>
        </w:rPr>
        <w:t xml:space="preserve">stado que receberia os novos investimentos estaria diretamente ligado ao prejuízo do outro </w:t>
      </w:r>
      <w:r w:rsidR="00CF665D">
        <w:rPr>
          <w:rFonts w:ascii="Arial" w:hAnsi="Arial" w:cs="Arial"/>
        </w:rPr>
        <w:t>E</w:t>
      </w:r>
      <w:r w:rsidRPr="00631F21">
        <w:rPr>
          <w:rFonts w:ascii="Arial" w:hAnsi="Arial" w:cs="Arial"/>
        </w:rPr>
        <w:t>stado</w:t>
      </w:r>
      <w:r w:rsidR="00CF665D">
        <w:rPr>
          <w:rFonts w:ascii="Arial" w:hAnsi="Arial" w:cs="Arial"/>
        </w:rPr>
        <w:t>,</w:t>
      </w:r>
      <w:r w:rsidRPr="00631F21">
        <w:rPr>
          <w:rFonts w:ascii="Arial" w:hAnsi="Arial" w:cs="Arial"/>
        </w:rPr>
        <w:t xml:space="preserve"> que perderia esses investimentos.</w:t>
      </w:r>
    </w:p>
    <w:p w14:paraId="2941D44D" w14:textId="77777777" w:rsidR="006D2D41" w:rsidRPr="00631F21" w:rsidRDefault="006D2D41" w:rsidP="00631F21">
      <w:pPr>
        <w:spacing w:line="276" w:lineRule="auto"/>
        <w:ind w:firstLine="1418"/>
        <w:jc w:val="both"/>
        <w:rPr>
          <w:rFonts w:ascii="Arial" w:hAnsi="Arial" w:cs="Arial"/>
        </w:rPr>
      </w:pPr>
      <w:r w:rsidRPr="00631F21">
        <w:rPr>
          <w:rFonts w:ascii="Arial" w:hAnsi="Arial" w:cs="Arial"/>
        </w:rPr>
        <w:t>Essa disputa entre os estados é capaz de demonstrar</w:t>
      </w:r>
      <w:r w:rsidR="00CF665D">
        <w:rPr>
          <w:rFonts w:ascii="Arial" w:hAnsi="Arial" w:cs="Arial"/>
        </w:rPr>
        <w:t>,</w:t>
      </w:r>
      <w:r w:rsidRPr="00631F21">
        <w:rPr>
          <w:rFonts w:ascii="Arial" w:hAnsi="Arial" w:cs="Arial"/>
        </w:rPr>
        <w:t xml:space="preserve"> também</w:t>
      </w:r>
      <w:r w:rsidR="00CF665D">
        <w:rPr>
          <w:rFonts w:ascii="Arial" w:hAnsi="Arial" w:cs="Arial"/>
        </w:rPr>
        <w:t>,</w:t>
      </w:r>
      <w:r w:rsidRPr="00631F21">
        <w:rPr>
          <w:rFonts w:ascii="Arial" w:hAnsi="Arial" w:cs="Arial"/>
        </w:rPr>
        <w:t xml:space="preserve"> a fragilidade das instituições na federação.</w:t>
      </w:r>
      <w:r w:rsidR="00CF665D">
        <w:rPr>
          <w:rFonts w:ascii="Arial" w:hAnsi="Arial" w:cs="Arial"/>
        </w:rPr>
        <w:t xml:space="preserve"> E</w:t>
      </w:r>
      <w:r w:rsidR="00BA59FA" w:rsidRPr="00631F21">
        <w:rPr>
          <w:rFonts w:ascii="Arial" w:hAnsi="Arial" w:cs="Arial"/>
        </w:rPr>
        <w:t xml:space="preserve">ssa fragilidade pode vir a ser </w:t>
      </w:r>
      <w:r w:rsidRPr="00631F21">
        <w:rPr>
          <w:rFonts w:ascii="Arial" w:hAnsi="Arial" w:cs="Arial"/>
        </w:rPr>
        <w:t xml:space="preserve">um </w:t>
      </w:r>
      <w:r w:rsidR="00BA59FA" w:rsidRPr="00631F21">
        <w:rPr>
          <w:rFonts w:ascii="Arial" w:hAnsi="Arial" w:cs="Arial"/>
        </w:rPr>
        <w:t>sério</w:t>
      </w:r>
      <w:r w:rsidRPr="00631F21">
        <w:rPr>
          <w:rFonts w:ascii="Arial" w:hAnsi="Arial" w:cs="Arial"/>
        </w:rPr>
        <w:t xml:space="preserve"> entrave ao desenvolvimento</w:t>
      </w:r>
      <w:r w:rsidR="00CF665D">
        <w:rPr>
          <w:rFonts w:ascii="Arial" w:hAnsi="Arial" w:cs="Arial"/>
        </w:rPr>
        <w:t>, como demonstrou</w:t>
      </w:r>
      <w:r w:rsidR="00CF665D" w:rsidRPr="00631F21">
        <w:rPr>
          <w:rFonts w:ascii="Arial" w:hAnsi="Arial" w:cs="Arial"/>
        </w:rPr>
        <w:t xml:space="preserve"> Douglas North</w:t>
      </w:r>
      <w:r w:rsidR="00CF665D">
        <w:rPr>
          <w:rFonts w:ascii="Arial" w:hAnsi="Arial" w:cs="Arial"/>
        </w:rPr>
        <w:t>.</w:t>
      </w:r>
      <w:r w:rsidR="00CF665D" w:rsidRPr="00631F21">
        <w:rPr>
          <w:rStyle w:val="FootnoteReference"/>
          <w:rFonts w:ascii="Arial" w:hAnsi="Arial" w:cs="Arial"/>
        </w:rPr>
        <w:footnoteReference w:id="1"/>
      </w:r>
    </w:p>
    <w:p w14:paraId="5D7A43FF" w14:textId="77777777" w:rsidR="00FE7453" w:rsidRPr="00631F21" w:rsidRDefault="00FE7453" w:rsidP="00631F21">
      <w:pPr>
        <w:spacing w:line="276" w:lineRule="auto"/>
        <w:ind w:firstLine="1418"/>
        <w:jc w:val="both"/>
        <w:rPr>
          <w:rFonts w:ascii="Arial" w:hAnsi="Arial" w:cs="Arial"/>
        </w:rPr>
      </w:pPr>
      <w:r w:rsidRPr="00631F21">
        <w:rPr>
          <w:rFonts w:ascii="Arial" w:hAnsi="Arial" w:cs="Arial"/>
        </w:rPr>
        <w:t>Desta forma, parece sensato afirmar que os beneficiados seriam a</w:t>
      </w:r>
      <w:r w:rsidR="0012481C" w:rsidRPr="00631F21">
        <w:rPr>
          <w:rFonts w:ascii="Arial" w:hAnsi="Arial" w:cs="Arial"/>
        </w:rPr>
        <w:t>s</w:t>
      </w:r>
      <w:r w:rsidRPr="00631F21">
        <w:rPr>
          <w:rFonts w:ascii="Arial" w:hAnsi="Arial" w:cs="Arial"/>
        </w:rPr>
        <w:t xml:space="preserve"> empresa</w:t>
      </w:r>
      <w:r w:rsidR="0012481C" w:rsidRPr="00631F21">
        <w:rPr>
          <w:rFonts w:ascii="Arial" w:hAnsi="Arial" w:cs="Arial"/>
        </w:rPr>
        <w:t>s</w:t>
      </w:r>
      <w:r w:rsidRPr="00631F21">
        <w:rPr>
          <w:rFonts w:ascii="Arial" w:hAnsi="Arial" w:cs="Arial"/>
        </w:rPr>
        <w:t xml:space="preserve"> privada</w:t>
      </w:r>
      <w:r w:rsidR="0012481C" w:rsidRPr="00631F21">
        <w:rPr>
          <w:rFonts w:ascii="Arial" w:hAnsi="Arial" w:cs="Arial"/>
        </w:rPr>
        <w:t>s</w:t>
      </w:r>
      <w:r w:rsidRPr="00631F21">
        <w:rPr>
          <w:rFonts w:ascii="Arial" w:hAnsi="Arial" w:cs="Arial"/>
        </w:rPr>
        <w:t xml:space="preserve"> que passaria</w:t>
      </w:r>
      <w:r w:rsidR="0012481C" w:rsidRPr="00631F21">
        <w:rPr>
          <w:rFonts w:ascii="Arial" w:hAnsi="Arial" w:cs="Arial"/>
        </w:rPr>
        <w:t>m</w:t>
      </w:r>
      <w:r w:rsidRPr="00631F21">
        <w:rPr>
          <w:rFonts w:ascii="Arial" w:hAnsi="Arial" w:cs="Arial"/>
        </w:rPr>
        <w:t xml:space="preserve"> a pagar menos impostos e</w:t>
      </w:r>
      <w:r w:rsidR="00CF665D">
        <w:rPr>
          <w:rFonts w:ascii="Arial" w:hAnsi="Arial" w:cs="Arial"/>
          <w:i/>
        </w:rPr>
        <w:t xml:space="preserve"> </w:t>
      </w:r>
      <w:r w:rsidRPr="00631F21">
        <w:rPr>
          <w:rFonts w:ascii="Arial" w:hAnsi="Arial" w:cs="Arial"/>
        </w:rPr>
        <w:t xml:space="preserve">o </w:t>
      </w:r>
      <w:r w:rsidR="00CF665D">
        <w:rPr>
          <w:rFonts w:ascii="Arial" w:hAnsi="Arial" w:cs="Arial"/>
        </w:rPr>
        <w:t>E</w:t>
      </w:r>
      <w:r w:rsidRPr="00631F21">
        <w:rPr>
          <w:rFonts w:ascii="Arial" w:hAnsi="Arial" w:cs="Arial"/>
        </w:rPr>
        <w:t xml:space="preserve">stado concedente dos benefícios que receberia os investimentos, incrementando a sua economia. Por outro lado, teríamos como prejudicados pela situação </w:t>
      </w:r>
      <w:r w:rsidR="004148A2" w:rsidRPr="004148A2">
        <w:rPr>
          <w:rFonts w:ascii="Arial" w:hAnsi="Arial" w:cs="Arial"/>
        </w:rPr>
        <w:t>tanto o</w:t>
      </w:r>
      <w:r w:rsidRPr="00631F21">
        <w:rPr>
          <w:rFonts w:ascii="Arial" w:hAnsi="Arial" w:cs="Arial"/>
        </w:rPr>
        <w:t xml:space="preserve"> </w:t>
      </w:r>
      <w:r w:rsidR="004148A2">
        <w:rPr>
          <w:rFonts w:ascii="Arial" w:hAnsi="Arial" w:cs="Arial"/>
        </w:rPr>
        <w:t>E</w:t>
      </w:r>
      <w:r w:rsidRPr="00631F21">
        <w:rPr>
          <w:rFonts w:ascii="Arial" w:hAnsi="Arial" w:cs="Arial"/>
        </w:rPr>
        <w:t>stado que pe</w:t>
      </w:r>
      <w:r w:rsidR="0012481C" w:rsidRPr="00631F21">
        <w:rPr>
          <w:rFonts w:ascii="Arial" w:hAnsi="Arial" w:cs="Arial"/>
        </w:rPr>
        <w:t xml:space="preserve">rdeu os investimentos privados </w:t>
      </w:r>
      <w:r w:rsidRPr="00631F21">
        <w:rPr>
          <w:rFonts w:ascii="Arial" w:hAnsi="Arial" w:cs="Arial"/>
        </w:rPr>
        <w:t>e, segundo o que é frequentemente sustentado pelos Estados mais desenvolvidos, o país como um todo</w:t>
      </w:r>
      <w:r w:rsidR="004148A2">
        <w:rPr>
          <w:rFonts w:ascii="Arial" w:hAnsi="Arial" w:cs="Arial"/>
        </w:rPr>
        <w:t>,</w:t>
      </w:r>
      <w:r w:rsidRPr="00631F21">
        <w:rPr>
          <w:rFonts w:ascii="Arial" w:hAnsi="Arial" w:cs="Arial"/>
        </w:rPr>
        <w:t xml:space="preserve"> que diminuiria sua arrecadação tributária.</w:t>
      </w:r>
    </w:p>
    <w:p w14:paraId="368F660E" w14:textId="77777777" w:rsidR="004759D3" w:rsidRDefault="004148A2" w:rsidP="004759D3">
      <w:pPr>
        <w:spacing w:line="276" w:lineRule="auto"/>
        <w:ind w:firstLine="1418"/>
        <w:jc w:val="both"/>
        <w:rPr>
          <w:rFonts w:ascii="Arial" w:hAnsi="Arial" w:cs="Arial"/>
        </w:rPr>
      </w:pPr>
      <w:r>
        <w:rPr>
          <w:rFonts w:ascii="Arial" w:hAnsi="Arial" w:cs="Arial"/>
        </w:rPr>
        <w:t>Essas considerações fariam maior sentido</w:t>
      </w:r>
      <w:r w:rsidR="00995063" w:rsidRPr="00631F21">
        <w:rPr>
          <w:rFonts w:ascii="Arial" w:hAnsi="Arial" w:cs="Arial"/>
        </w:rPr>
        <w:t xml:space="preserve"> se o Brasil fosse um país homogêneo, com a participação do Produto Interno Bruto – PIB bem distribuída entre os diversos estados da federação. Contudo, </w:t>
      </w:r>
      <w:r>
        <w:rPr>
          <w:rFonts w:ascii="Arial" w:hAnsi="Arial" w:cs="Arial"/>
        </w:rPr>
        <w:t>não há essa homogeneidade</w:t>
      </w:r>
      <w:r w:rsidR="00995063" w:rsidRPr="00631F21">
        <w:rPr>
          <w:rFonts w:ascii="Arial" w:hAnsi="Arial" w:cs="Arial"/>
        </w:rPr>
        <w:t>, conforme se observa na tabela abaixo</w:t>
      </w:r>
      <w:r>
        <w:rPr>
          <w:rFonts w:ascii="Arial" w:hAnsi="Arial" w:cs="Arial"/>
        </w:rPr>
        <w:t>, do IBGE</w:t>
      </w:r>
      <w:r w:rsidR="00995063" w:rsidRPr="00631F21">
        <w:rPr>
          <w:rFonts w:ascii="Arial" w:hAnsi="Arial" w:cs="Arial"/>
        </w:rPr>
        <w:t>:</w:t>
      </w:r>
    </w:p>
    <w:p w14:paraId="364AE773" w14:textId="77777777" w:rsidR="004759D3" w:rsidRDefault="004759D3" w:rsidP="004759D3">
      <w:pPr>
        <w:spacing w:line="276" w:lineRule="auto"/>
        <w:ind w:firstLine="1418"/>
        <w:jc w:val="both"/>
        <w:rPr>
          <w:rFonts w:ascii="Arial" w:hAnsi="Arial" w:cs="Arial"/>
        </w:rPr>
      </w:pPr>
    </w:p>
    <w:tbl>
      <w:tblPr>
        <w:tblW w:w="8897" w:type="dxa"/>
        <w:tblBorders>
          <w:top w:val="single" w:sz="8" w:space="0" w:color="000000"/>
          <w:bottom w:val="single" w:sz="8" w:space="0" w:color="000000"/>
        </w:tblBorders>
        <w:tblLayout w:type="fixed"/>
        <w:tblLook w:val="04A0" w:firstRow="1" w:lastRow="0" w:firstColumn="1" w:lastColumn="0" w:noHBand="0" w:noVBand="1"/>
      </w:tblPr>
      <w:tblGrid>
        <w:gridCol w:w="1668"/>
        <w:gridCol w:w="794"/>
        <w:gridCol w:w="794"/>
        <w:gridCol w:w="794"/>
        <w:gridCol w:w="794"/>
        <w:gridCol w:w="794"/>
        <w:gridCol w:w="794"/>
        <w:gridCol w:w="794"/>
        <w:gridCol w:w="794"/>
        <w:gridCol w:w="877"/>
      </w:tblGrid>
      <w:tr w:rsidR="004759D3" w:rsidRPr="004759D3" w14:paraId="32B59D22" w14:textId="77777777" w:rsidTr="006D5864">
        <w:tc>
          <w:tcPr>
            <w:tcW w:w="8897" w:type="dxa"/>
            <w:gridSpan w:val="10"/>
            <w:tcBorders>
              <w:top w:val="single" w:sz="8" w:space="0" w:color="000000"/>
              <w:bottom w:val="single" w:sz="8" w:space="0" w:color="000000"/>
            </w:tcBorders>
            <w:shd w:val="clear" w:color="auto" w:fill="auto"/>
          </w:tcPr>
          <w:p w14:paraId="729E01BD" w14:textId="77777777" w:rsidR="004759D3" w:rsidRPr="006D5864" w:rsidRDefault="004759D3" w:rsidP="006D5864">
            <w:pPr>
              <w:spacing w:line="276" w:lineRule="auto"/>
              <w:jc w:val="center"/>
              <w:rPr>
                <w:rFonts w:ascii="Arial" w:hAnsi="Arial" w:cs="Arial"/>
                <w:b/>
                <w:bCs/>
                <w:color w:val="000000"/>
                <w:sz w:val="20"/>
                <w:szCs w:val="20"/>
              </w:rPr>
            </w:pPr>
            <w:r w:rsidRPr="006D5864">
              <w:rPr>
                <w:rFonts w:ascii="Arial" w:hAnsi="Arial" w:cs="Arial"/>
                <w:b/>
                <w:bCs/>
                <w:color w:val="000000"/>
                <w:sz w:val="20"/>
                <w:szCs w:val="20"/>
              </w:rPr>
              <w:t>Participação percentual das Regiões no PIB do Brasil de 2002</w:t>
            </w:r>
            <w:r w:rsidRPr="006D5864">
              <w:rPr>
                <w:rFonts w:ascii="Arial" w:hAnsi="Arial" w:cs="Arial"/>
                <w:b/>
                <w:bCs/>
                <w:color w:val="000000"/>
                <w:sz w:val="20"/>
                <w:szCs w:val="20"/>
                <w:vertAlign w:val="superscript"/>
              </w:rPr>
              <w:t xml:space="preserve"> </w:t>
            </w:r>
            <w:r w:rsidRPr="006D5864">
              <w:rPr>
                <w:rFonts w:ascii="Arial" w:hAnsi="Arial" w:cs="Arial"/>
                <w:b/>
                <w:bCs/>
                <w:color w:val="000000"/>
                <w:sz w:val="20"/>
                <w:szCs w:val="20"/>
              </w:rPr>
              <w:t>- 2010</w:t>
            </w:r>
            <w:r w:rsidR="00474402" w:rsidRPr="00631F21">
              <w:rPr>
                <w:rStyle w:val="FootnoteReference"/>
                <w:rFonts w:ascii="Arial" w:hAnsi="Arial" w:cs="Arial"/>
              </w:rPr>
              <w:footnoteReference w:id="2"/>
            </w:r>
          </w:p>
        </w:tc>
      </w:tr>
      <w:tr w:rsidR="00B15F67" w:rsidRPr="004759D3" w14:paraId="4A056A1E" w14:textId="77777777" w:rsidTr="006D5864">
        <w:tc>
          <w:tcPr>
            <w:tcW w:w="1668" w:type="dxa"/>
            <w:vMerge w:val="restart"/>
            <w:shd w:val="clear" w:color="auto" w:fill="C0C0C0"/>
          </w:tcPr>
          <w:p w14:paraId="7C59E35C" w14:textId="77777777" w:rsidR="004759D3" w:rsidRPr="006D5864" w:rsidRDefault="004759D3" w:rsidP="006D5864">
            <w:pPr>
              <w:spacing w:line="276" w:lineRule="auto"/>
              <w:jc w:val="both"/>
              <w:rPr>
                <w:rFonts w:ascii="Arial" w:hAnsi="Arial" w:cs="Arial"/>
                <w:b/>
                <w:bCs/>
                <w:color w:val="000000"/>
                <w:sz w:val="20"/>
                <w:szCs w:val="20"/>
              </w:rPr>
            </w:pPr>
            <w:r w:rsidRPr="006D5864">
              <w:rPr>
                <w:rFonts w:ascii="Arial" w:hAnsi="Arial" w:cs="Arial"/>
                <w:b/>
                <w:bCs/>
                <w:color w:val="000000"/>
                <w:sz w:val="20"/>
                <w:szCs w:val="20"/>
              </w:rPr>
              <w:t>Regiões</w:t>
            </w:r>
          </w:p>
        </w:tc>
        <w:tc>
          <w:tcPr>
            <w:tcW w:w="7229" w:type="dxa"/>
            <w:gridSpan w:val="9"/>
            <w:tcBorders>
              <w:left w:val="nil"/>
              <w:right w:val="nil"/>
            </w:tcBorders>
            <w:shd w:val="clear" w:color="auto" w:fill="C0C0C0"/>
          </w:tcPr>
          <w:p w14:paraId="1F74419A" w14:textId="77777777" w:rsidR="004759D3" w:rsidRPr="006D5864" w:rsidRDefault="004759D3" w:rsidP="006D5864">
            <w:pPr>
              <w:spacing w:line="276" w:lineRule="auto"/>
              <w:jc w:val="center"/>
              <w:rPr>
                <w:rFonts w:ascii="Arial" w:hAnsi="Arial" w:cs="Arial"/>
                <w:b/>
                <w:color w:val="000000"/>
                <w:sz w:val="20"/>
                <w:szCs w:val="20"/>
              </w:rPr>
            </w:pPr>
            <w:r w:rsidRPr="006D5864">
              <w:rPr>
                <w:rFonts w:ascii="Arial" w:hAnsi="Arial" w:cs="Arial"/>
                <w:b/>
                <w:color w:val="000000"/>
                <w:sz w:val="20"/>
                <w:szCs w:val="20"/>
              </w:rPr>
              <w:t>Participação no PIB (%)</w:t>
            </w:r>
          </w:p>
        </w:tc>
      </w:tr>
      <w:tr w:rsidR="00B15F67" w:rsidRPr="004759D3" w14:paraId="2F4EBF13" w14:textId="77777777" w:rsidTr="006D5864">
        <w:tc>
          <w:tcPr>
            <w:tcW w:w="1668" w:type="dxa"/>
            <w:vMerge/>
            <w:shd w:val="clear" w:color="auto" w:fill="auto"/>
          </w:tcPr>
          <w:p w14:paraId="4CC4CB14" w14:textId="77777777" w:rsidR="004759D3" w:rsidRPr="006D5864" w:rsidRDefault="004759D3" w:rsidP="006D5864">
            <w:pPr>
              <w:spacing w:line="276" w:lineRule="auto"/>
              <w:jc w:val="both"/>
              <w:rPr>
                <w:rFonts w:ascii="Arial" w:hAnsi="Arial" w:cs="Arial"/>
                <w:b/>
                <w:bCs/>
                <w:color w:val="000000"/>
                <w:sz w:val="20"/>
                <w:szCs w:val="20"/>
              </w:rPr>
            </w:pPr>
          </w:p>
        </w:tc>
        <w:tc>
          <w:tcPr>
            <w:tcW w:w="794" w:type="dxa"/>
            <w:shd w:val="clear" w:color="auto" w:fill="auto"/>
          </w:tcPr>
          <w:p w14:paraId="34AF915D"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2002</w:t>
            </w:r>
          </w:p>
        </w:tc>
        <w:tc>
          <w:tcPr>
            <w:tcW w:w="794" w:type="dxa"/>
            <w:shd w:val="clear" w:color="auto" w:fill="auto"/>
          </w:tcPr>
          <w:p w14:paraId="4E68611F"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2003</w:t>
            </w:r>
          </w:p>
        </w:tc>
        <w:tc>
          <w:tcPr>
            <w:tcW w:w="794" w:type="dxa"/>
            <w:shd w:val="clear" w:color="auto" w:fill="auto"/>
          </w:tcPr>
          <w:p w14:paraId="1562AEEB"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2004</w:t>
            </w:r>
          </w:p>
        </w:tc>
        <w:tc>
          <w:tcPr>
            <w:tcW w:w="794" w:type="dxa"/>
            <w:shd w:val="clear" w:color="auto" w:fill="auto"/>
          </w:tcPr>
          <w:p w14:paraId="05DD19E2"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2005</w:t>
            </w:r>
          </w:p>
        </w:tc>
        <w:tc>
          <w:tcPr>
            <w:tcW w:w="794" w:type="dxa"/>
            <w:shd w:val="clear" w:color="auto" w:fill="auto"/>
          </w:tcPr>
          <w:p w14:paraId="0E36A289"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2006</w:t>
            </w:r>
          </w:p>
        </w:tc>
        <w:tc>
          <w:tcPr>
            <w:tcW w:w="794" w:type="dxa"/>
            <w:shd w:val="clear" w:color="auto" w:fill="auto"/>
          </w:tcPr>
          <w:p w14:paraId="6106146B"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2007</w:t>
            </w:r>
          </w:p>
        </w:tc>
        <w:tc>
          <w:tcPr>
            <w:tcW w:w="794" w:type="dxa"/>
            <w:shd w:val="clear" w:color="auto" w:fill="auto"/>
          </w:tcPr>
          <w:p w14:paraId="414A44FB"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2008</w:t>
            </w:r>
          </w:p>
        </w:tc>
        <w:tc>
          <w:tcPr>
            <w:tcW w:w="794" w:type="dxa"/>
            <w:shd w:val="clear" w:color="auto" w:fill="auto"/>
          </w:tcPr>
          <w:p w14:paraId="5945318A"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2009</w:t>
            </w:r>
          </w:p>
        </w:tc>
        <w:tc>
          <w:tcPr>
            <w:tcW w:w="794" w:type="dxa"/>
            <w:shd w:val="clear" w:color="auto" w:fill="auto"/>
          </w:tcPr>
          <w:p w14:paraId="4E8A6B9A" w14:textId="77777777" w:rsidR="004759D3" w:rsidRPr="006D5864" w:rsidRDefault="004759D3" w:rsidP="006D5864">
            <w:pPr>
              <w:spacing w:line="276" w:lineRule="auto"/>
              <w:jc w:val="both"/>
              <w:rPr>
                <w:rFonts w:ascii="Arial" w:hAnsi="Arial" w:cs="Arial"/>
                <w:b/>
                <w:color w:val="000000"/>
                <w:sz w:val="20"/>
                <w:szCs w:val="20"/>
              </w:rPr>
            </w:pPr>
            <w:r w:rsidRPr="006D5864">
              <w:rPr>
                <w:rFonts w:ascii="Arial" w:hAnsi="Arial" w:cs="Arial"/>
                <w:b/>
                <w:color w:val="000000"/>
                <w:sz w:val="20"/>
                <w:szCs w:val="20"/>
              </w:rPr>
              <w:t>2010</w:t>
            </w:r>
          </w:p>
        </w:tc>
      </w:tr>
      <w:tr w:rsidR="00B15F67" w:rsidRPr="004759D3" w14:paraId="0DAA0225" w14:textId="77777777" w:rsidTr="006D5864">
        <w:tc>
          <w:tcPr>
            <w:tcW w:w="1668" w:type="dxa"/>
            <w:shd w:val="clear" w:color="auto" w:fill="C0C0C0"/>
          </w:tcPr>
          <w:p w14:paraId="7B05045B" w14:textId="77777777" w:rsidR="004759D3" w:rsidRPr="006D5864" w:rsidRDefault="004759D3" w:rsidP="006D5864">
            <w:pPr>
              <w:spacing w:line="276" w:lineRule="auto"/>
              <w:jc w:val="both"/>
              <w:rPr>
                <w:rFonts w:ascii="Arial" w:hAnsi="Arial" w:cs="Arial"/>
                <w:b/>
                <w:bCs/>
                <w:color w:val="000000"/>
                <w:sz w:val="20"/>
                <w:szCs w:val="20"/>
              </w:rPr>
            </w:pPr>
            <w:r w:rsidRPr="006D5864">
              <w:rPr>
                <w:rFonts w:ascii="Arial" w:hAnsi="Arial" w:cs="Arial"/>
                <w:b/>
                <w:bCs/>
                <w:color w:val="000000"/>
                <w:sz w:val="20"/>
                <w:szCs w:val="20"/>
              </w:rPr>
              <w:t>Brasil</w:t>
            </w:r>
          </w:p>
        </w:tc>
        <w:tc>
          <w:tcPr>
            <w:tcW w:w="794" w:type="dxa"/>
            <w:tcBorders>
              <w:left w:val="nil"/>
              <w:right w:val="nil"/>
            </w:tcBorders>
            <w:shd w:val="clear" w:color="auto" w:fill="C0C0C0"/>
          </w:tcPr>
          <w:p w14:paraId="0A8509B4"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shd w:val="clear" w:color="auto" w:fill="C0C0C0"/>
          </w:tcPr>
          <w:p w14:paraId="2CD1EE92"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tcBorders>
              <w:left w:val="nil"/>
              <w:right w:val="nil"/>
            </w:tcBorders>
            <w:shd w:val="clear" w:color="auto" w:fill="C0C0C0"/>
          </w:tcPr>
          <w:p w14:paraId="0CBA2904"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shd w:val="clear" w:color="auto" w:fill="C0C0C0"/>
          </w:tcPr>
          <w:p w14:paraId="5CC426FD"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tcBorders>
              <w:left w:val="nil"/>
              <w:right w:val="nil"/>
            </w:tcBorders>
            <w:shd w:val="clear" w:color="auto" w:fill="C0C0C0"/>
          </w:tcPr>
          <w:p w14:paraId="6C189C03"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shd w:val="clear" w:color="auto" w:fill="C0C0C0"/>
          </w:tcPr>
          <w:p w14:paraId="072612B5"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tcBorders>
              <w:left w:val="nil"/>
              <w:right w:val="nil"/>
            </w:tcBorders>
            <w:shd w:val="clear" w:color="auto" w:fill="C0C0C0"/>
          </w:tcPr>
          <w:p w14:paraId="5AA867B8"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shd w:val="clear" w:color="auto" w:fill="C0C0C0"/>
          </w:tcPr>
          <w:p w14:paraId="099FE001"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c>
          <w:tcPr>
            <w:tcW w:w="794" w:type="dxa"/>
            <w:tcBorders>
              <w:left w:val="nil"/>
              <w:right w:val="nil"/>
            </w:tcBorders>
            <w:shd w:val="clear" w:color="auto" w:fill="C0C0C0"/>
          </w:tcPr>
          <w:p w14:paraId="556137E4"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100,0</w:t>
            </w:r>
          </w:p>
        </w:tc>
      </w:tr>
      <w:tr w:rsidR="00B15F67" w:rsidRPr="004759D3" w14:paraId="56818389" w14:textId="77777777" w:rsidTr="006D5864">
        <w:tc>
          <w:tcPr>
            <w:tcW w:w="1668" w:type="dxa"/>
            <w:shd w:val="clear" w:color="auto" w:fill="auto"/>
          </w:tcPr>
          <w:p w14:paraId="4E20F086" w14:textId="77777777" w:rsidR="004759D3" w:rsidRPr="006D5864" w:rsidRDefault="004759D3" w:rsidP="006D5864">
            <w:pPr>
              <w:spacing w:line="276" w:lineRule="auto"/>
              <w:jc w:val="both"/>
              <w:rPr>
                <w:rFonts w:ascii="Arial" w:hAnsi="Arial" w:cs="Arial"/>
                <w:b/>
                <w:bCs/>
                <w:color w:val="000000"/>
                <w:sz w:val="20"/>
                <w:szCs w:val="20"/>
              </w:rPr>
            </w:pPr>
            <w:r w:rsidRPr="006D5864">
              <w:rPr>
                <w:rFonts w:ascii="Arial" w:hAnsi="Arial" w:cs="Arial"/>
                <w:b/>
                <w:bCs/>
                <w:color w:val="000000"/>
                <w:sz w:val="20"/>
                <w:szCs w:val="20"/>
              </w:rPr>
              <w:lastRenderedPageBreak/>
              <w:t>Norte</w:t>
            </w:r>
          </w:p>
        </w:tc>
        <w:tc>
          <w:tcPr>
            <w:tcW w:w="794" w:type="dxa"/>
            <w:shd w:val="clear" w:color="auto" w:fill="auto"/>
          </w:tcPr>
          <w:p w14:paraId="60B82F87"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4,7</w:t>
            </w:r>
          </w:p>
        </w:tc>
        <w:tc>
          <w:tcPr>
            <w:tcW w:w="794" w:type="dxa"/>
            <w:shd w:val="clear" w:color="auto" w:fill="auto"/>
          </w:tcPr>
          <w:p w14:paraId="150428A2"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4,8</w:t>
            </w:r>
          </w:p>
        </w:tc>
        <w:tc>
          <w:tcPr>
            <w:tcW w:w="794" w:type="dxa"/>
            <w:shd w:val="clear" w:color="auto" w:fill="auto"/>
          </w:tcPr>
          <w:p w14:paraId="5B97997B"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4,9</w:t>
            </w:r>
          </w:p>
        </w:tc>
        <w:tc>
          <w:tcPr>
            <w:tcW w:w="794" w:type="dxa"/>
            <w:shd w:val="clear" w:color="auto" w:fill="auto"/>
          </w:tcPr>
          <w:p w14:paraId="61E7DA39"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5,0</w:t>
            </w:r>
          </w:p>
        </w:tc>
        <w:tc>
          <w:tcPr>
            <w:tcW w:w="794" w:type="dxa"/>
            <w:shd w:val="clear" w:color="auto" w:fill="auto"/>
          </w:tcPr>
          <w:p w14:paraId="16ABB50B"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5,1</w:t>
            </w:r>
          </w:p>
        </w:tc>
        <w:tc>
          <w:tcPr>
            <w:tcW w:w="794" w:type="dxa"/>
            <w:shd w:val="clear" w:color="auto" w:fill="auto"/>
          </w:tcPr>
          <w:p w14:paraId="544D35E5"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5,0</w:t>
            </w:r>
          </w:p>
        </w:tc>
        <w:tc>
          <w:tcPr>
            <w:tcW w:w="794" w:type="dxa"/>
            <w:shd w:val="clear" w:color="auto" w:fill="auto"/>
          </w:tcPr>
          <w:p w14:paraId="3119764C"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5,1</w:t>
            </w:r>
          </w:p>
        </w:tc>
        <w:tc>
          <w:tcPr>
            <w:tcW w:w="794" w:type="dxa"/>
            <w:shd w:val="clear" w:color="auto" w:fill="auto"/>
          </w:tcPr>
          <w:p w14:paraId="38DC0EDC"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5,0</w:t>
            </w:r>
          </w:p>
        </w:tc>
        <w:tc>
          <w:tcPr>
            <w:tcW w:w="794" w:type="dxa"/>
            <w:shd w:val="clear" w:color="auto" w:fill="auto"/>
          </w:tcPr>
          <w:p w14:paraId="6D32F22C"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5,3</w:t>
            </w:r>
          </w:p>
        </w:tc>
      </w:tr>
      <w:tr w:rsidR="00B15F67" w:rsidRPr="004759D3" w14:paraId="4F0A4550" w14:textId="77777777" w:rsidTr="006D5864">
        <w:tc>
          <w:tcPr>
            <w:tcW w:w="1668" w:type="dxa"/>
            <w:shd w:val="clear" w:color="auto" w:fill="C0C0C0"/>
          </w:tcPr>
          <w:p w14:paraId="419FFADB" w14:textId="77777777" w:rsidR="004759D3" w:rsidRPr="006D5864" w:rsidRDefault="004759D3" w:rsidP="006D5864">
            <w:pPr>
              <w:spacing w:line="276" w:lineRule="auto"/>
              <w:jc w:val="both"/>
              <w:rPr>
                <w:rFonts w:ascii="Arial" w:hAnsi="Arial" w:cs="Arial"/>
                <w:b/>
                <w:bCs/>
                <w:color w:val="000000"/>
                <w:sz w:val="20"/>
                <w:szCs w:val="20"/>
              </w:rPr>
            </w:pPr>
            <w:r w:rsidRPr="006D5864">
              <w:rPr>
                <w:rFonts w:ascii="Arial" w:hAnsi="Arial" w:cs="Arial"/>
                <w:b/>
                <w:bCs/>
                <w:color w:val="000000"/>
                <w:sz w:val="20"/>
                <w:szCs w:val="20"/>
              </w:rPr>
              <w:t>Nordeste</w:t>
            </w:r>
          </w:p>
        </w:tc>
        <w:tc>
          <w:tcPr>
            <w:tcW w:w="794" w:type="dxa"/>
            <w:tcBorders>
              <w:left w:val="nil"/>
              <w:right w:val="nil"/>
            </w:tcBorders>
            <w:shd w:val="clear" w:color="auto" w:fill="C0C0C0"/>
          </w:tcPr>
          <w:p w14:paraId="31678677"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13,0</w:t>
            </w:r>
          </w:p>
        </w:tc>
        <w:tc>
          <w:tcPr>
            <w:tcW w:w="794" w:type="dxa"/>
            <w:shd w:val="clear" w:color="auto" w:fill="C0C0C0"/>
          </w:tcPr>
          <w:p w14:paraId="6B9E5413"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12,8</w:t>
            </w:r>
          </w:p>
        </w:tc>
        <w:tc>
          <w:tcPr>
            <w:tcW w:w="794" w:type="dxa"/>
            <w:tcBorders>
              <w:left w:val="nil"/>
              <w:right w:val="nil"/>
            </w:tcBorders>
            <w:shd w:val="clear" w:color="auto" w:fill="C0C0C0"/>
          </w:tcPr>
          <w:p w14:paraId="340C5CBB"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12,7</w:t>
            </w:r>
          </w:p>
        </w:tc>
        <w:tc>
          <w:tcPr>
            <w:tcW w:w="794" w:type="dxa"/>
            <w:shd w:val="clear" w:color="auto" w:fill="C0C0C0"/>
          </w:tcPr>
          <w:p w14:paraId="594E4747"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13,1</w:t>
            </w:r>
          </w:p>
        </w:tc>
        <w:tc>
          <w:tcPr>
            <w:tcW w:w="794" w:type="dxa"/>
            <w:tcBorders>
              <w:left w:val="nil"/>
              <w:right w:val="nil"/>
            </w:tcBorders>
            <w:shd w:val="clear" w:color="auto" w:fill="C0C0C0"/>
          </w:tcPr>
          <w:p w14:paraId="2B11445D"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13,1</w:t>
            </w:r>
          </w:p>
        </w:tc>
        <w:tc>
          <w:tcPr>
            <w:tcW w:w="794" w:type="dxa"/>
            <w:shd w:val="clear" w:color="auto" w:fill="C0C0C0"/>
          </w:tcPr>
          <w:p w14:paraId="507867E5"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13,1</w:t>
            </w:r>
          </w:p>
        </w:tc>
        <w:tc>
          <w:tcPr>
            <w:tcW w:w="794" w:type="dxa"/>
            <w:tcBorders>
              <w:left w:val="nil"/>
              <w:right w:val="nil"/>
            </w:tcBorders>
            <w:shd w:val="clear" w:color="auto" w:fill="C0C0C0"/>
          </w:tcPr>
          <w:p w14:paraId="36369A4D"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13,1</w:t>
            </w:r>
          </w:p>
        </w:tc>
        <w:tc>
          <w:tcPr>
            <w:tcW w:w="794" w:type="dxa"/>
            <w:shd w:val="clear" w:color="auto" w:fill="C0C0C0"/>
          </w:tcPr>
          <w:p w14:paraId="67CA5B34"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13,5</w:t>
            </w:r>
          </w:p>
        </w:tc>
        <w:tc>
          <w:tcPr>
            <w:tcW w:w="794" w:type="dxa"/>
            <w:tcBorders>
              <w:left w:val="nil"/>
              <w:right w:val="nil"/>
            </w:tcBorders>
            <w:shd w:val="clear" w:color="auto" w:fill="C0C0C0"/>
          </w:tcPr>
          <w:p w14:paraId="5919D4EC"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13,5</w:t>
            </w:r>
          </w:p>
        </w:tc>
      </w:tr>
      <w:tr w:rsidR="00B15F67" w:rsidRPr="004759D3" w14:paraId="1FA85DBC" w14:textId="77777777" w:rsidTr="006D5864">
        <w:tc>
          <w:tcPr>
            <w:tcW w:w="1668" w:type="dxa"/>
            <w:shd w:val="clear" w:color="auto" w:fill="auto"/>
          </w:tcPr>
          <w:p w14:paraId="5811F743" w14:textId="77777777" w:rsidR="004759D3" w:rsidRPr="006D5864" w:rsidRDefault="004759D3" w:rsidP="006D5864">
            <w:pPr>
              <w:spacing w:line="276" w:lineRule="auto"/>
              <w:jc w:val="both"/>
              <w:rPr>
                <w:rFonts w:ascii="Arial" w:hAnsi="Arial" w:cs="Arial"/>
                <w:b/>
                <w:bCs/>
                <w:color w:val="000000"/>
                <w:sz w:val="20"/>
                <w:szCs w:val="20"/>
              </w:rPr>
            </w:pPr>
            <w:r w:rsidRPr="006D5864">
              <w:rPr>
                <w:rFonts w:ascii="Arial" w:hAnsi="Arial" w:cs="Arial"/>
                <w:b/>
                <w:bCs/>
                <w:color w:val="000000"/>
                <w:sz w:val="20"/>
                <w:szCs w:val="20"/>
              </w:rPr>
              <w:t>Sudeste</w:t>
            </w:r>
          </w:p>
        </w:tc>
        <w:tc>
          <w:tcPr>
            <w:tcW w:w="794" w:type="dxa"/>
            <w:shd w:val="clear" w:color="auto" w:fill="auto"/>
          </w:tcPr>
          <w:p w14:paraId="4447A014"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56,7</w:t>
            </w:r>
          </w:p>
        </w:tc>
        <w:tc>
          <w:tcPr>
            <w:tcW w:w="794" w:type="dxa"/>
            <w:shd w:val="clear" w:color="auto" w:fill="auto"/>
          </w:tcPr>
          <w:p w14:paraId="0AD4F7D6"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55,8</w:t>
            </w:r>
          </w:p>
        </w:tc>
        <w:tc>
          <w:tcPr>
            <w:tcW w:w="794" w:type="dxa"/>
            <w:shd w:val="clear" w:color="auto" w:fill="auto"/>
          </w:tcPr>
          <w:p w14:paraId="273474AE"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55,8</w:t>
            </w:r>
          </w:p>
        </w:tc>
        <w:tc>
          <w:tcPr>
            <w:tcW w:w="794" w:type="dxa"/>
            <w:shd w:val="clear" w:color="auto" w:fill="auto"/>
          </w:tcPr>
          <w:p w14:paraId="226D09EF"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56,5</w:t>
            </w:r>
          </w:p>
        </w:tc>
        <w:tc>
          <w:tcPr>
            <w:tcW w:w="794" w:type="dxa"/>
            <w:shd w:val="clear" w:color="auto" w:fill="auto"/>
          </w:tcPr>
          <w:p w14:paraId="4C22DDAE"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56,8</w:t>
            </w:r>
          </w:p>
        </w:tc>
        <w:tc>
          <w:tcPr>
            <w:tcW w:w="794" w:type="dxa"/>
            <w:shd w:val="clear" w:color="auto" w:fill="auto"/>
          </w:tcPr>
          <w:p w14:paraId="709F3D77"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56,4</w:t>
            </w:r>
          </w:p>
        </w:tc>
        <w:tc>
          <w:tcPr>
            <w:tcW w:w="794" w:type="dxa"/>
            <w:shd w:val="clear" w:color="auto" w:fill="auto"/>
          </w:tcPr>
          <w:p w14:paraId="2805F598"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56,0</w:t>
            </w:r>
          </w:p>
        </w:tc>
        <w:tc>
          <w:tcPr>
            <w:tcW w:w="794" w:type="dxa"/>
            <w:shd w:val="clear" w:color="auto" w:fill="auto"/>
          </w:tcPr>
          <w:p w14:paraId="07AB8956"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55,3</w:t>
            </w:r>
          </w:p>
        </w:tc>
        <w:tc>
          <w:tcPr>
            <w:tcW w:w="794" w:type="dxa"/>
            <w:shd w:val="clear" w:color="auto" w:fill="auto"/>
          </w:tcPr>
          <w:p w14:paraId="5AC055CC"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55,4</w:t>
            </w:r>
          </w:p>
        </w:tc>
      </w:tr>
      <w:tr w:rsidR="00B15F67" w:rsidRPr="004759D3" w14:paraId="0ED05C6F" w14:textId="77777777" w:rsidTr="006D5864">
        <w:tc>
          <w:tcPr>
            <w:tcW w:w="1668" w:type="dxa"/>
            <w:shd w:val="clear" w:color="auto" w:fill="C0C0C0"/>
          </w:tcPr>
          <w:p w14:paraId="1920BAFC" w14:textId="77777777" w:rsidR="004759D3" w:rsidRPr="006D5864" w:rsidRDefault="004759D3" w:rsidP="006D5864">
            <w:pPr>
              <w:spacing w:line="276" w:lineRule="auto"/>
              <w:jc w:val="both"/>
              <w:rPr>
                <w:rFonts w:ascii="Arial" w:hAnsi="Arial" w:cs="Arial"/>
                <w:b/>
                <w:bCs/>
                <w:color w:val="000000"/>
                <w:sz w:val="20"/>
                <w:szCs w:val="20"/>
              </w:rPr>
            </w:pPr>
            <w:r w:rsidRPr="006D5864">
              <w:rPr>
                <w:rFonts w:ascii="Arial" w:hAnsi="Arial" w:cs="Arial"/>
                <w:b/>
                <w:bCs/>
                <w:color w:val="000000"/>
                <w:sz w:val="20"/>
                <w:szCs w:val="20"/>
              </w:rPr>
              <w:t>Sul</w:t>
            </w:r>
          </w:p>
        </w:tc>
        <w:tc>
          <w:tcPr>
            <w:tcW w:w="794" w:type="dxa"/>
            <w:tcBorders>
              <w:left w:val="nil"/>
              <w:right w:val="nil"/>
            </w:tcBorders>
            <w:shd w:val="clear" w:color="auto" w:fill="C0C0C0"/>
          </w:tcPr>
          <w:p w14:paraId="17B2062E"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16,9</w:t>
            </w:r>
          </w:p>
        </w:tc>
        <w:tc>
          <w:tcPr>
            <w:tcW w:w="794" w:type="dxa"/>
            <w:shd w:val="clear" w:color="auto" w:fill="C0C0C0"/>
          </w:tcPr>
          <w:p w14:paraId="23A3C1C5"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17,7</w:t>
            </w:r>
          </w:p>
        </w:tc>
        <w:tc>
          <w:tcPr>
            <w:tcW w:w="794" w:type="dxa"/>
            <w:tcBorders>
              <w:left w:val="nil"/>
              <w:right w:val="nil"/>
            </w:tcBorders>
            <w:shd w:val="clear" w:color="auto" w:fill="C0C0C0"/>
          </w:tcPr>
          <w:p w14:paraId="5C4D58BD"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17,4</w:t>
            </w:r>
          </w:p>
        </w:tc>
        <w:tc>
          <w:tcPr>
            <w:tcW w:w="794" w:type="dxa"/>
            <w:shd w:val="clear" w:color="auto" w:fill="C0C0C0"/>
          </w:tcPr>
          <w:p w14:paraId="1E523104"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16,6</w:t>
            </w:r>
          </w:p>
        </w:tc>
        <w:tc>
          <w:tcPr>
            <w:tcW w:w="794" w:type="dxa"/>
            <w:tcBorders>
              <w:left w:val="nil"/>
              <w:right w:val="nil"/>
            </w:tcBorders>
            <w:shd w:val="clear" w:color="auto" w:fill="C0C0C0"/>
          </w:tcPr>
          <w:p w14:paraId="522F1E93"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16,3</w:t>
            </w:r>
          </w:p>
        </w:tc>
        <w:tc>
          <w:tcPr>
            <w:tcW w:w="794" w:type="dxa"/>
            <w:shd w:val="clear" w:color="auto" w:fill="C0C0C0"/>
          </w:tcPr>
          <w:p w14:paraId="74B4C91D"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16,6</w:t>
            </w:r>
          </w:p>
        </w:tc>
        <w:tc>
          <w:tcPr>
            <w:tcW w:w="794" w:type="dxa"/>
            <w:tcBorders>
              <w:left w:val="nil"/>
              <w:right w:val="nil"/>
            </w:tcBorders>
            <w:shd w:val="clear" w:color="auto" w:fill="C0C0C0"/>
          </w:tcPr>
          <w:p w14:paraId="569443F6"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16,6</w:t>
            </w:r>
          </w:p>
        </w:tc>
        <w:tc>
          <w:tcPr>
            <w:tcW w:w="794" w:type="dxa"/>
            <w:shd w:val="clear" w:color="auto" w:fill="C0C0C0"/>
          </w:tcPr>
          <w:p w14:paraId="110019E6"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16,5</w:t>
            </w:r>
          </w:p>
        </w:tc>
        <w:tc>
          <w:tcPr>
            <w:tcW w:w="794" w:type="dxa"/>
            <w:tcBorders>
              <w:left w:val="nil"/>
              <w:right w:val="nil"/>
            </w:tcBorders>
            <w:shd w:val="clear" w:color="auto" w:fill="C0C0C0"/>
          </w:tcPr>
          <w:p w14:paraId="4BEE44C0"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16,5</w:t>
            </w:r>
          </w:p>
        </w:tc>
      </w:tr>
      <w:tr w:rsidR="00B15F67" w:rsidRPr="004759D3" w14:paraId="19F71282" w14:textId="77777777" w:rsidTr="006D5864">
        <w:tc>
          <w:tcPr>
            <w:tcW w:w="1668" w:type="dxa"/>
            <w:shd w:val="clear" w:color="auto" w:fill="auto"/>
          </w:tcPr>
          <w:p w14:paraId="6A76CA44" w14:textId="77777777" w:rsidR="004759D3" w:rsidRPr="006D5864" w:rsidRDefault="004759D3" w:rsidP="006D5864">
            <w:pPr>
              <w:spacing w:line="276" w:lineRule="auto"/>
              <w:jc w:val="both"/>
              <w:rPr>
                <w:rFonts w:ascii="Arial" w:hAnsi="Arial" w:cs="Arial"/>
                <w:b/>
                <w:bCs/>
                <w:color w:val="000000"/>
                <w:sz w:val="20"/>
                <w:szCs w:val="20"/>
              </w:rPr>
            </w:pPr>
            <w:r w:rsidRPr="006D5864">
              <w:rPr>
                <w:rFonts w:ascii="Arial" w:hAnsi="Arial" w:cs="Arial"/>
                <w:b/>
                <w:bCs/>
                <w:color w:val="000000"/>
                <w:sz w:val="20"/>
                <w:szCs w:val="20"/>
              </w:rPr>
              <w:t>Centro-Oeste</w:t>
            </w:r>
          </w:p>
        </w:tc>
        <w:tc>
          <w:tcPr>
            <w:tcW w:w="794" w:type="dxa"/>
            <w:shd w:val="clear" w:color="auto" w:fill="auto"/>
          </w:tcPr>
          <w:p w14:paraId="6A3A7887"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8,8</w:t>
            </w:r>
          </w:p>
        </w:tc>
        <w:tc>
          <w:tcPr>
            <w:tcW w:w="794" w:type="dxa"/>
            <w:shd w:val="clear" w:color="auto" w:fill="auto"/>
          </w:tcPr>
          <w:p w14:paraId="602ECD79"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9,0</w:t>
            </w:r>
          </w:p>
        </w:tc>
        <w:tc>
          <w:tcPr>
            <w:tcW w:w="794" w:type="dxa"/>
            <w:shd w:val="clear" w:color="auto" w:fill="auto"/>
          </w:tcPr>
          <w:p w14:paraId="7E8D9383"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9,1</w:t>
            </w:r>
          </w:p>
        </w:tc>
        <w:tc>
          <w:tcPr>
            <w:tcW w:w="794" w:type="dxa"/>
            <w:shd w:val="clear" w:color="auto" w:fill="auto"/>
          </w:tcPr>
          <w:p w14:paraId="186112C3"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8,9</w:t>
            </w:r>
          </w:p>
        </w:tc>
        <w:tc>
          <w:tcPr>
            <w:tcW w:w="794" w:type="dxa"/>
            <w:shd w:val="clear" w:color="auto" w:fill="auto"/>
          </w:tcPr>
          <w:p w14:paraId="5F197437"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8,7</w:t>
            </w:r>
          </w:p>
        </w:tc>
        <w:tc>
          <w:tcPr>
            <w:tcW w:w="794" w:type="dxa"/>
            <w:shd w:val="clear" w:color="auto" w:fill="auto"/>
          </w:tcPr>
          <w:p w14:paraId="6E8C56B7"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8,9</w:t>
            </w:r>
          </w:p>
        </w:tc>
        <w:tc>
          <w:tcPr>
            <w:tcW w:w="794" w:type="dxa"/>
            <w:shd w:val="clear" w:color="auto" w:fill="auto"/>
          </w:tcPr>
          <w:p w14:paraId="18E7AA89"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9,2</w:t>
            </w:r>
          </w:p>
        </w:tc>
        <w:tc>
          <w:tcPr>
            <w:tcW w:w="794" w:type="dxa"/>
            <w:shd w:val="clear" w:color="auto" w:fill="auto"/>
          </w:tcPr>
          <w:p w14:paraId="0A860D95"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9,6</w:t>
            </w:r>
          </w:p>
        </w:tc>
        <w:tc>
          <w:tcPr>
            <w:tcW w:w="794" w:type="dxa"/>
            <w:shd w:val="clear" w:color="auto" w:fill="auto"/>
          </w:tcPr>
          <w:p w14:paraId="53C3CF5D" w14:textId="77777777" w:rsidR="004759D3" w:rsidRPr="006D5864" w:rsidRDefault="004759D3" w:rsidP="006D5864">
            <w:pPr>
              <w:spacing w:line="276" w:lineRule="auto"/>
              <w:jc w:val="both"/>
              <w:rPr>
                <w:rFonts w:ascii="Arial" w:hAnsi="Arial" w:cs="Arial"/>
                <w:color w:val="000000"/>
                <w:sz w:val="20"/>
                <w:szCs w:val="20"/>
              </w:rPr>
            </w:pPr>
            <w:r w:rsidRPr="006D5864">
              <w:rPr>
                <w:rFonts w:ascii="Arial" w:hAnsi="Arial" w:cs="Arial"/>
                <w:color w:val="000000"/>
                <w:sz w:val="20"/>
                <w:szCs w:val="20"/>
              </w:rPr>
              <w:t>9,3</w:t>
            </w:r>
          </w:p>
        </w:tc>
      </w:tr>
    </w:tbl>
    <w:p w14:paraId="368DB209" w14:textId="77777777" w:rsidR="00995063" w:rsidRPr="00631F21" w:rsidRDefault="00995063" w:rsidP="00631F21">
      <w:pPr>
        <w:spacing w:line="276" w:lineRule="auto"/>
        <w:jc w:val="both"/>
        <w:rPr>
          <w:rFonts w:ascii="Arial" w:hAnsi="Arial" w:cs="Arial"/>
        </w:rPr>
      </w:pPr>
    </w:p>
    <w:p w14:paraId="74F3CE92" w14:textId="77777777" w:rsidR="0012481C" w:rsidRPr="00631F21" w:rsidRDefault="004148A2" w:rsidP="00261578">
      <w:pPr>
        <w:spacing w:line="276" w:lineRule="auto"/>
        <w:ind w:firstLine="1418"/>
        <w:jc w:val="both"/>
        <w:rPr>
          <w:rFonts w:ascii="Arial" w:hAnsi="Arial" w:cs="Arial"/>
        </w:rPr>
      </w:pPr>
      <w:r>
        <w:rPr>
          <w:rFonts w:ascii="Arial" w:hAnsi="Arial" w:cs="Arial"/>
        </w:rPr>
        <w:t>A</w:t>
      </w:r>
      <w:r w:rsidR="00995063" w:rsidRPr="00631F21">
        <w:rPr>
          <w:rFonts w:ascii="Arial" w:hAnsi="Arial" w:cs="Arial"/>
        </w:rPr>
        <w:t xml:space="preserve"> participaçã</w:t>
      </w:r>
      <w:r w:rsidR="0012481C" w:rsidRPr="00631F21">
        <w:rPr>
          <w:rFonts w:ascii="Arial" w:hAnsi="Arial" w:cs="Arial"/>
        </w:rPr>
        <w:t xml:space="preserve">o </w:t>
      </w:r>
      <w:r w:rsidR="00995063" w:rsidRPr="00631F21">
        <w:rPr>
          <w:rFonts w:ascii="Arial" w:hAnsi="Arial" w:cs="Arial"/>
        </w:rPr>
        <w:t xml:space="preserve">dos Estados da Região Sudeste do país corresponde </w:t>
      </w:r>
      <w:r w:rsidR="00474402">
        <w:rPr>
          <w:rFonts w:ascii="Arial" w:hAnsi="Arial" w:cs="Arial"/>
        </w:rPr>
        <w:t>a mais de 55% do PIB total do Brasil</w:t>
      </w:r>
      <w:r w:rsidR="0012481C" w:rsidRPr="00631F21">
        <w:rPr>
          <w:rFonts w:ascii="Arial" w:hAnsi="Arial" w:cs="Arial"/>
        </w:rPr>
        <w:t>,</w:t>
      </w:r>
      <w:r w:rsidR="00995063" w:rsidRPr="00631F21">
        <w:rPr>
          <w:rFonts w:ascii="Arial" w:hAnsi="Arial" w:cs="Arial"/>
        </w:rPr>
        <w:t xml:space="preserve"> o que comprova a desigualdade regional do Brasil</w:t>
      </w:r>
      <w:r w:rsidR="00474402">
        <w:rPr>
          <w:rFonts w:ascii="Arial" w:hAnsi="Arial" w:cs="Arial"/>
        </w:rPr>
        <w:t xml:space="preserve"> – e </w:t>
      </w:r>
      <w:r>
        <w:rPr>
          <w:rFonts w:ascii="Arial" w:hAnsi="Arial" w:cs="Arial"/>
        </w:rPr>
        <w:t>justifica, aliás, a norma do artigo 151, I,</w:t>
      </w:r>
      <w:r w:rsidRPr="00261578">
        <w:rPr>
          <w:rFonts w:ascii="Arial" w:hAnsi="Arial" w:cs="Arial"/>
        </w:rPr>
        <w:t xml:space="preserve"> da Constituição, que permite, à União, </w:t>
      </w:r>
      <w:r w:rsidR="00474402" w:rsidRPr="00296847">
        <w:rPr>
          <w:rFonts w:ascii="Arial" w:hAnsi="Arial" w:cs="Arial"/>
          <w:i/>
        </w:rPr>
        <w:t>“</w:t>
      </w:r>
      <w:r w:rsidRPr="00296847">
        <w:rPr>
          <w:rFonts w:ascii="Arial" w:hAnsi="Arial" w:cs="Arial"/>
          <w:i/>
        </w:rPr>
        <w:t xml:space="preserve">a concessão de incentivos fiscais destinados a promover o equilíbrio do desenvolvimento </w:t>
      </w:r>
      <w:r w:rsidR="00261578" w:rsidRPr="00296847">
        <w:rPr>
          <w:rFonts w:ascii="Arial" w:hAnsi="Arial" w:cs="Arial"/>
          <w:i/>
        </w:rPr>
        <w:t>socioeconômico</w:t>
      </w:r>
      <w:r w:rsidRPr="00296847">
        <w:rPr>
          <w:rFonts w:ascii="Arial" w:hAnsi="Arial" w:cs="Arial"/>
          <w:i/>
        </w:rPr>
        <w:t xml:space="preserve"> entre as diferentes regiões</w:t>
      </w:r>
      <w:r w:rsidR="00474402" w:rsidRPr="00296847">
        <w:rPr>
          <w:rFonts w:ascii="Arial" w:hAnsi="Arial" w:cs="Arial"/>
          <w:i/>
        </w:rPr>
        <w:t xml:space="preserve"> do País”</w:t>
      </w:r>
      <w:r w:rsidRPr="00261578">
        <w:rPr>
          <w:rFonts w:ascii="Arial" w:hAnsi="Arial" w:cs="Arial"/>
        </w:rPr>
        <w:t>.</w:t>
      </w:r>
      <w:r w:rsidR="00261578">
        <w:rPr>
          <w:rFonts w:ascii="Arial" w:hAnsi="Arial" w:cs="Arial"/>
        </w:rPr>
        <w:t xml:space="preserve"> A</w:t>
      </w:r>
      <w:r w:rsidR="00995063" w:rsidRPr="00631F21">
        <w:rPr>
          <w:rFonts w:ascii="Arial" w:hAnsi="Arial" w:cs="Arial"/>
        </w:rPr>
        <w:t>inda</w:t>
      </w:r>
      <w:r w:rsidR="00261578">
        <w:rPr>
          <w:rFonts w:ascii="Arial" w:hAnsi="Arial" w:cs="Arial"/>
        </w:rPr>
        <w:t xml:space="preserve">, </w:t>
      </w:r>
      <w:r w:rsidR="00995063" w:rsidRPr="00631F21">
        <w:rPr>
          <w:rFonts w:ascii="Arial" w:hAnsi="Arial" w:cs="Arial"/>
        </w:rPr>
        <w:t xml:space="preserve">Constituição </w:t>
      </w:r>
      <w:r w:rsidR="00261578">
        <w:rPr>
          <w:rFonts w:ascii="Arial" w:hAnsi="Arial" w:cs="Arial"/>
        </w:rPr>
        <w:t xml:space="preserve">prevê, entre </w:t>
      </w:r>
      <w:r w:rsidR="00995063" w:rsidRPr="00631F21">
        <w:rPr>
          <w:rFonts w:ascii="Arial" w:hAnsi="Arial" w:cs="Arial"/>
        </w:rPr>
        <w:t xml:space="preserve">os </w:t>
      </w:r>
      <w:r w:rsidR="00261578">
        <w:rPr>
          <w:rFonts w:ascii="Arial" w:hAnsi="Arial" w:cs="Arial"/>
        </w:rPr>
        <w:t>O</w:t>
      </w:r>
      <w:r w:rsidR="00995063" w:rsidRPr="00631F21">
        <w:rPr>
          <w:rFonts w:ascii="Arial" w:hAnsi="Arial" w:cs="Arial"/>
        </w:rPr>
        <w:t>bjetivos</w:t>
      </w:r>
      <w:r w:rsidR="00261578">
        <w:rPr>
          <w:rFonts w:ascii="Arial" w:hAnsi="Arial" w:cs="Arial"/>
        </w:rPr>
        <w:t xml:space="preserve"> Fundamentais</w:t>
      </w:r>
      <w:r w:rsidR="00995063" w:rsidRPr="00631F21">
        <w:rPr>
          <w:rFonts w:ascii="Arial" w:hAnsi="Arial" w:cs="Arial"/>
        </w:rPr>
        <w:t xml:space="preserve"> da </w:t>
      </w:r>
      <w:r w:rsidR="00261578">
        <w:rPr>
          <w:rFonts w:ascii="Arial" w:hAnsi="Arial" w:cs="Arial"/>
        </w:rPr>
        <w:t>R</w:t>
      </w:r>
      <w:r w:rsidR="00995063" w:rsidRPr="00631F21">
        <w:rPr>
          <w:rFonts w:ascii="Arial" w:hAnsi="Arial" w:cs="Arial"/>
        </w:rPr>
        <w:t>epública, em seu artigo 3</w:t>
      </w:r>
      <w:r w:rsidR="00261578">
        <w:rPr>
          <w:rFonts w:ascii="Arial" w:hAnsi="Arial" w:cs="Arial"/>
        </w:rPr>
        <w:t>.</w:t>
      </w:r>
      <w:r w:rsidR="00995063" w:rsidRPr="00631F21">
        <w:rPr>
          <w:rFonts w:ascii="Arial" w:hAnsi="Arial" w:cs="Arial"/>
        </w:rPr>
        <w:t>º,</w:t>
      </w:r>
      <w:r w:rsidR="00261578">
        <w:rPr>
          <w:rFonts w:ascii="Arial" w:hAnsi="Arial" w:cs="Arial"/>
        </w:rPr>
        <w:t xml:space="preserve"> III,</w:t>
      </w:r>
      <w:r w:rsidR="00995063" w:rsidRPr="00631F21">
        <w:rPr>
          <w:rFonts w:ascii="Arial" w:hAnsi="Arial" w:cs="Arial"/>
        </w:rPr>
        <w:t xml:space="preserve"> a meta de </w:t>
      </w:r>
      <w:r w:rsidR="00995063" w:rsidRPr="00296847">
        <w:rPr>
          <w:rFonts w:ascii="Arial" w:hAnsi="Arial" w:cs="Arial"/>
          <w:i/>
        </w:rPr>
        <w:t>“</w:t>
      </w:r>
      <w:r w:rsidR="00474402" w:rsidRPr="00296847">
        <w:rPr>
          <w:rFonts w:ascii="Arial" w:hAnsi="Arial" w:cs="Arial"/>
          <w:i/>
        </w:rPr>
        <w:t>...</w:t>
      </w:r>
      <w:r w:rsidR="00995063" w:rsidRPr="00296847">
        <w:rPr>
          <w:rFonts w:ascii="Arial" w:hAnsi="Arial" w:cs="Arial"/>
          <w:i/>
        </w:rPr>
        <w:t>reduzir as desigualdades sociais e regionais”</w:t>
      </w:r>
      <w:r w:rsidR="00995063" w:rsidRPr="00474402">
        <w:rPr>
          <w:rFonts w:ascii="Arial" w:hAnsi="Arial" w:cs="Arial"/>
        </w:rPr>
        <w:t xml:space="preserve">. </w:t>
      </w:r>
      <w:r w:rsidR="00261578" w:rsidRPr="00474402">
        <w:rPr>
          <w:rFonts w:ascii="Arial" w:hAnsi="Arial" w:cs="Arial"/>
        </w:rPr>
        <w:t>Isso demonstra a nec</w:t>
      </w:r>
      <w:r w:rsidR="00261578">
        <w:rPr>
          <w:rFonts w:ascii="Arial" w:hAnsi="Arial" w:cs="Arial"/>
        </w:rPr>
        <w:t>essidade de aprofundar o exame dos benefícios fiscais concedidos no âmbito da guerra fiscal e seus efeitos no desenvolvimento nacional.</w:t>
      </w:r>
    </w:p>
    <w:p w14:paraId="4848A5EF" w14:textId="77777777" w:rsidR="00E95DC1" w:rsidRPr="00631F21" w:rsidRDefault="004B1F83" w:rsidP="00631F21">
      <w:pPr>
        <w:spacing w:line="276" w:lineRule="auto"/>
        <w:ind w:firstLine="1418"/>
        <w:jc w:val="both"/>
        <w:rPr>
          <w:rFonts w:ascii="Arial" w:hAnsi="Arial" w:cs="Arial"/>
        </w:rPr>
      </w:pPr>
      <w:r w:rsidRPr="00631F21">
        <w:rPr>
          <w:rFonts w:ascii="Arial" w:hAnsi="Arial" w:cs="Arial"/>
        </w:rPr>
        <w:t xml:space="preserve">Um dos estudos mais citados sobre o impacto da </w:t>
      </w:r>
      <w:r w:rsidR="00137E77">
        <w:rPr>
          <w:rFonts w:ascii="Arial" w:hAnsi="Arial" w:cs="Arial"/>
        </w:rPr>
        <w:t>guerra dos portos</w:t>
      </w:r>
      <w:r w:rsidRPr="00631F21">
        <w:rPr>
          <w:rFonts w:ascii="Arial" w:hAnsi="Arial" w:cs="Arial"/>
        </w:rPr>
        <w:t xml:space="preserve"> no Brasil é o estudo elaborado </w:t>
      </w:r>
      <w:r w:rsidR="00261578">
        <w:rPr>
          <w:rFonts w:ascii="Arial" w:hAnsi="Arial" w:cs="Arial"/>
        </w:rPr>
        <w:t xml:space="preserve">em </w:t>
      </w:r>
      <w:r w:rsidR="00261578" w:rsidRPr="00631F21">
        <w:rPr>
          <w:rFonts w:ascii="Arial" w:hAnsi="Arial" w:cs="Arial"/>
        </w:rPr>
        <w:t>2011</w:t>
      </w:r>
      <w:r w:rsidR="00261578">
        <w:rPr>
          <w:rFonts w:ascii="Arial" w:hAnsi="Arial" w:cs="Arial"/>
        </w:rPr>
        <w:t xml:space="preserve"> </w:t>
      </w:r>
      <w:r w:rsidRPr="00631F21">
        <w:rPr>
          <w:rFonts w:ascii="Arial" w:hAnsi="Arial" w:cs="Arial"/>
        </w:rPr>
        <w:t>pelo Departamento de Competitividade e Tecnologia – DECOMTEC e pela Federação das  Industrias do Estad</w:t>
      </w:r>
      <w:r w:rsidR="00261578">
        <w:rPr>
          <w:rFonts w:ascii="Arial" w:hAnsi="Arial" w:cs="Arial"/>
        </w:rPr>
        <w:t>o de São Paulo – FIESP</w:t>
      </w:r>
      <w:r w:rsidR="004E0A80">
        <w:rPr>
          <w:rFonts w:ascii="Arial" w:hAnsi="Arial" w:cs="Arial"/>
        </w:rPr>
        <w:t xml:space="preserve"> (2011)</w:t>
      </w:r>
      <w:r w:rsidRPr="00631F21">
        <w:rPr>
          <w:rFonts w:ascii="Arial" w:hAnsi="Arial" w:cs="Arial"/>
        </w:rPr>
        <w:t>.</w:t>
      </w:r>
    </w:p>
    <w:p w14:paraId="26129512" w14:textId="77777777" w:rsidR="004B1F83" w:rsidRPr="00631F21" w:rsidRDefault="004B1F83" w:rsidP="00631F21">
      <w:pPr>
        <w:spacing w:line="276" w:lineRule="auto"/>
        <w:ind w:firstLine="1418"/>
        <w:jc w:val="both"/>
        <w:rPr>
          <w:rFonts w:ascii="Arial" w:hAnsi="Arial" w:cs="Arial"/>
        </w:rPr>
      </w:pPr>
      <w:r w:rsidRPr="00631F21">
        <w:rPr>
          <w:rFonts w:ascii="Arial" w:hAnsi="Arial" w:cs="Arial"/>
        </w:rPr>
        <w:t>As conclusões do estudo foram as seguintes:</w:t>
      </w:r>
    </w:p>
    <w:p w14:paraId="31EDA5D0" w14:textId="77777777" w:rsidR="004B1F83" w:rsidRPr="00D2733B" w:rsidRDefault="004B1F83" w:rsidP="00631F21">
      <w:pPr>
        <w:spacing w:line="276" w:lineRule="auto"/>
        <w:ind w:firstLine="1418"/>
        <w:jc w:val="both"/>
        <w:rPr>
          <w:rFonts w:ascii="Arial" w:hAnsi="Arial" w:cs="Arial"/>
        </w:rPr>
      </w:pPr>
      <w:r w:rsidRPr="00D2733B">
        <w:rPr>
          <w:rFonts w:ascii="Arial" w:hAnsi="Arial" w:cs="Arial"/>
        </w:rPr>
        <w:t>(i)  a concessão de benefícios de ICMS aumentaria a arrecadação no Estado concedente em detrimento da arrecadação dos demais Estados;</w:t>
      </w:r>
    </w:p>
    <w:p w14:paraId="04FEE0FA" w14:textId="77777777" w:rsidR="004B1F83" w:rsidRPr="00D2733B" w:rsidRDefault="004B1F83" w:rsidP="00631F21">
      <w:pPr>
        <w:spacing w:line="276" w:lineRule="auto"/>
        <w:ind w:firstLine="1418"/>
        <w:jc w:val="both"/>
        <w:rPr>
          <w:rFonts w:ascii="Arial" w:hAnsi="Arial" w:cs="Arial"/>
        </w:rPr>
      </w:pPr>
      <w:r w:rsidRPr="00D2733B">
        <w:rPr>
          <w:rFonts w:ascii="Arial" w:hAnsi="Arial" w:cs="Arial"/>
        </w:rPr>
        <w:t xml:space="preserve">(ii) a </w:t>
      </w:r>
      <w:r w:rsidR="00137E77" w:rsidRPr="00D2733B">
        <w:rPr>
          <w:rFonts w:ascii="Arial" w:hAnsi="Arial" w:cs="Arial"/>
        </w:rPr>
        <w:t>g</w:t>
      </w:r>
      <w:r w:rsidRPr="00D2733B">
        <w:rPr>
          <w:rFonts w:ascii="Arial" w:hAnsi="Arial" w:cs="Arial"/>
        </w:rPr>
        <w:t xml:space="preserve">uerra </w:t>
      </w:r>
      <w:r w:rsidR="002B0C6F" w:rsidRPr="00D2733B">
        <w:rPr>
          <w:rFonts w:ascii="Arial" w:hAnsi="Arial" w:cs="Arial"/>
        </w:rPr>
        <w:t>f</w:t>
      </w:r>
      <w:r w:rsidRPr="00D2733B">
        <w:rPr>
          <w:rFonts w:ascii="Arial" w:hAnsi="Arial" w:cs="Arial"/>
        </w:rPr>
        <w:t>iscal do ICMS na Importação estaria transferindo empregos do Brasil para o exterior, em razão do barat</w:t>
      </w:r>
      <w:r w:rsidR="00261578" w:rsidRPr="00D2733B">
        <w:rPr>
          <w:rFonts w:ascii="Arial" w:hAnsi="Arial" w:cs="Arial"/>
        </w:rPr>
        <w:t>eamento dos produtos importados;</w:t>
      </w:r>
    </w:p>
    <w:p w14:paraId="41098414" w14:textId="77777777" w:rsidR="004B1F83" w:rsidRPr="00D2733B" w:rsidRDefault="004B1F83" w:rsidP="00631F21">
      <w:pPr>
        <w:spacing w:line="276" w:lineRule="auto"/>
        <w:ind w:firstLine="1418"/>
        <w:jc w:val="both"/>
        <w:rPr>
          <w:rFonts w:ascii="Arial" w:hAnsi="Arial" w:cs="Arial"/>
        </w:rPr>
      </w:pPr>
      <w:r w:rsidRPr="00D2733B">
        <w:rPr>
          <w:rFonts w:ascii="Arial" w:hAnsi="Arial" w:cs="Arial"/>
        </w:rPr>
        <w:t>(ii</w:t>
      </w:r>
      <w:r w:rsidR="003B395A" w:rsidRPr="00D2733B">
        <w:rPr>
          <w:rFonts w:ascii="Arial" w:hAnsi="Arial" w:cs="Arial"/>
        </w:rPr>
        <w:t>i</w:t>
      </w:r>
      <w:r w:rsidRPr="00D2733B">
        <w:rPr>
          <w:rFonts w:ascii="Arial" w:hAnsi="Arial" w:cs="Arial"/>
        </w:rPr>
        <w:t>) caso os US$ 14,22 bilhões (</w:t>
      </w:r>
      <w:r w:rsidR="00261578" w:rsidRPr="00D2733B">
        <w:rPr>
          <w:rFonts w:ascii="Arial" w:hAnsi="Arial" w:cs="Arial"/>
        </w:rPr>
        <w:t xml:space="preserve">por volta de </w:t>
      </w:r>
      <w:r w:rsidRPr="00D2733B">
        <w:rPr>
          <w:rFonts w:ascii="Arial" w:hAnsi="Arial" w:cs="Arial"/>
        </w:rPr>
        <w:t>R$ 25</w:t>
      </w:r>
      <w:r w:rsidR="00261578" w:rsidRPr="00D2733B">
        <w:rPr>
          <w:rFonts w:ascii="Arial" w:hAnsi="Arial" w:cs="Arial"/>
        </w:rPr>
        <w:t xml:space="preserve"> </w:t>
      </w:r>
      <w:r w:rsidRPr="00D2733B">
        <w:rPr>
          <w:rFonts w:ascii="Arial" w:hAnsi="Arial" w:cs="Arial"/>
        </w:rPr>
        <w:t>bilhões) de incremento nas importações de bens industriais relacionados aos benefícios fossem produzidos no Brasil, isso estimularia também a produção da cadeia à montante, e, portanto, a produção nacional poderia ser R$ 55,41 bilhões superior (R$ 25,02 bilhões devido ao efeito direto e R$ 30,39 bilhões devido ao efeito indireto)</w:t>
      </w:r>
      <w:r w:rsidR="00261578" w:rsidRPr="00D2733B">
        <w:rPr>
          <w:rFonts w:ascii="Arial" w:hAnsi="Arial" w:cs="Arial"/>
        </w:rPr>
        <w:t>;</w:t>
      </w:r>
    </w:p>
    <w:p w14:paraId="251CC204" w14:textId="77777777" w:rsidR="004B1F83" w:rsidRPr="00D2733B" w:rsidRDefault="003B395A" w:rsidP="00631F21">
      <w:pPr>
        <w:spacing w:line="276" w:lineRule="auto"/>
        <w:ind w:firstLine="1418"/>
        <w:jc w:val="both"/>
        <w:rPr>
          <w:rFonts w:ascii="Arial" w:hAnsi="Arial" w:cs="Arial"/>
        </w:rPr>
      </w:pPr>
      <w:r w:rsidRPr="00D2733B">
        <w:rPr>
          <w:rFonts w:ascii="Arial" w:hAnsi="Arial" w:cs="Arial"/>
        </w:rPr>
        <w:t>(iv</w:t>
      </w:r>
      <w:r w:rsidR="004B1F83" w:rsidRPr="00D2733B">
        <w:rPr>
          <w:rFonts w:ascii="Arial" w:hAnsi="Arial" w:cs="Arial"/>
        </w:rPr>
        <w:t xml:space="preserve">) o incremento estimado no PIB de 2010 seria de R$ 18,9 </w:t>
      </w:r>
      <w:r w:rsidR="00041966" w:rsidRPr="00D2733B">
        <w:rPr>
          <w:rFonts w:ascii="Arial" w:hAnsi="Arial" w:cs="Arial"/>
        </w:rPr>
        <w:t>bilhões</w:t>
      </w:r>
      <w:r w:rsidR="004B1F83" w:rsidRPr="00D2733B">
        <w:rPr>
          <w:rFonts w:ascii="Arial" w:hAnsi="Arial" w:cs="Arial"/>
        </w:rPr>
        <w:t>, o que possibilitaria que esse fosse 0,6% maior do que o atual</w:t>
      </w:r>
      <w:r w:rsidRPr="00D2733B">
        <w:rPr>
          <w:rFonts w:ascii="Arial" w:hAnsi="Arial" w:cs="Arial"/>
        </w:rPr>
        <w:t xml:space="preserve">, tendo a </w:t>
      </w:r>
      <w:r w:rsidR="00137E77" w:rsidRPr="00D2733B">
        <w:rPr>
          <w:rFonts w:ascii="Arial" w:hAnsi="Arial" w:cs="Arial"/>
        </w:rPr>
        <w:t>guerra dos portos</w:t>
      </w:r>
      <w:r w:rsidRPr="00D2733B">
        <w:rPr>
          <w:rFonts w:ascii="Arial" w:hAnsi="Arial" w:cs="Arial"/>
        </w:rPr>
        <w:t xml:space="preserve"> </w:t>
      </w:r>
      <w:r w:rsidR="004B1F83" w:rsidRPr="00D2733B">
        <w:rPr>
          <w:rFonts w:ascii="Arial" w:hAnsi="Arial" w:cs="Arial"/>
        </w:rPr>
        <w:t xml:space="preserve">um </w:t>
      </w:r>
      <w:r w:rsidR="00261578" w:rsidRPr="00D2733B">
        <w:rPr>
          <w:rFonts w:ascii="Arial" w:hAnsi="Arial" w:cs="Arial"/>
        </w:rPr>
        <w:t>elevado custo para a sociedade;</w:t>
      </w:r>
    </w:p>
    <w:p w14:paraId="5B4BE99F" w14:textId="77777777" w:rsidR="004B1F83" w:rsidRPr="00D2733B" w:rsidRDefault="00041966" w:rsidP="00631F21">
      <w:pPr>
        <w:spacing w:line="276" w:lineRule="auto"/>
        <w:ind w:firstLine="1418"/>
        <w:jc w:val="both"/>
        <w:rPr>
          <w:rFonts w:ascii="Arial" w:hAnsi="Arial" w:cs="Arial"/>
        </w:rPr>
      </w:pPr>
      <w:r w:rsidRPr="00D2733B">
        <w:rPr>
          <w:rFonts w:ascii="Arial" w:hAnsi="Arial" w:cs="Arial"/>
        </w:rPr>
        <w:t>Para que se possa aferir</w:t>
      </w:r>
      <w:r w:rsidR="0012481C" w:rsidRPr="00D2733B">
        <w:rPr>
          <w:rFonts w:ascii="Arial" w:hAnsi="Arial" w:cs="Arial"/>
        </w:rPr>
        <w:t xml:space="preserve"> efetivamente se as conclusões do mencionado estudo são reais e se a </w:t>
      </w:r>
      <w:r w:rsidR="00137E77" w:rsidRPr="00D2733B">
        <w:rPr>
          <w:rFonts w:ascii="Arial" w:hAnsi="Arial" w:cs="Arial"/>
        </w:rPr>
        <w:t>guerra dos portos</w:t>
      </w:r>
      <w:r w:rsidR="0012481C" w:rsidRPr="00D2733B">
        <w:rPr>
          <w:rFonts w:ascii="Arial" w:hAnsi="Arial" w:cs="Arial"/>
        </w:rPr>
        <w:t xml:space="preserve"> estaria</w:t>
      </w:r>
      <w:r w:rsidRPr="00D2733B">
        <w:rPr>
          <w:rFonts w:ascii="Arial" w:hAnsi="Arial" w:cs="Arial"/>
        </w:rPr>
        <w:t xml:space="preserve"> de fato</w:t>
      </w:r>
      <w:r w:rsidR="0012481C" w:rsidRPr="00D2733B">
        <w:rPr>
          <w:rFonts w:ascii="Arial" w:hAnsi="Arial" w:cs="Arial"/>
        </w:rPr>
        <w:t xml:space="preserve"> p</w:t>
      </w:r>
      <w:r w:rsidRPr="00D2733B">
        <w:rPr>
          <w:rFonts w:ascii="Arial" w:hAnsi="Arial" w:cs="Arial"/>
        </w:rPr>
        <w:t>rejudicando o desenvolvimento do</w:t>
      </w:r>
      <w:r w:rsidR="0012481C" w:rsidRPr="00D2733B">
        <w:rPr>
          <w:rFonts w:ascii="Arial" w:hAnsi="Arial" w:cs="Arial"/>
        </w:rPr>
        <w:t xml:space="preserve"> país, é necessário contrapor esses dados e conclusões com outros estudos sobre o assunto.</w:t>
      </w:r>
    </w:p>
    <w:p w14:paraId="0A4E4E42" w14:textId="77777777" w:rsidR="001D7508" w:rsidRPr="00631F21" w:rsidRDefault="00261578" w:rsidP="00261578">
      <w:pPr>
        <w:spacing w:line="276" w:lineRule="auto"/>
        <w:ind w:firstLine="1418"/>
        <w:jc w:val="both"/>
        <w:rPr>
          <w:rFonts w:ascii="Arial" w:hAnsi="Arial" w:cs="Arial"/>
        </w:rPr>
      </w:pPr>
      <w:r w:rsidRPr="00D2733B">
        <w:rPr>
          <w:rFonts w:ascii="Arial" w:hAnsi="Arial" w:cs="Arial"/>
        </w:rPr>
        <w:t>À</w:t>
      </w:r>
      <w:r w:rsidR="00041966" w:rsidRPr="00D2733B">
        <w:rPr>
          <w:rFonts w:ascii="Arial" w:hAnsi="Arial" w:cs="Arial"/>
        </w:rPr>
        <w:t xml:space="preserve"> primeira conclusão, </w:t>
      </w:r>
      <w:r w:rsidRPr="00D2733B">
        <w:rPr>
          <w:rFonts w:ascii="Arial" w:hAnsi="Arial" w:cs="Arial"/>
        </w:rPr>
        <w:t>segundo a qual</w:t>
      </w:r>
      <w:r w:rsidR="00041966" w:rsidRPr="00D2733B">
        <w:rPr>
          <w:rFonts w:ascii="Arial" w:hAnsi="Arial" w:cs="Arial"/>
        </w:rPr>
        <w:t xml:space="preserve"> a concessão de benefícios de ICMS aumentaria a arrecadação no Estado concedente em detrimento da arrecadação dos demais Estados, </w:t>
      </w:r>
      <w:r w:rsidRPr="00D2733B">
        <w:rPr>
          <w:rFonts w:ascii="Arial" w:hAnsi="Arial" w:cs="Arial"/>
        </w:rPr>
        <w:t xml:space="preserve">podem ser </w:t>
      </w:r>
      <w:r w:rsidR="009D0183" w:rsidRPr="00D2733B">
        <w:rPr>
          <w:rFonts w:ascii="Arial" w:hAnsi="Arial" w:cs="Arial"/>
        </w:rPr>
        <w:t>levantados</w:t>
      </w:r>
      <w:r w:rsidRPr="00D2733B">
        <w:rPr>
          <w:rFonts w:ascii="Arial" w:hAnsi="Arial" w:cs="Arial"/>
        </w:rPr>
        <w:t xml:space="preserve"> alguns argumentos</w:t>
      </w:r>
      <w:r w:rsidR="00041966" w:rsidRPr="00D2733B">
        <w:rPr>
          <w:rFonts w:ascii="Arial" w:hAnsi="Arial" w:cs="Arial"/>
        </w:rPr>
        <w:t>.</w:t>
      </w:r>
      <w:r w:rsidRPr="00D2733B">
        <w:rPr>
          <w:rFonts w:ascii="Arial" w:hAnsi="Arial" w:cs="Arial"/>
        </w:rPr>
        <w:t xml:space="preserve"> </w:t>
      </w:r>
      <w:r w:rsidR="00041966" w:rsidRPr="00D2733B">
        <w:rPr>
          <w:rFonts w:ascii="Arial" w:hAnsi="Arial" w:cs="Arial"/>
        </w:rPr>
        <w:t xml:space="preserve">Até que ponto </w:t>
      </w:r>
      <w:r w:rsidR="001D7508" w:rsidRPr="00D2733B">
        <w:rPr>
          <w:rFonts w:ascii="Arial" w:hAnsi="Arial" w:cs="Arial"/>
        </w:rPr>
        <w:t xml:space="preserve">essa perda de arrecadação </w:t>
      </w:r>
      <w:r w:rsidR="00041966" w:rsidRPr="00D2733B">
        <w:rPr>
          <w:rFonts w:ascii="Arial" w:hAnsi="Arial" w:cs="Arial"/>
        </w:rPr>
        <w:t xml:space="preserve">realmente prejudica </w:t>
      </w:r>
      <w:r w:rsidR="001D7508" w:rsidRPr="00D2733B">
        <w:rPr>
          <w:rFonts w:ascii="Arial" w:hAnsi="Arial" w:cs="Arial"/>
        </w:rPr>
        <w:t xml:space="preserve">os </w:t>
      </w:r>
      <w:r w:rsidR="009D0183" w:rsidRPr="00D2733B">
        <w:rPr>
          <w:rFonts w:ascii="Arial" w:hAnsi="Arial" w:cs="Arial"/>
        </w:rPr>
        <w:t>E</w:t>
      </w:r>
      <w:r w:rsidR="001D7508" w:rsidRPr="00D2733B">
        <w:rPr>
          <w:rFonts w:ascii="Arial" w:hAnsi="Arial" w:cs="Arial"/>
        </w:rPr>
        <w:t xml:space="preserve">stados </w:t>
      </w:r>
      <w:r w:rsidR="001D7508" w:rsidRPr="00D2733B">
        <w:rPr>
          <w:rFonts w:ascii="Arial" w:hAnsi="Arial" w:cs="Arial"/>
        </w:rPr>
        <w:lastRenderedPageBreak/>
        <w:t xml:space="preserve">altamente industrializados, como São Paulo e Rio de Janeiro, que juntos contribuem </w:t>
      </w:r>
      <w:r w:rsidR="009D0183" w:rsidRPr="00D2733B">
        <w:rPr>
          <w:rFonts w:ascii="Arial" w:hAnsi="Arial" w:cs="Arial"/>
        </w:rPr>
        <w:t>com</w:t>
      </w:r>
      <w:r w:rsidR="001D7508" w:rsidRPr="00D2733B">
        <w:rPr>
          <w:rFonts w:ascii="Arial" w:hAnsi="Arial" w:cs="Arial"/>
        </w:rPr>
        <w:t xml:space="preserve"> mais de</w:t>
      </w:r>
      <w:r w:rsidR="001D7508" w:rsidRPr="00631F21">
        <w:rPr>
          <w:rFonts w:ascii="Arial" w:hAnsi="Arial" w:cs="Arial"/>
        </w:rPr>
        <w:t xml:space="preserve"> 45% do PIB nacional, e até que ponto o aumento de arrecadação dos </w:t>
      </w:r>
      <w:r w:rsidR="009D0183">
        <w:rPr>
          <w:rFonts w:ascii="Arial" w:hAnsi="Arial" w:cs="Arial"/>
        </w:rPr>
        <w:t>E</w:t>
      </w:r>
      <w:r w:rsidR="001D7508" w:rsidRPr="00631F21">
        <w:rPr>
          <w:rFonts w:ascii="Arial" w:hAnsi="Arial" w:cs="Arial"/>
        </w:rPr>
        <w:t xml:space="preserve">stados menores não é essencial para que esses </w:t>
      </w:r>
      <w:r w:rsidR="009D0183" w:rsidRPr="00631F21">
        <w:rPr>
          <w:rFonts w:ascii="Arial" w:hAnsi="Arial" w:cs="Arial"/>
        </w:rPr>
        <w:t xml:space="preserve">se </w:t>
      </w:r>
      <w:r w:rsidR="001D7508" w:rsidRPr="00631F21">
        <w:rPr>
          <w:rFonts w:ascii="Arial" w:hAnsi="Arial" w:cs="Arial"/>
        </w:rPr>
        <w:t>possam desenvolver?</w:t>
      </w:r>
      <w:r>
        <w:rPr>
          <w:rFonts w:ascii="Arial" w:hAnsi="Arial" w:cs="Arial"/>
        </w:rPr>
        <w:t xml:space="preserve"> </w:t>
      </w:r>
      <w:r w:rsidR="001D7508" w:rsidRPr="00631F21">
        <w:rPr>
          <w:rFonts w:ascii="Arial" w:hAnsi="Arial" w:cs="Arial"/>
        </w:rPr>
        <w:t xml:space="preserve">Para responder </w:t>
      </w:r>
      <w:r w:rsidR="00FF1277" w:rsidRPr="00631F21">
        <w:rPr>
          <w:rFonts w:ascii="Arial" w:hAnsi="Arial" w:cs="Arial"/>
        </w:rPr>
        <w:t>a</w:t>
      </w:r>
      <w:r w:rsidR="001D7508" w:rsidRPr="00631F21">
        <w:rPr>
          <w:rFonts w:ascii="Arial" w:hAnsi="Arial" w:cs="Arial"/>
        </w:rPr>
        <w:t xml:space="preserve"> essa questão, a Fundação Getúlio Vargas – FGV, contratada pela Federação das Indústrias do Estado de Goiás – FIEG, realizou um estudo para estimar os impactos econômicos da implantação e da operação de 12 projetos industriais, viabilizados por incentivos fiscais concedidos pelos Estados onde os mesmos se instalaram</w:t>
      </w:r>
      <w:r>
        <w:rPr>
          <w:rFonts w:ascii="Arial" w:hAnsi="Arial" w:cs="Arial"/>
        </w:rPr>
        <w:t xml:space="preserve">: </w:t>
      </w:r>
      <w:r w:rsidR="00920C38" w:rsidRPr="00631F21">
        <w:rPr>
          <w:rFonts w:ascii="Arial" w:hAnsi="Arial" w:cs="Arial"/>
        </w:rPr>
        <w:t>Goiás, Distrito Federal, Paraná, Santa Catarina, Minas Gerais, Pernambuco, Bahia e Espirito Santo</w:t>
      </w:r>
      <w:r w:rsidR="00D2733B">
        <w:rPr>
          <w:rFonts w:ascii="Arial" w:hAnsi="Arial" w:cs="Arial"/>
        </w:rPr>
        <w:t xml:space="preserve"> (Simonse; Sá; Blumenschein, 2011</w:t>
      </w:r>
      <w:r w:rsidR="00E84D34">
        <w:rPr>
          <w:rFonts w:ascii="Arial" w:hAnsi="Arial" w:cs="Arial"/>
        </w:rPr>
        <w:t>, p. 5</w:t>
      </w:r>
      <w:r w:rsidR="00D2733B">
        <w:rPr>
          <w:rFonts w:ascii="Arial" w:hAnsi="Arial" w:cs="Arial"/>
        </w:rPr>
        <w:t>)</w:t>
      </w:r>
      <w:r>
        <w:rPr>
          <w:rFonts w:ascii="Arial" w:hAnsi="Arial" w:cs="Arial"/>
        </w:rPr>
        <w:t>.</w:t>
      </w:r>
    </w:p>
    <w:p w14:paraId="791CF71D" w14:textId="77777777" w:rsidR="00920C38" w:rsidRPr="00631F21" w:rsidRDefault="00920C38" w:rsidP="009D0183">
      <w:pPr>
        <w:spacing w:line="276" w:lineRule="auto"/>
        <w:ind w:firstLine="1418"/>
        <w:jc w:val="both"/>
        <w:rPr>
          <w:rFonts w:ascii="Arial" w:hAnsi="Arial" w:cs="Arial"/>
        </w:rPr>
      </w:pPr>
      <w:r w:rsidRPr="00631F21">
        <w:rPr>
          <w:rFonts w:ascii="Arial" w:hAnsi="Arial" w:cs="Arial"/>
        </w:rPr>
        <w:t xml:space="preserve">Uma das conclusões do estudo foi que </w:t>
      </w:r>
      <w:r w:rsidR="001D7508" w:rsidRPr="00631F21">
        <w:rPr>
          <w:rFonts w:ascii="Arial" w:hAnsi="Arial" w:cs="Arial"/>
        </w:rPr>
        <w:t xml:space="preserve">a </w:t>
      </w:r>
      <w:r w:rsidRPr="00631F21">
        <w:rPr>
          <w:rFonts w:ascii="Arial" w:hAnsi="Arial" w:cs="Arial"/>
        </w:rPr>
        <w:t>implantação</w:t>
      </w:r>
      <w:r w:rsidR="001D7508" w:rsidRPr="00631F21">
        <w:rPr>
          <w:rFonts w:ascii="Arial" w:hAnsi="Arial" w:cs="Arial"/>
        </w:rPr>
        <w:t xml:space="preserve"> e </w:t>
      </w:r>
      <w:r w:rsidRPr="00631F21">
        <w:rPr>
          <w:rFonts w:ascii="Arial" w:hAnsi="Arial" w:cs="Arial"/>
        </w:rPr>
        <w:t>operação</w:t>
      </w:r>
      <w:r w:rsidR="001D7508" w:rsidRPr="00631F21">
        <w:rPr>
          <w:rFonts w:ascii="Arial" w:hAnsi="Arial" w:cs="Arial"/>
        </w:rPr>
        <w:t xml:space="preserve"> dos projetos </w:t>
      </w:r>
      <w:r w:rsidRPr="00631F21">
        <w:rPr>
          <w:rFonts w:ascii="Arial" w:hAnsi="Arial" w:cs="Arial"/>
        </w:rPr>
        <w:t xml:space="preserve">têm importância </w:t>
      </w:r>
      <w:r w:rsidR="009D0183">
        <w:rPr>
          <w:rFonts w:ascii="Arial" w:hAnsi="Arial" w:cs="Arial"/>
        </w:rPr>
        <w:t>acentuada</w:t>
      </w:r>
      <w:r w:rsidRPr="00631F21">
        <w:rPr>
          <w:rFonts w:ascii="Arial" w:hAnsi="Arial" w:cs="Arial"/>
        </w:rPr>
        <w:t xml:space="preserve"> para as economias dos </w:t>
      </w:r>
      <w:r w:rsidR="009D0183">
        <w:rPr>
          <w:rFonts w:ascii="Arial" w:hAnsi="Arial" w:cs="Arial"/>
        </w:rPr>
        <w:t>E</w:t>
      </w:r>
      <w:r w:rsidRPr="00631F21">
        <w:rPr>
          <w:rFonts w:ascii="Arial" w:hAnsi="Arial" w:cs="Arial"/>
        </w:rPr>
        <w:t>stados onde foram implantados, o que ficou</w:t>
      </w:r>
      <w:r w:rsidR="001D7508" w:rsidRPr="00631F21">
        <w:rPr>
          <w:rFonts w:ascii="Arial" w:hAnsi="Arial" w:cs="Arial"/>
        </w:rPr>
        <w:t xml:space="preserve"> particularmente claro no caso dos Estados de </w:t>
      </w:r>
      <w:r w:rsidR="00FD6376" w:rsidRPr="00631F21">
        <w:rPr>
          <w:rFonts w:ascii="Arial" w:hAnsi="Arial" w:cs="Arial"/>
        </w:rPr>
        <w:t>Goiás</w:t>
      </w:r>
      <w:r w:rsidR="001D7508" w:rsidRPr="00631F21">
        <w:rPr>
          <w:rFonts w:ascii="Arial" w:hAnsi="Arial" w:cs="Arial"/>
        </w:rPr>
        <w:t xml:space="preserve"> e do </w:t>
      </w:r>
      <w:r w:rsidR="00FD6376" w:rsidRPr="00631F21">
        <w:rPr>
          <w:rFonts w:ascii="Arial" w:hAnsi="Arial" w:cs="Arial"/>
        </w:rPr>
        <w:t>Paran</w:t>
      </w:r>
      <w:r w:rsidR="00FF1277" w:rsidRPr="00631F21">
        <w:rPr>
          <w:rFonts w:ascii="Arial" w:hAnsi="Arial" w:cs="Arial"/>
        </w:rPr>
        <w:t>á</w:t>
      </w:r>
      <w:r w:rsidR="001D7508" w:rsidRPr="00631F21">
        <w:rPr>
          <w:rFonts w:ascii="Arial" w:hAnsi="Arial" w:cs="Arial"/>
        </w:rPr>
        <w:t>.</w:t>
      </w:r>
      <w:r w:rsidR="009D0183">
        <w:rPr>
          <w:rFonts w:ascii="Arial" w:hAnsi="Arial" w:cs="Arial"/>
        </w:rPr>
        <w:t xml:space="preserve"> </w:t>
      </w:r>
      <w:r w:rsidRPr="00631F21">
        <w:rPr>
          <w:rFonts w:ascii="Arial" w:hAnsi="Arial" w:cs="Arial"/>
        </w:rPr>
        <w:t>No estado de Goiás, no qual se localizavam quatro dos 12 projetos analisados, os projetos tiveram um impacto de R$ 225 milhões no PIB estadual, R$ 22 milhões em arrecadação do Estado na sua implantação, e R$ 1,5 bilhão no PIB e R$ 292 milhões em arrecadação devido durante a sua operação no ano de 2010.</w:t>
      </w:r>
      <w:r w:rsidR="009D0183">
        <w:rPr>
          <w:rFonts w:ascii="Arial" w:hAnsi="Arial" w:cs="Arial"/>
        </w:rPr>
        <w:t xml:space="preserve"> </w:t>
      </w:r>
      <w:r w:rsidRPr="00631F21">
        <w:rPr>
          <w:rFonts w:ascii="Arial" w:hAnsi="Arial" w:cs="Arial"/>
        </w:rPr>
        <w:t xml:space="preserve">Já no Paraná, o único projeto analisado teve um impacto de R$ 501 milhões no PIB e R$ 64 milhões na arrecadação estadual durante a sua implantação. Durante a sua operação no ano de 2010, o impacto no PIB foi de R$ 3,2 bilhões e de R$ 407 milhões na arrecadação, além de criar cerca de 31,7 mil empregos. </w:t>
      </w:r>
    </w:p>
    <w:p w14:paraId="67411C21" w14:textId="77777777" w:rsidR="00920C38" w:rsidRDefault="004759D3" w:rsidP="00631F21">
      <w:pPr>
        <w:spacing w:line="276" w:lineRule="auto"/>
        <w:ind w:firstLine="1418"/>
        <w:jc w:val="both"/>
        <w:rPr>
          <w:rFonts w:ascii="Arial" w:hAnsi="Arial" w:cs="Arial"/>
        </w:rPr>
      </w:pPr>
      <w:r>
        <w:rPr>
          <w:rFonts w:ascii="Arial" w:hAnsi="Arial" w:cs="Arial"/>
        </w:rPr>
        <w:t>A tabela abaixo</w:t>
      </w:r>
      <w:r w:rsidR="00920C38" w:rsidRPr="00631F21">
        <w:rPr>
          <w:rFonts w:ascii="Arial" w:hAnsi="Arial" w:cs="Arial"/>
        </w:rPr>
        <w:t xml:space="preserve"> demonstra o impacto dos projetos em cada um dos estados</w:t>
      </w:r>
      <w:r w:rsidR="00E84D34">
        <w:t xml:space="preserve"> </w:t>
      </w:r>
      <w:r w:rsidR="00E84D34">
        <w:rPr>
          <w:rFonts w:ascii="Arial" w:hAnsi="Arial" w:cs="Arial"/>
        </w:rPr>
        <w:t>(Simonse; Sá; Blumenschein, 2011, p. 24)</w:t>
      </w:r>
      <w:r w:rsidR="00920C38" w:rsidRPr="00631F21">
        <w:rPr>
          <w:rFonts w:ascii="Arial" w:hAnsi="Arial" w:cs="Arial"/>
        </w:rPr>
        <w:t>:</w:t>
      </w:r>
    </w:p>
    <w:p w14:paraId="47E0FCEC" w14:textId="77777777" w:rsidR="004759D3" w:rsidRPr="00631F21" w:rsidRDefault="004759D3" w:rsidP="00631F21">
      <w:pPr>
        <w:spacing w:line="276" w:lineRule="auto"/>
        <w:ind w:firstLine="1418"/>
        <w:jc w:val="both"/>
        <w:rPr>
          <w:rFonts w:ascii="Arial" w:hAnsi="Arial" w:cs="Arial"/>
        </w:rPr>
      </w:pPr>
    </w:p>
    <w:tbl>
      <w:tblPr>
        <w:tblW w:w="8809" w:type="dxa"/>
        <w:tblBorders>
          <w:top w:val="single" w:sz="8" w:space="0" w:color="000000"/>
          <w:bottom w:val="single" w:sz="8" w:space="0" w:color="000000"/>
        </w:tblBorders>
        <w:tblLayout w:type="fixed"/>
        <w:tblLook w:val="04A0" w:firstRow="1" w:lastRow="0" w:firstColumn="1" w:lastColumn="0" w:noHBand="0" w:noVBand="1"/>
      </w:tblPr>
      <w:tblGrid>
        <w:gridCol w:w="1383"/>
        <w:gridCol w:w="1844"/>
        <w:gridCol w:w="709"/>
        <w:gridCol w:w="708"/>
        <w:gridCol w:w="709"/>
        <w:gridCol w:w="709"/>
        <w:gridCol w:w="709"/>
        <w:gridCol w:w="568"/>
        <w:gridCol w:w="709"/>
        <w:gridCol w:w="761"/>
      </w:tblGrid>
      <w:tr w:rsidR="004759D3" w:rsidRPr="004759D3" w14:paraId="324EC6E5" w14:textId="77777777" w:rsidTr="006D5864">
        <w:tc>
          <w:tcPr>
            <w:tcW w:w="8809" w:type="dxa"/>
            <w:gridSpan w:val="10"/>
            <w:tcBorders>
              <w:top w:val="single" w:sz="8" w:space="0" w:color="000000"/>
              <w:bottom w:val="single" w:sz="8" w:space="0" w:color="000000"/>
            </w:tcBorders>
            <w:shd w:val="clear" w:color="auto" w:fill="auto"/>
          </w:tcPr>
          <w:p w14:paraId="1D53C8E5" w14:textId="77777777" w:rsidR="004759D3" w:rsidRPr="006D5864" w:rsidRDefault="004759D3" w:rsidP="006D5864">
            <w:pPr>
              <w:spacing w:line="276" w:lineRule="auto"/>
              <w:jc w:val="center"/>
              <w:rPr>
                <w:rFonts w:ascii="Arial" w:hAnsi="Arial" w:cs="Arial"/>
                <w:b/>
                <w:bCs/>
                <w:color w:val="000000"/>
                <w:sz w:val="16"/>
                <w:szCs w:val="16"/>
              </w:rPr>
            </w:pPr>
            <w:r w:rsidRPr="006D5864">
              <w:rPr>
                <w:rFonts w:ascii="Arial" w:hAnsi="Arial" w:cs="Arial"/>
                <w:b/>
                <w:bCs/>
                <w:color w:val="000000"/>
                <w:sz w:val="16"/>
                <w:szCs w:val="16"/>
              </w:rPr>
              <w:t>Impactos Regionais da Implantação e Operação dos Projetos</w:t>
            </w:r>
          </w:p>
        </w:tc>
      </w:tr>
      <w:tr w:rsidR="00B15F67" w:rsidRPr="004759D3" w14:paraId="0AD66E67" w14:textId="77777777" w:rsidTr="006D5864">
        <w:tc>
          <w:tcPr>
            <w:tcW w:w="3227" w:type="dxa"/>
            <w:gridSpan w:val="2"/>
            <w:shd w:val="clear" w:color="auto" w:fill="C0C0C0"/>
          </w:tcPr>
          <w:p w14:paraId="13310088" w14:textId="77777777" w:rsidR="004759D3" w:rsidRPr="006D5864" w:rsidRDefault="004759D3" w:rsidP="006D5864">
            <w:pPr>
              <w:spacing w:line="276" w:lineRule="auto"/>
              <w:jc w:val="center"/>
              <w:rPr>
                <w:rFonts w:ascii="Arial" w:hAnsi="Arial" w:cs="Arial"/>
                <w:b/>
                <w:bCs/>
                <w:color w:val="000000"/>
                <w:sz w:val="16"/>
                <w:szCs w:val="16"/>
              </w:rPr>
            </w:pPr>
            <w:r w:rsidRPr="006D5864">
              <w:rPr>
                <w:rFonts w:ascii="Arial" w:hAnsi="Arial" w:cs="Arial"/>
                <w:b/>
                <w:bCs/>
                <w:color w:val="000000"/>
                <w:sz w:val="16"/>
                <w:szCs w:val="16"/>
              </w:rPr>
              <w:t>Estado</w:t>
            </w:r>
          </w:p>
        </w:tc>
        <w:tc>
          <w:tcPr>
            <w:tcW w:w="709" w:type="dxa"/>
            <w:tcBorders>
              <w:left w:val="nil"/>
              <w:right w:val="nil"/>
            </w:tcBorders>
            <w:shd w:val="clear" w:color="auto" w:fill="C0C0C0"/>
          </w:tcPr>
          <w:p w14:paraId="59EE23DE"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MG</w:t>
            </w:r>
          </w:p>
        </w:tc>
        <w:tc>
          <w:tcPr>
            <w:tcW w:w="708" w:type="dxa"/>
            <w:shd w:val="clear" w:color="auto" w:fill="C0C0C0"/>
          </w:tcPr>
          <w:p w14:paraId="1FE2D9E9"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DF</w:t>
            </w:r>
          </w:p>
        </w:tc>
        <w:tc>
          <w:tcPr>
            <w:tcW w:w="709" w:type="dxa"/>
            <w:tcBorders>
              <w:left w:val="nil"/>
              <w:right w:val="nil"/>
            </w:tcBorders>
            <w:shd w:val="clear" w:color="auto" w:fill="C0C0C0"/>
          </w:tcPr>
          <w:p w14:paraId="5CCE8673"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GO</w:t>
            </w:r>
          </w:p>
        </w:tc>
        <w:tc>
          <w:tcPr>
            <w:tcW w:w="709" w:type="dxa"/>
            <w:shd w:val="clear" w:color="auto" w:fill="C0C0C0"/>
          </w:tcPr>
          <w:p w14:paraId="7A08DC90"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BA</w:t>
            </w:r>
          </w:p>
        </w:tc>
        <w:tc>
          <w:tcPr>
            <w:tcW w:w="709" w:type="dxa"/>
            <w:tcBorders>
              <w:left w:val="nil"/>
              <w:right w:val="nil"/>
            </w:tcBorders>
            <w:shd w:val="clear" w:color="auto" w:fill="C0C0C0"/>
          </w:tcPr>
          <w:p w14:paraId="41028B01"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SC</w:t>
            </w:r>
          </w:p>
        </w:tc>
        <w:tc>
          <w:tcPr>
            <w:tcW w:w="568" w:type="dxa"/>
            <w:shd w:val="clear" w:color="auto" w:fill="C0C0C0"/>
          </w:tcPr>
          <w:p w14:paraId="199B8799"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ES</w:t>
            </w:r>
          </w:p>
        </w:tc>
        <w:tc>
          <w:tcPr>
            <w:tcW w:w="709" w:type="dxa"/>
            <w:tcBorders>
              <w:left w:val="nil"/>
              <w:right w:val="nil"/>
            </w:tcBorders>
            <w:shd w:val="clear" w:color="auto" w:fill="C0C0C0"/>
          </w:tcPr>
          <w:p w14:paraId="7EADB113"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PE</w:t>
            </w:r>
          </w:p>
        </w:tc>
        <w:tc>
          <w:tcPr>
            <w:tcW w:w="761" w:type="dxa"/>
            <w:shd w:val="clear" w:color="auto" w:fill="C0C0C0"/>
          </w:tcPr>
          <w:p w14:paraId="686F2474"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PR</w:t>
            </w:r>
          </w:p>
        </w:tc>
      </w:tr>
      <w:tr w:rsidR="00B15F67" w:rsidRPr="004759D3" w14:paraId="51EC8247" w14:textId="77777777" w:rsidTr="006D5864">
        <w:tc>
          <w:tcPr>
            <w:tcW w:w="3227" w:type="dxa"/>
            <w:gridSpan w:val="2"/>
            <w:shd w:val="clear" w:color="auto" w:fill="auto"/>
          </w:tcPr>
          <w:p w14:paraId="5F562D59" w14:textId="77777777" w:rsidR="004759D3" w:rsidRPr="006D5864" w:rsidRDefault="004759D3" w:rsidP="006D5864">
            <w:pPr>
              <w:spacing w:line="276" w:lineRule="auto"/>
              <w:jc w:val="center"/>
              <w:rPr>
                <w:rFonts w:ascii="Arial" w:hAnsi="Arial" w:cs="Arial"/>
                <w:b/>
                <w:bCs/>
                <w:color w:val="000000"/>
                <w:sz w:val="16"/>
                <w:szCs w:val="16"/>
              </w:rPr>
            </w:pPr>
            <w:r w:rsidRPr="006D5864">
              <w:rPr>
                <w:rFonts w:ascii="Arial" w:hAnsi="Arial" w:cs="Arial"/>
                <w:b/>
                <w:bCs/>
                <w:color w:val="000000"/>
                <w:sz w:val="16"/>
                <w:szCs w:val="16"/>
              </w:rPr>
              <w:t>Núm. de projetos</w:t>
            </w:r>
          </w:p>
        </w:tc>
        <w:tc>
          <w:tcPr>
            <w:tcW w:w="709" w:type="dxa"/>
            <w:shd w:val="clear" w:color="auto" w:fill="auto"/>
          </w:tcPr>
          <w:p w14:paraId="08169790"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708" w:type="dxa"/>
            <w:shd w:val="clear" w:color="auto" w:fill="auto"/>
          </w:tcPr>
          <w:p w14:paraId="65C115D3"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709" w:type="dxa"/>
            <w:shd w:val="clear" w:color="auto" w:fill="auto"/>
          </w:tcPr>
          <w:p w14:paraId="3B6F276E"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4</w:t>
            </w:r>
          </w:p>
        </w:tc>
        <w:tc>
          <w:tcPr>
            <w:tcW w:w="709" w:type="dxa"/>
            <w:shd w:val="clear" w:color="auto" w:fill="auto"/>
          </w:tcPr>
          <w:p w14:paraId="32487064"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709" w:type="dxa"/>
            <w:shd w:val="clear" w:color="auto" w:fill="auto"/>
          </w:tcPr>
          <w:p w14:paraId="200C8678"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2</w:t>
            </w:r>
          </w:p>
        </w:tc>
        <w:tc>
          <w:tcPr>
            <w:tcW w:w="568" w:type="dxa"/>
            <w:shd w:val="clear" w:color="auto" w:fill="auto"/>
          </w:tcPr>
          <w:p w14:paraId="1B8F70C7"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709" w:type="dxa"/>
            <w:shd w:val="clear" w:color="auto" w:fill="auto"/>
          </w:tcPr>
          <w:p w14:paraId="68E64B32"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761" w:type="dxa"/>
            <w:shd w:val="clear" w:color="auto" w:fill="auto"/>
          </w:tcPr>
          <w:p w14:paraId="65DFB340"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r>
      <w:tr w:rsidR="00B15F67" w:rsidRPr="004759D3" w14:paraId="376CDCE6" w14:textId="77777777" w:rsidTr="006D5864">
        <w:tc>
          <w:tcPr>
            <w:tcW w:w="1383" w:type="dxa"/>
            <w:vMerge w:val="restart"/>
            <w:shd w:val="clear" w:color="auto" w:fill="C0C0C0"/>
            <w:vAlign w:val="center"/>
          </w:tcPr>
          <w:p w14:paraId="794ECA70" w14:textId="77777777" w:rsidR="004759D3" w:rsidRPr="006D5864" w:rsidRDefault="004759D3" w:rsidP="006D5864">
            <w:pPr>
              <w:spacing w:line="276" w:lineRule="auto"/>
              <w:jc w:val="center"/>
              <w:rPr>
                <w:rFonts w:ascii="Arial" w:hAnsi="Arial" w:cs="Arial"/>
                <w:b/>
                <w:bCs/>
                <w:color w:val="000000"/>
                <w:sz w:val="16"/>
                <w:szCs w:val="16"/>
              </w:rPr>
            </w:pPr>
            <w:r w:rsidRPr="006D5864">
              <w:rPr>
                <w:rFonts w:ascii="Arial" w:hAnsi="Arial" w:cs="Arial"/>
                <w:b/>
                <w:bCs/>
                <w:color w:val="000000"/>
                <w:sz w:val="16"/>
                <w:szCs w:val="16"/>
              </w:rPr>
              <w:t>Implantação</w:t>
            </w:r>
          </w:p>
        </w:tc>
        <w:tc>
          <w:tcPr>
            <w:tcW w:w="1844" w:type="dxa"/>
            <w:tcBorders>
              <w:left w:val="nil"/>
              <w:right w:val="nil"/>
            </w:tcBorders>
            <w:shd w:val="clear" w:color="auto" w:fill="C0C0C0"/>
          </w:tcPr>
          <w:p w14:paraId="5EB91310"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PIB (R$ mi)</w:t>
            </w:r>
          </w:p>
        </w:tc>
        <w:tc>
          <w:tcPr>
            <w:tcW w:w="709" w:type="dxa"/>
            <w:shd w:val="clear" w:color="auto" w:fill="C0C0C0"/>
          </w:tcPr>
          <w:p w14:paraId="7D1D27B2"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92</w:t>
            </w:r>
          </w:p>
        </w:tc>
        <w:tc>
          <w:tcPr>
            <w:tcW w:w="708" w:type="dxa"/>
            <w:tcBorders>
              <w:left w:val="nil"/>
              <w:right w:val="nil"/>
            </w:tcBorders>
            <w:shd w:val="clear" w:color="auto" w:fill="C0C0C0"/>
          </w:tcPr>
          <w:p w14:paraId="6288E487"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36</w:t>
            </w:r>
          </w:p>
        </w:tc>
        <w:tc>
          <w:tcPr>
            <w:tcW w:w="709" w:type="dxa"/>
            <w:shd w:val="clear" w:color="auto" w:fill="C0C0C0"/>
          </w:tcPr>
          <w:p w14:paraId="38B3FB77"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225</w:t>
            </w:r>
          </w:p>
        </w:tc>
        <w:tc>
          <w:tcPr>
            <w:tcW w:w="709" w:type="dxa"/>
            <w:tcBorders>
              <w:left w:val="nil"/>
              <w:right w:val="nil"/>
            </w:tcBorders>
            <w:shd w:val="clear" w:color="auto" w:fill="C0C0C0"/>
          </w:tcPr>
          <w:p w14:paraId="6BC2D7B3"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34</w:t>
            </w:r>
          </w:p>
        </w:tc>
        <w:tc>
          <w:tcPr>
            <w:tcW w:w="709" w:type="dxa"/>
            <w:shd w:val="clear" w:color="auto" w:fill="C0C0C0"/>
          </w:tcPr>
          <w:p w14:paraId="2CD9D535"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10</w:t>
            </w:r>
          </w:p>
        </w:tc>
        <w:tc>
          <w:tcPr>
            <w:tcW w:w="568" w:type="dxa"/>
            <w:tcBorders>
              <w:left w:val="nil"/>
              <w:right w:val="nil"/>
            </w:tcBorders>
            <w:shd w:val="clear" w:color="auto" w:fill="C0C0C0"/>
          </w:tcPr>
          <w:p w14:paraId="3BD50A60"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49</w:t>
            </w:r>
          </w:p>
        </w:tc>
        <w:tc>
          <w:tcPr>
            <w:tcW w:w="709" w:type="dxa"/>
            <w:shd w:val="clear" w:color="auto" w:fill="C0C0C0"/>
          </w:tcPr>
          <w:p w14:paraId="76FBE096"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6</w:t>
            </w:r>
          </w:p>
        </w:tc>
        <w:tc>
          <w:tcPr>
            <w:tcW w:w="761" w:type="dxa"/>
            <w:tcBorders>
              <w:left w:val="nil"/>
              <w:right w:val="nil"/>
            </w:tcBorders>
            <w:shd w:val="clear" w:color="auto" w:fill="C0C0C0"/>
          </w:tcPr>
          <w:p w14:paraId="37E3C0EC"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501</w:t>
            </w:r>
          </w:p>
        </w:tc>
      </w:tr>
      <w:tr w:rsidR="00B15F67" w:rsidRPr="004759D3" w14:paraId="497FA98A" w14:textId="77777777" w:rsidTr="006D5864">
        <w:tc>
          <w:tcPr>
            <w:tcW w:w="1383" w:type="dxa"/>
            <w:vMerge/>
            <w:shd w:val="clear" w:color="auto" w:fill="auto"/>
            <w:vAlign w:val="center"/>
          </w:tcPr>
          <w:p w14:paraId="6663421D" w14:textId="77777777" w:rsidR="004759D3" w:rsidRPr="006D5864" w:rsidRDefault="004759D3" w:rsidP="006D5864">
            <w:pPr>
              <w:spacing w:line="276" w:lineRule="auto"/>
              <w:jc w:val="center"/>
              <w:rPr>
                <w:rFonts w:ascii="Arial" w:hAnsi="Arial" w:cs="Arial"/>
                <w:b/>
                <w:bCs/>
                <w:color w:val="000000"/>
                <w:sz w:val="16"/>
                <w:szCs w:val="16"/>
              </w:rPr>
            </w:pPr>
          </w:p>
        </w:tc>
        <w:tc>
          <w:tcPr>
            <w:tcW w:w="1844" w:type="dxa"/>
            <w:shd w:val="clear" w:color="auto" w:fill="auto"/>
          </w:tcPr>
          <w:p w14:paraId="08EC3538"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Arrecadação (R$ mi)</w:t>
            </w:r>
          </w:p>
        </w:tc>
        <w:tc>
          <w:tcPr>
            <w:tcW w:w="709" w:type="dxa"/>
            <w:shd w:val="clear" w:color="auto" w:fill="auto"/>
          </w:tcPr>
          <w:p w14:paraId="68C26149"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12</w:t>
            </w:r>
          </w:p>
        </w:tc>
        <w:tc>
          <w:tcPr>
            <w:tcW w:w="708" w:type="dxa"/>
            <w:shd w:val="clear" w:color="auto" w:fill="auto"/>
          </w:tcPr>
          <w:p w14:paraId="041B135A"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w:t>
            </w:r>
          </w:p>
        </w:tc>
        <w:tc>
          <w:tcPr>
            <w:tcW w:w="709" w:type="dxa"/>
            <w:shd w:val="clear" w:color="auto" w:fill="auto"/>
          </w:tcPr>
          <w:p w14:paraId="1DC21167"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22</w:t>
            </w:r>
          </w:p>
        </w:tc>
        <w:tc>
          <w:tcPr>
            <w:tcW w:w="709" w:type="dxa"/>
            <w:shd w:val="clear" w:color="auto" w:fill="auto"/>
          </w:tcPr>
          <w:p w14:paraId="39226E9D"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w:t>
            </w:r>
          </w:p>
        </w:tc>
        <w:tc>
          <w:tcPr>
            <w:tcW w:w="709" w:type="dxa"/>
            <w:shd w:val="clear" w:color="auto" w:fill="auto"/>
          </w:tcPr>
          <w:p w14:paraId="78FA60D6"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568" w:type="dxa"/>
            <w:shd w:val="clear" w:color="auto" w:fill="auto"/>
          </w:tcPr>
          <w:p w14:paraId="3861EFD9"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4</w:t>
            </w:r>
          </w:p>
        </w:tc>
        <w:tc>
          <w:tcPr>
            <w:tcW w:w="709" w:type="dxa"/>
            <w:shd w:val="clear" w:color="auto" w:fill="auto"/>
          </w:tcPr>
          <w:p w14:paraId="203B2649"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761" w:type="dxa"/>
            <w:shd w:val="clear" w:color="auto" w:fill="auto"/>
          </w:tcPr>
          <w:p w14:paraId="183878D1"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64</w:t>
            </w:r>
          </w:p>
        </w:tc>
      </w:tr>
      <w:tr w:rsidR="00B15F67" w:rsidRPr="004759D3" w14:paraId="6201613E" w14:textId="77777777" w:rsidTr="006D5864">
        <w:tc>
          <w:tcPr>
            <w:tcW w:w="1383" w:type="dxa"/>
            <w:vMerge/>
            <w:shd w:val="clear" w:color="auto" w:fill="C0C0C0"/>
            <w:vAlign w:val="center"/>
          </w:tcPr>
          <w:p w14:paraId="4197F524" w14:textId="77777777" w:rsidR="004759D3" w:rsidRPr="006D5864" w:rsidRDefault="004759D3" w:rsidP="006D5864">
            <w:pPr>
              <w:spacing w:line="276" w:lineRule="auto"/>
              <w:jc w:val="center"/>
              <w:rPr>
                <w:rFonts w:ascii="Arial" w:hAnsi="Arial" w:cs="Arial"/>
                <w:b/>
                <w:bCs/>
                <w:color w:val="000000"/>
                <w:sz w:val="16"/>
                <w:szCs w:val="16"/>
              </w:rPr>
            </w:pPr>
          </w:p>
        </w:tc>
        <w:tc>
          <w:tcPr>
            <w:tcW w:w="1844" w:type="dxa"/>
            <w:tcBorders>
              <w:left w:val="nil"/>
              <w:right w:val="nil"/>
            </w:tcBorders>
            <w:shd w:val="clear" w:color="auto" w:fill="C0C0C0"/>
          </w:tcPr>
          <w:p w14:paraId="7DA43007"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Empregos</w:t>
            </w:r>
          </w:p>
        </w:tc>
        <w:tc>
          <w:tcPr>
            <w:tcW w:w="709" w:type="dxa"/>
            <w:shd w:val="clear" w:color="auto" w:fill="C0C0C0"/>
          </w:tcPr>
          <w:p w14:paraId="1ED38776"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2.416</w:t>
            </w:r>
          </w:p>
        </w:tc>
        <w:tc>
          <w:tcPr>
            <w:tcW w:w="708" w:type="dxa"/>
            <w:tcBorders>
              <w:left w:val="nil"/>
              <w:right w:val="nil"/>
            </w:tcBorders>
            <w:shd w:val="clear" w:color="auto" w:fill="C0C0C0"/>
          </w:tcPr>
          <w:p w14:paraId="34008AB7"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1.048</w:t>
            </w:r>
          </w:p>
        </w:tc>
        <w:tc>
          <w:tcPr>
            <w:tcW w:w="709" w:type="dxa"/>
            <w:shd w:val="clear" w:color="auto" w:fill="C0C0C0"/>
          </w:tcPr>
          <w:p w14:paraId="13D667F3"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7.537</w:t>
            </w:r>
          </w:p>
        </w:tc>
        <w:tc>
          <w:tcPr>
            <w:tcW w:w="709" w:type="dxa"/>
            <w:tcBorders>
              <w:left w:val="nil"/>
              <w:right w:val="nil"/>
            </w:tcBorders>
            <w:shd w:val="clear" w:color="auto" w:fill="C0C0C0"/>
          </w:tcPr>
          <w:p w14:paraId="235E841C"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658</w:t>
            </w:r>
          </w:p>
        </w:tc>
        <w:tc>
          <w:tcPr>
            <w:tcW w:w="709" w:type="dxa"/>
            <w:shd w:val="clear" w:color="auto" w:fill="C0C0C0"/>
          </w:tcPr>
          <w:p w14:paraId="7BFEEDCD"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267</w:t>
            </w:r>
          </w:p>
        </w:tc>
        <w:tc>
          <w:tcPr>
            <w:tcW w:w="568" w:type="dxa"/>
            <w:tcBorders>
              <w:left w:val="nil"/>
              <w:right w:val="nil"/>
            </w:tcBorders>
            <w:shd w:val="clear" w:color="auto" w:fill="C0C0C0"/>
          </w:tcPr>
          <w:p w14:paraId="7DF5C42F"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561</w:t>
            </w:r>
          </w:p>
        </w:tc>
        <w:tc>
          <w:tcPr>
            <w:tcW w:w="709" w:type="dxa"/>
            <w:shd w:val="clear" w:color="auto" w:fill="C0C0C0"/>
          </w:tcPr>
          <w:p w14:paraId="587442DF"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568</w:t>
            </w:r>
          </w:p>
        </w:tc>
        <w:tc>
          <w:tcPr>
            <w:tcW w:w="761" w:type="dxa"/>
            <w:tcBorders>
              <w:left w:val="nil"/>
              <w:right w:val="nil"/>
            </w:tcBorders>
            <w:shd w:val="clear" w:color="auto" w:fill="C0C0C0"/>
          </w:tcPr>
          <w:p w14:paraId="7F365254"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14.818</w:t>
            </w:r>
          </w:p>
        </w:tc>
      </w:tr>
      <w:tr w:rsidR="00B15F67" w:rsidRPr="004759D3" w14:paraId="1635A12E" w14:textId="77777777" w:rsidTr="006D5864">
        <w:tc>
          <w:tcPr>
            <w:tcW w:w="1383" w:type="dxa"/>
            <w:vMerge w:val="restart"/>
            <w:shd w:val="clear" w:color="auto" w:fill="auto"/>
            <w:vAlign w:val="center"/>
          </w:tcPr>
          <w:p w14:paraId="69FC63C2" w14:textId="77777777" w:rsidR="004759D3" w:rsidRPr="006D5864" w:rsidRDefault="004759D3" w:rsidP="006D5864">
            <w:pPr>
              <w:spacing w:line="276" w:lineRule="auto"/>
              <w:jc w:val="center"/>
              <w:rPr>
                <w:rFonts w:ascii="Arial" w:hAnsi="Arial" w:cs="Arial"/>
                <w:b/>
                <w:bCs/>
                <w:color w:val="000000"/>
                <w:sz w:val="16"/>
                <w:szCs w:val="16"/>
              </w:rPr>
            </w:pPr>
            <w:r w:rsidRPr="006D5864">
              <w:rPr>
                <w:rFonts w:ascii="Arial" w:hAnsi="Arial" w:cs="Arial"/>
                <w:b/>
                <w:bCs/>
                <w:color w:val="000000"/>
                <w:sz w:val="16"/>
                <w:szCs w:val="16"/>
              </w:rPr>
              <w:t>Operação</w:t>
            </w:r>
          </w:p>
        </w:tc>
        <w:tc>
          <w:tcPr>
            <w:tcW w:w="1844" w:type="dxa"/>
            <w:shd w:val="clear" w:color="auto" w:fill="auto"/>
          </w:tcPr>
          <w:p w14:paraId="128BFA52"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PIB (R$ mi)</w:t>
            </w:r>
          </w:p>
        </w:tc>
        <w:tc>
          <w:tcPr>
            <w:tcW w:w="709" w:type="dxa"/>
            <w:shd w:val="clear" w:color="auto" w:fill="auto"/>
          </w:tcPr>
          <w:p w14:paraId="1F0EE466"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429</w:t>
            </w:r>
          </w:p>
        </w:tc>
        <w:tc>
          <w:tcPr>
            <w:tcW w:w="708" w:type="dxa"/>
            <w:shd w:val="clear" w:color="auto" w:fill="auto"/>
          </w:tcPr>
          <w:p w14:paraId="195CD0E8"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374</w:t>
            </w:r>
          </w:p>
        </w:tc>
        <w:tc>
          <w:tcPr>
            <w:tcW w:w="709" w:type="dxa"/>
            <w:shd w:val="clear" w:color="auto" w:fill="auto"/>
          </w:tcPr>
          <w:p w14:paraId="18C7226F"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1.517</w:t>
            </w:r>
          </w:p>
        </w:tc>
        <w:tc>
          <w:tcPr>
            <w:tcW w:w="709" w:type="dxa"/>
            <w:shd w:val="clear" w:color="auto" w:fill="auto"/>
          </w:tcPr>
          <w:p w14:paraId="2A80C11C"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515</w:t>
            </w:r>
          </w:p>
        </w:tc>
        <w:tc>
          <w:tcPr>
            <w:tcW w:w="709" w:type="dxa"/>
            <w:shd w:val="clear" w:color="auto" w:fill="auto"/>
          </w:tcPr>
          <w:p w14:paraId="287D1F46"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288</w:t>
            </w:r>
          </w:p>
        </w:tc>
        <w:tc>
          <w:tcPr>
            <w:tcW w:w="568" w:type="dxa"/>
            <w:shd w:val="clear" w:color="auto" w:fill="auto"/>
          </w:tcPr>
          <w:p w14:paraId="63257A92"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158</w:t>
            </w:r>
          </w:p>
        </w:tc>
        <w:tc>
          <w:tcPr>
            <w:tcW w:w="709" w:type="dxa"/>
            <w:shd w:val="clear" w:color="auto" w:fill="auto"/>
          </w:tcPr>
          <w:p w14:paraId="2FDC3172"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35</w:t>
            </w:r>
          </w:p>
        </w:tc>
        <w:tc>
          <w:tcPr>
            <w:tcW w:w="761" w:type="dxa"/>
            <w:shd w:val="clear" w:color="auto" w:fill="auto"/>
          </w:tcPr>
          <w:p w14:paraId="2D61A64D"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3.163</w:t>
            </w:r>
          </w:p>
        </w:tc>
      </w:tr>
      <w:tr w:rsidR="00B15F67" w:rsidRPr="004759D3" w14:paraId="50CEF1FB" w14:textId="77777777" w:rsidTr="006D5864">
        <w:tc>
          <w:tcPr>
            <w:tcW w:w="1383" w:type="dxa"/>
            <w:vMerge/>
            <w:shd w:val="clear" w:color="auto" w:fill="C0C0C0"/>
          </w:tcPr>
          <w:p w14:paraId="227526F2" w14:textId="77777777" w:rsidR="004759D3" w:rsidRPr="006D5864" w:rsidRDefault="004759D3" w:rsidP="006D5864">
            <w:pPr>
              <w:spacing w:line="276" w:lineRule="auto"/>
              <w:jc w:val="both"/>
              <w:rPr>
                <w:rFonts w:ascii="Arial" w:hAnsi="Arial" w:cs="Arial"/>
                <w:b/>
                <w:bCs/>
                <w:color w:val="000000"/>
                <w:sz w:val="16"/>
                <w:szCs w:val="16"/>
              </w:rPr>
            </w:pPr>
          </w:p>
        </w:tc>
        <w:tc>
          <w:tcPr>
            <w:tcW w:w="1844" w:type="dxa"/>
            <w:tcBorders>
              <w:left w:val="nil"/>
              <w:right w:val="nil"/>
            </w:tcBorders>
            <w:shd w:val="clear" w:color="auto" w:fill="C0C0C0"/>
          </w:tcPr>
          <w:p w14:paraId="0363E577"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Arrecadação (R$ mi)</w:t>
            </w:r>
          </w:p>
        </w:tc>
        <w:tc>
          <w:tcPr>
            <w:tcW w:w="709" w:type="dxa"/>
            <w:shd w:val="clear" w:color="auto" w:fill="C0C0C0"/>
          </w:tcPr>
          <w:p w14:paraId="2A66A7A6"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53</w:t>
            </w:r>
          </w:p>
        </w:tc>
        <w:tc>
          <w:tcPr>
            <w:tcW w:w="708" w:type="dxa"/>
            <w:tcBorders>
              <w:left w:val="nil"/>
              <w:right w:val="nil"/>
            </w:tcBorders>
            <w:shd w:val="clear" w:color="auto" w:fill="C0C0C0"/>
          </w:tcPr>
          <w:p w14:paraId="3F3A6598"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73</w:t>
            </w:r>
          </w:p>
        </w:tc>
        <w:tc>
          <w:tcPr>
            <w:tcW w:w="709" w:type="dxa"/>
            <w:shd w:val="clear" w:color="auto" w:fill="C0C0C0"/>
          </w:tcPr>
          <w:p w14:paraId="3E584D56"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292</w:t>
            </w:r>
          </w:p>
        </w:tc>
        <w:tc>
          <w:tcPr>
            <w:tcW w:w="709" w:type="dxa"/>
            <w:tcBorders>
              <w:left w:val="nil"/>
              <w:right w:val="nil"/>
            </w:tcBorders>
            <w:shd w:val="clear" w:color="auto" w:fill="C0C0C0"/>
          </w:tcPr>
          <w:p w14:paraId="5C9BC344"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68</w:t>
            </w:r>
          </w:p>
        </w:tc>
        <w:tc>
          <w:tcPr>
            <w:tcW w:w="709" w:type="dxa"/>
            <w:shd w:val="clear" w:color="auto" w:fill="C0C0C0"/>
          </w:tcPr>
          <w:p w14:paraId="5E9EFE8A"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79</w:t>
            </w:r>
          </w:p>
        </w:tc>
        <w:tc>
          <w:tcPr>
            <w:tcW w:w="568" w:type="dxa"/>
            <w:tcBorders>
              <w:left w:val="nil"/>
              <w:right w:val="nil"/>
            </w:tcBorders>
            <w:shd w:val="clear" w:color="auto" w:fill="C0C0C0"/>
          </w:tcPr>
          <w:p w14:paraId="1497D11F"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w:t>
            </w:r>
          </w:p>
        </w:tc>
        <w:tc>
          <w:tcPr>
            <w:tcW w:w="709" w:type="dxa"/>
            <w:shd w:val="clear" w:color="auto" w:fill="C0C0C0"/>
          </w:tcPr>
          <w:p w14:paraId="1F3E55B3"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6</w:t>
            </w:r>
          </w:p>
        </w:tc>
        <w:tc>
          <w:tcPr>
            <w:tcW w:w="761" w:type="dxa"/>
            <w:tcBorders>
              <w:left w:val="nil"/>
              <w:right w:val="nil"/>
            </w:tcBorders>
            <w:shd w:val="clear" w:color="auto" w:fill="C0C0C0"/>
          </w:tcPr>
          <w:p w14:paraId="356A79C9"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407</w:t>
            </w:r>
          </w:p>
        </w:tc>
      </w:tr>
      <w:tr w:rsidR="00B15F67" w:rsidRPr="004759D3" w14:paraId="32A17004" w14:textId="77777777" w:rsidTr="006D5864">
        <w:tc>
          <w:tcPr>
            <w:tcW w:w="1383" w:type="dxa"/>
            <w:vMerge/>
            <w:shd w:val="clear" w:color="auto" w:fill="auto"/>
          </w:tcPr>
          <w:p w14:paraId="2E25FB7B" w14:textId="77777777" w:rsidR="004759D3" w:rsidRPr="006D5864" w:rsidRDefault="004759D3" w:rsidP="006D5864">
            <w:pPr>
              <w:spacing w:line="276" w:lineRule="auto"/>
              <w:jc w:val="both"/>
              <w:rPr>
                <w:rFonts w:ascii="Arial" w:hAnsi="Arial" w:cs="Arial"/>
                <w:b/>
                <w:bCs/>
                <w:color w:val="000000"/>
                <w:sz w:val="16"/>
                <w:szCs w:val="16"/>
              </w:rPr>
            </w:pPr>
          </w:p>
        </w:tc>
        <w:tc>
          <w:tcPr>
            <w:tcW w:w="1844" w:type="dxa"/>
            <w:shd w:val="clear" w:color="auto" w:fill="auto"/>
          </w:tcPr>
          <w:p w14:paraId="022D7A99" w14:textId="77777777" w:rsidR="004759D3" w:rsidRPr="006D5864" w:rsidRDefault="004759D3" w:rsidP="006D5864">
            <w:pPr>
              <w:spacing w:line="276" w:lineRule="auto"/>
              <w:jc w:val="both"/>
              <w:rPr>
                <w:rFonts w:ascii="Arial" w:hAnsi="Arial" w:cs="Arial"/>
                <w:b/>
                <w:color w:val="000000"/>
                <w:sz w:val="16"/>
                <w:szCs w:val="16"/>
              </w:rPr>
            </w:pPr>
            <w:r w:rsidRPr="006D5864">
              <w:rPr>
                <w:rFonts w:ascii="Arial" w:hAnsi="Arial" w:cs="Arial"/>
                <w:b/>
                <w:color w:val="000000"/>
                <w:sz w:val="16"/>
                <w:szCs w:val="16"/>
              </w:rPr>
              <w:t>Empregos</w:t>
            </w:r>
          </w:p>
        </w:tc>
        <w:tc>
          <w:tcPr>
            <w:tcW w:w="709" w:type="dxa"/>
            <w:shd w:val="clear" w:color="auto" w:fill="auto"/>
          </w:tcPr>
          <w:p w14:paraId="25C4FC0D"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4.840</w:t>
            </w:r>
          </w:p>
        </w:tc>
        <w:tc>
          <w:tcPr>
            <w:tcW w:w="708" w:type="dxa"/>
            <w:shd w:val="clear" w:color="auto" w:fill="auto"/>
          </w:tcPr>
          <w:p w14:paraId="1106489C"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1.032</w:t>
            </w:r>
          </w:p>
        </w:tc>
        <w:tc>
          <w:tcPr>
            <w:tcW w:w="709" w:type="dxa"/>
            <w:shd w:val="clear" w:color="auto" w:fill="auto"/>
          </w:tcPr>
          <w:p w14:paraId="391C3089"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10.885</w:t>
            </w:r>
          </w:p>
        </w:tc>
        <w:tc>
          <w:tcPr>
            <w:tcW w:w="709" w:type="dxa"/>
            <w:shd w:val="clear" w:color="auto" w:fill="auto"/>
          </w:tcPr>
          <w:p w14:paraId="097EC387"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3.445</w:t>
            </w:r>
          </w:p>
        </w:tc>
        <w:tc>
          <w:tcPr>
            <w:tcW w:w="709" w:type="dxa"/>
            <w:shd w:val="clear" w:color="auto" w:fill="auto"/>
          </w:tcPr>
          <w:p w14:paraId="5F1FB7A8"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3.124</w:t>
            </w:r>
          </w:p>
        </w:tc>
        <w:tc>
          <w:tcPr>
            <w:tcW w:w="568" w:type="dxa"/>
            <w:shd w:val="clear" w:color="auto" w:fill="auto"/>
          </w:tcPr>
          <w:p w14:paraId="5ED588E9"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329</w:t>
            </w:r>
          </w:p>
        </w:tc>
        <w:tc>
          <w:tcPr>
            <w:tcW w:w="709" w:type="dxa"/>
            <w:shd w:val="clear" w:color="auto" w:fill="auto"/>
          </w:tcPr>
          <w:p w14:paraId="40F24D87"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126</w:t>
            </w:r>
          </w:p>
        </w:tc>
        <w:tc>
          <w:tcPr>
            <w:tcW w:w="761" w:type="dxa"/>
            <w:shd w:val="clear" w:color="auto" w:fill="auto"/>
          </w:tcPr>
          <w:p w14:paraId="2A9509B0" w14:textId="77777777" w:rsidR="004759D3" w:rsidRPr="006D5864" w:rsidRDefault="004759D3" w:rsidP="006D5864">
            <w:pPr>
              <w:spacing w:line="276" w:lineRule="auto"/>
              <w:jc w:val="both"/>
              <w:rPr>
                <w:rFonts w:ascii="Arial" w:hAnsi="Arial" w:cs="Arial"/>
                <w:color w:val="000000"/>
                <w:sz w:val="16"/>
                <w:szCs w:val="16"/>
              </w:rPr>
            </w:pPr>
            <w:r w:rsidRPr="006D5864">
              <w:rPr>
                <w:rFonts w:ascii="Arial" w:hAnsi="Arial" w:cs="Arial"/>
                <w:color w:val="000000"/>
                <w:sz w:val="16"/>
                <w:szCs w:val="16"/>
              </w:rPr>
              <w:t>31.720</w:t>
            </w:r>
          </w:p>
        </w:tc>
      </w:tr>
    </w:tbl>
    <w:p w14:paraId="76532370" w14:textId="77777777" w:rsidR="00920C38" w:rsidRPr="00631F21" w:rsidRDefault="00920C38" w:rsidP="009D0183">
      <w:pPr>
        <w:spacing w:line="276" w:lineRule="auto"/>
        <w:jc w:val="both"/>
        <w:rPr>
          <w:rFonts w:ascii="Arial" w:hAnsi="Arial" w:cs="Arial"/>
        </w:rPr>
      </w:pPr>
    </w:p>
    <w:p w14:paraId="6E8385A8" w14:textId="77777777" w:rsidR="00920C38" w:rsidRPr="00631F21" w:rsidRDefault="00920C38" w:rsidP="00631F21">
      <w:pPr>
        <w:spacing w:line="276" w:lineRule="auto"/>
        <w:ind w:firstLine="1418"/>
        <w:jc w:val="both"/>
        <w:rPr>
          <w:rFonts w:ascii="Arial" w:hAnsi="Arial" w:cs="Arial"/>
        </w:rPr>
      </w:pPr>
      <w:r w:rsidRPr="00631F21">
        <w:rPr>
          <w:rFonts w:ascii="Arial" w:hAnsi="Arial" w:cs="Arial"/>
        </w:rPr>
        <w:t>Assim, fica evidente a grande importância dos incentivos</w:t>
      </w:r>
      <w:r w:rsidR="009D0183">
        <w:rPr>
          <w:rFonts w:ascii="Arial" w:hAnsi="Arial" w:cs="Arial"/>
        </w:rPr>
        <w:t xml:space="preserve"> para que</w:t>
      </w:r>
      <w:r w:rsidRPr="00631F21">
        <w:rPr>
          <w:rFonts w:ascii="Arial" w:hAnsi="Arial" w:cs="Arial"/>
        </w:rPr>
        <w:t xml:space="preserve"> os Estados menos industrializados e com menos poder econômico possam incrementar suas receitas e se desenvolver.</w:t>
      </w:r>
    </w:p>
    <w:p w14:paraId="46AB758B" w14:textId="77777777" w:rsidR="00920C38" w:rsidRPr="00631F21" w:rsidRDefault="00920C38" w:rsidP="00631F21">
      <w:pPr>
        <w:spacing w:line="276" w:lineRule="auto"/>
        <w:ind w:firstLine="1418"/>
        <w:jc w:val="both"/>
        <w:rPr>
          <w:rFonts w:ascii="Arial" w:hAnsi="Arial" w:cs="Arial"/>
        </w:rPr>
      </w:pPr>
      <w:r w:rsidRPr="00631F21">
        <w:rPr>
          <w:rFonts w:ascii="Arial" w:hAnsi="Arial" w:cs="Arial"/>
        </w:rPr>
        <w:t>Por outro lado, a arrecadação total do ICMS em relação ao PIB nacional passou de 6,34% em 1997 para 7,34% em 2008. Um crescimento significativo de 1%, o que representa, aproximadamente, R$ 30 bilhões somente em 2008</w:t>
      </w:r>
      <w:r w:rsidR="009D0183">
        <w:rPr>
          <w:rFonts w:ascii="Arial" w:hAnsi="Arial" w:cs="Arial"/>
        </w:rPr>
        <w:t>, segundo</w:t>
      </w:r>
      <w:r w:rsidR="009D0183" w:rsidRPr="009D0183">
        <w:rPr>
          <w:rFonts w:ascii="Arial" w:hAnsi="Arial" w:cs="Arial"/>
        </w:rPr>
        <w:t xml:space="preserve"> </w:t>
      </w:r>
      <w:r w:rsidR="009D0183" w:rsidRPr="00631F21">
        <w:rPr>
          <w:rFonts w:ascii="Arial" w:hAnsi="Arial" w:cs="Arial"/>
        </w:rPr>
        <w:t xml:space="preserve">números </w:t>
      </w:r>
      <w:r w:rsidR="009D0183">
        <w:rPr>
          <w:rFonts w:ascii="Arial" w:hAnsi="Arial" w:cs="Arial"/>
        </w:rPr>
        <w:t>do</w:t>
      </w:r>
      <w:r w:rsidR="009D0183" w:rsidRPr="00631F21">
        <w:rPr>
          <w:rFonts w:ascii="Arial" w:hAnsi="Arial" w:cs="Arial"/>
        </w:rPr>
        <w:t xml:space="preserve"> Instituto Brasileiro de Planejamento Tributário</w:t>
      </w:r>
      <w:r w:rsidR="00E84D34">
        <w:rPr>
          <w:rFonts w:ascii="Arial" w:hAnsi="Arial" w:cs="Arial"/>
        </w:rPr>
        <w:t xml:space="preserve"> (Steinbruch; </w:t>
      </w:r>
      <w:proofErr w:type="spellStart"/>
      <w:r w:rsidR="00E84D34">
        <w:rPr>
          <w:rFonts w:ascii="Arial" w:hAnsi="Arial" w:cs="Arial"/>
        </w:rPr>
        <w:t>Yazbek</w:t>
      </w:r>
      <w:proofErr w:type="spellEnd"/>
      <w:r w:rsidR="00E84D34">
        <w:rPr>
          <w:rFonts w:ascii="Arial" w:hAnsi="Arial" w:cs="Arial"/>
        </w:rPr>
        <w:t>, 2012, p. 8)</w:t>
      </w:r>
      <w:r w:rsidR="009D0183">
        <w:rPr>
          <w:rFonts w:ascii="Arial" w:hAnsi="Arial" w:cs="Arial"/>
        </w:rPr>
        <w:t>.</w:t>
      </w:r>
    </w:p>
    <w:p w14:paraId="3AC9248C" w14:textId="77777777" w:rsidR="00920C38" w:rsidRDefault="00920C38" w:rsidP="009D0183">
      <w:pPr>
        <w:spacing w:line="276" w:lineRule="auto"/>
        <w:ind w:firstLine="1418"/>
        <w:jc w:val="both"/>
        <w:rPr>
          <w:rFonts w:ascii="Arial" w:hAnsi="Arial" w:cs="Arial"/>
        </w:rPr>
      </w:pPr>
      <w:r w:rsidRPr="00631F21">
        <w:rPr>
          <w:rFonts w:ascii="Arial" w:hAnsi="Arial" w:cs="Arial"/>
        </w:rPr>
        <w:t xml:space="preserve">O crescimento da arrecadação do ICMS em relação ao PIB se deu nos seguintes percentuais: 1,86% no Centro-oeste; 1,4% no Nordeste; </w:t>
      </w:r>
      <w:r w:rsidRPr="00631F21">
        <w:rPr>
          <w:rFonts w:ascii="Arial" w:hAnsi="Arial" w:cs="Arial"/>
        </w:rPr>
        <w:lastRenderedPageBreak/>
        <w:t>1,12% no Norte; 0,99% no Sul; e 0,77% no Sudeste.</w:t>
      </w:r>
      <w:r w:rsidR="009D0183">
        <w:rPr>
          <w:rFonts w:ascii="Arial" w:hAnsi="Arial" w:cs="Arial"/>
        </w:rPr>
        <w:t xml:space="preserve"> </w:t>
      </w:r>
      <w:r w:rsidRPr="00631F21">
        <w:rPr>
          <w:rFonts w:ascii="Arial" w:hAnsi="Arial" w:cs="Arial"/>
        </w:rPr>
        <w:t>Já a participação percentual das regiõ</w:t>
      </w:r>
      <w:r w:rsidR="009D0183">
        <w:rPr>
          <w:rFonts w:ascii="Arial" w:hAnsi="Arial" w:cs="Arial"/>
        </w:rPr>
        <w:t>es na arrecadação total do ICMS</w:t>
      </w:r>
      <w:r w:rsidRPr="00631F21">
        <w:rPr>
          <w:rFonts w:ascii="Arial" w:hAnsi="Arial" w:cs="Arial"/>
        </w:rPr>
        <w:t xml:space="preserve"> está apresentada na tabela abaixo:</w:t>
      </w:r>
    </w:p>
    <w:p w14:paraId="518BDA89" w14:textId="77777777" w:rsidR="004759D3" w:rsidRPr="00631F21" w:rsidRDefault="004759D3" w:rsidP="00631F21">
      <w:pPr>
        <w:spacing w:line="276" w:lineRule="auto"/>
        <w:ind w:firstLine="1418"/>
        <w:jc w:val="both"/>
        <w:rPr>
          <w:rFonts w:ascii="Arial" w:hAnsi="Arial" w:cs="Arial"/>
        </w:rPr>
      </w:pPr>
    </w:p>
    <w:tbl>
      <w:tblPr>
        <w:tblW w:w="0" w:type="auto"/>
        <w:tblBorders>
          <w:top w:val="single" w:sz="8" w:space="0" w:color="000000"/>
          <w:bottom w:val="single" w:sz="8" w:space="0" w:color="000000"/>
        </w:tblBorders>
        <w:tblLook w:val="04A0" w:firstRow="1" w:lastRow="0" w:firstColumn="1" w:lastColumn="0" w:noHBand="0" w:noVBand="1"/>
      </w:tblPr>
      <w:tblGrid>
        <w:gridCol w:w="2904"/>
        <w:gridCol w:w="2905"/>
        <w:gridCol w:w="2905"/>
      </w:tblGrid>
      <w:tr w:rsidR="00B15F67" w:rsidRPr="00631F21" w14:paraId="514E4D18" w14:textId="77777777" w:rsidTr="006D5864">
        <w:tc>
          <w:tcPr>
            <w:tcW w:w="2904" w:type="dxa"/>
            <w:tcBorders>
              <w:top w:val="single" w:sz="8" w:space="0" w:color="000000"/>
              <w:bottom w:val="single" w:sz="8" w:space="0" w:color="000000"/>
            </w:tcBorders>
            <w:shd w:val="clear" w:color="auto" w:fill="auto"/>
          </w:tcPr>
          <w:p w14:paraId="7D4BA523"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Região</w:t>
            </w:r>
          </w:p>
        </w:tc>
        <w:tc>
          <w:tcPr>
            <w:tcW w:w="2905" w:type="dxa"/>
            <w:tcBorders>
              <w:top w:val="single" w:sz="8" w:space="0" w:color="000000"/>
              <w:bottom w:val="single" w:sz="8" w:space="0" w:color="000000"/>
            </w:tcBorders>
            <w:shd w:val="clear" w:color="auto" w:fill="auto"/>
          </w:tcPr>
          <w:p w14:paraId="5A0B3B15"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Participação em 1997</w:t>
            </w:r>
          </w:p>
        </w:tc>
        <w:tc>
          <w:tcPr>
            <w:tcW w:w="2905" w:type="dxa"/>
            <w:tcBorders>
              <w:top w:val="single" w:sz="8" w:space="0" w:color="000000"/>
              <w:bottom w:val="single" w:sz="8" w:space="0" w:color="000000"/>
            </w:tcBorders>
            <w:shd w:val="clear" w:color="auto" w:fill="auto"/>
          </w:tcPr>
          <w:p w14:paraId="7BE668C5"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Participação em 2008</w:t>
            </w:r>
          </w:p>
        </w:tc>
      </w:tr>
      <w:tr w:rsidR="00B15F67" w:rsidRPr="00631F21" w14:paraId="609D1DB0" w14:textId="77777777" w:rsidTr="006D5864">
        <w:tc>
          <w:tcPr>
            <w:tcW w:w="2904" w:type="dxa"/>
            <w:shd w:val="clear" w:color="auto" w:fill="C0C0C0"/>
          </w:tcPr>
          <w:p w14:paraId="43F0718D"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Sudeste</w:t>
            </w:r>
          </w:p>
        </w:tc>
        <w:tc>
          <w:tcPr>
            <w:tcW w:w="2905" w:type="dxa"/>
            <w:tcBorders>
              <w:left w:val="nil"/>
              <w:right w:val="nil"/>
            </w:tcBorders>
            <w:shd w:val="clear" w:color="auto" w:fill="C0C0C0"/>
          </w:tcPr>
          <w:p w14:paraId="7A411446"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60,50%</w:t>
            </w:r>
          </w:p>
        </w:tc>
        <w:tc>
          <w:tcPr>
            <w:tcW w:w="2905" w:type="dxa"/>
            <w:shd w:val="clear" w:color="auto" w:fill="C0C0C0"/>
          </w:tcPr>
          <w:p w14:paraId="2DB3AA68"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55,87%</w:t>
            </w:r>
          </w:p>
        </w:tc>
      </w:tr>
      <w:tr w:rsidR="00920C38" w:rsidRPr="00631F21" w14:paraId="47E1025A" w14:textId="77777777" w:rsidTr="006D5864">
        <w:tc>
          <w:tcPr>
            <w:tcW w:w="2904" w:type="dxa"/>
            <w:shd w:val="clear" w:color="auto" w:fill="auto"/>
          </w:tcPr>
          <w:p w14:paraId="0688D4D7"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Sul</w:t>
            </w:r>
          </w:p>
        </w:tc>
        <w:tc>
          <w:tcPr>
            <w:tcW w:w="2905" w:type="dxa"/>
            <w:shd w:val="clear" w:color="auto" w:fill="auto"/>
          </w:tcPr>
          <w:p w14:paraId="4A59DECC"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14,91%</w:t>
            </w:r>
          </w:p>
        </w:tc>
        <w:tc>
          <w:tcPr>
            <w:tcW w:w="2905" w:type="dxa"/>
            <w:shd w:val="clear" w:color="auto" w:fill="auto"/>
          </w:tcPr>
          <w:p w14:paraId="74C515C4"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15,51%</w:t>
            </w:r>
          </w:p>
        </w:tc>
      </w:tr>
      <w:tr w:rsidR="00B15F67" w:rsidRPr="00631F21" w14:paraId="06D1AB7B" w14:textId="77777777" w:rsidTr="006D5864">
        <w:tc>
          <w:tcPr>
            <w:tcW w:w="2904" w:type="dxa"/>
            <w:shd w:val="clear" w:color="auto" w:fill="C0C0C0"/>
          </w:tcPr>
          <w:p w14:paraId="1E24242B"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Nordeste</w:t>
            </w:r>
          </w:p>
        </w:tc>
        <w:tc>
          <w:tcPr>
            <w:tcW w:w="2905" w:type="dxa"/>
            <w:tcBorders>
              <w:left w:val="nil"/>
              <w:right w:val="nil"/>
            </w:tcBorders>
            <w:shd w:val="clear" w:color="auto" w:fill="C0C0C0"/>
          </w:tcPr>
          <w:p w14:paraId="6B8C478E"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13,15%</w:t>
            </w:r>
          </w:p>
        </w:tc>
        <w:tc>
          <w:tcPr>
            <w:tcW w:w="2905" w:type="dxa"/>
            <w:shd w:val="clear" w:color="auto" w:fill="C0C0C0"/>
          </w:tcPr>
          <w:p w14:paraId="7FA20CCA"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14,40%</w:t>
            </w:r>
          </w:p>
        </w:tc>
      </w:tr>
      <w:tr w:rsidR="00920C38" w:rsidRPr="00631F21" w14:paraId="0577F113" w14:textId="77777777" w:rsidTr="006D5864">
        <w:tc>
          <w:tcPr>
            <w:tcW w:w="2904" w:type="dxa"/>
            <w:shd w:val="clear" w:color="auto" w:fill="auto"/>
          </w:tcPr>
          <w:p w14:paraId="34AC382B"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Centro-oeste</w:t>
            </w:r>
          </w:p>
        </w:tc>
        <w:tc>
          <w:tcPr>
            <w:tcW w:w="2905" w:type="dxa"/>
            <w:shd w:val="clear" w:color="auto" w:fill="auto"/>
          </w:tcPr>
          <w:p w14:paraId="4DF3A316"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6,95%</w:t>
            </w:r>
          </w:p>
        </w:tc>
        <w:tc>
          <w:tcPr>
            <w:tcW w:w="2905" w:type="dxa"/>
            <w:shd w:val="clear" w:color="auto" w:fill="auto"/>
          </w:tcPr>
          <w:p w14:paraId="16C45830"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8,61%</w:t>
            </w:r>
          </w:p>
        </w:tc>
      </w:tr>
      <w:tr w:rsidR="00B15F67" w:rsidRPr="00631F21" w14:paraId="4A541DFF" w14:textId="77777777" w:rsidTr="006D5864">
        <w:tc>
          <w:tcPr>
            <w:tcW w:w="2904" w:type="dxa"/>
            <w:shd w:val="clear" w:color="auto" w:fill="C0C0C0"/>
          </w:tcPr>
          <w:p w14:paraId="65680BE4" w14:textId="77777777" w:rsidR="00920C38" w:rsidRPr="006D5864" w:rsidRDefault="00920C38" w:rsidP="006D5864">
            <w:pPr>
              <w:spacing w:line="276" w:lineRule="auto"/>
              <w:jc w:val="both"/>
              <w:rPr>
                <w:rFonts w:ascii="Arial" w:hAnsi="Arial" w:cs="Arial"/>
                <w:b/>
                <w:bCs/>
                <w:color w:val="000000"/>
                <w:sz w:val="22"/>
                <w:szCs w:val="22"/>
              </w:rPr>
            </w:pPr>
            <w:r w:rsidRPr="006D5864">
              <w:rPr>
                <w:rFonts w:ascii="Arial" w:hAnsi="Arial" w:cs="Arial"/>
                <w:b/>
                <w:bCs/>
                <w:color w:val="000000"/>
                <w:sz w:val="22"/>
                <w:szCs w:val="22"/>
              </w:rPr>
              <w:t>Norte</w:t>
            </w:r>
          </w:p>
        </w:tc>
        <w:tc>
          <w:tcPr>
            <w:tcW w:w="2905" w:type="dxa"/>
            <w:tcBorders>
              <w:left w:val="nil"/>
              <w:right w:val="nil"/>
            </w:tcBorders>
            <w:shd w:val="clear" w:color="auto" w:fill="C0C0C0"/>
          </w:tcPr>
          <w:p w14:paraId="639D0730"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4,50%</w:t>
            </w:r>
          </w:p>
        </w:tc>
        <w:tc>
          <w:tcPr>
            <w:tcW w:w="2905" w:type="dxa"/>
            <w:shd w:val="clear" w:color="auto" w:fill="C0C0C0"/>
          </w:tcPr>
          <w:p w14:paraId="1A29A2B8" w14:textId="77777777" w:rsidR="00920C38" w:rsidRPr="006D5864" w:rsidRDefault="00920C38" w:rsidP="006D5864">
            <w:pPr>
              <w:spacing w:line="276" w:lineRule="auto"/>
              <w:jc w:val="both"/>
              <w:rPr>
                <w:rFonts w:ascii="Arial" w:hAnsi="Arial" w:cs="Arial"/>
                <w:color w:val="000000"/>
                <w:sz w:val="22"/>
                <w:szCs w:val="22"/>
              </w:rPr>
            </w:pPr>
            <w:r w:rsidRPr="006D5864">
              <w:rPr>
                <w:rFonts w:ascii="Arial" w:hAnsi="Arial" w:cs="Arial"/>
                <w:color w:val="000000"/>
                <w:sz w:val="22"/>
                <w:szCs w:val="22"/>
              </w:rPr>
              <w:t>5,61%</w:t>
            </w:r>
          </w:p>
        </w:tc>
      </w:tr>
    </w:tbl>
    <w:p w14:paraId="180F9F79" w14:textId="77777777" w:rsidR="00920C38" w:rsidRPr="00631F21" w:rsidRDefault="00920C38" w:rsidP="00631F21">
      <w:pPr>
        <w:spacing w:line="276" w:lineRule="auto"/>
        <w:ind w:firstLine="1418"/>
        <w:jc w:val="both"/>
        <w:rPr>
          <w:rFonts w:ascii="Arial" w:hAnsi="Arial" w:cs="Arial"/>
        </w:rPr>
      </w:pPr>
    </w:p>
    <w:p w14:paraId="2A65A4A6" w14:textId="77777777" w:rsidR="00920C38" w:rsidRPr="00631F21" w:rsidRDefault="009D0183" w:rsidP="009D0183">
      <w:pPr>
        <w:spacing w:line="276" w:lineRule="auto"/>
        <w:ind w:firstLine="1418"/>
        <w:jc w:val="both"/>
        <w:rPr>
          <w:rFonts w:ascii="Arial" w:hAnsi="Arial" w:cs="Arial"/>
        </w:rPr>
      </w:pPr>
      <w:r>
        <w:rPr>
          <w:rFonts w:ascii="Arial" w:hAnsi="Arial" w:cs="Arial"/>
        </w:rPr>
        <w:t>E</w:t>
      </w:r>
      <w:r w:rsidR="00920C38" w:rsidRPr="00631F21">
        <w:rPr>
          <w:rFonts w:ascii="Arial" w:hAnsi="Arial" w:cs="Arial"/>
        </w:rPr>
        <w:t>nquanto a participação da Região Sudeste, a mais desenvolvida e industrializada do país, caiu levemente ao logo do período de 1997 a 2008, aproximadamente 0,42% ao ano, a participação das demais regiões foi gradualmente subindo.</w:t>
      </w:r>
      <w:r>
        <w:rPr>
          <w:rFonts w:ascii="Arial" w:hAnsi="Arial" w:cs="Arial"/>
        </w:rPr>
        <w:t xml:space="preserve"> I</w:t>
      </w:r>
      <w:r w:rsidR="004F7D58" w:rsidRPr="00631F21">
        <w:rPr>
          <w:rFonts w:ascii="Arial" w:hAnsi="Arial" w:cs="Arial"/>
        </w:rPr>
        <w:t xml:space="preserve">sso não significa que a </w:t>
      </w:r>
      <w:r w:rsidR="00920C38" w:rsidRPr="00631F21">
        <w:rPr>
          <w:rFonts w:ascii="Arial" w:hAnsi="Arial" w:cs="Arial"/>
        </w:rPr>
        <w:t>arrecadação tenha diminuído na Região Sudeste ao longo desse período</w:t>
      </w:r>
      <w:r>
        <w:rPr>
          <w:rFonts w:ascii="Arial" w:hAnsi="Arial" w:cs="Arial"/>
        </w:rPr>
        <w:t>:</w:t>
      </w:r>
      <w:r w:rsidR="00920C38" w:rsidRPr="00631F21">
        <w:rPr>
          <w:rFonts w:ascii="Arial" w:hAnsi="Arial" w:cs="Arial"/>
        </w:rPr>
        <w:t xml:space="preserve"> a relação entre a arrecadação do ICMS e o PIB da região passou de 6,56% em 1997 para 7,33% em 2008.</w:t>
      </w:r>
    </w:p>
    <w:p w14:paraId="186A36EB" w14:textId="77777777" w:rsidR="00304083" w:rsidRPr="00631F21" w:rsidRDefault="009D0183" w:rsidP="00631F21">
      <w:pPr>
        <w:spacing w:line="276" w:lineRule="auto"/>
        <w:ind w:firstLine="1418"/>
        <w:jc w:val="both"/>
        <w:rPr>
          <w:rFonts w:ascii="Arial" w:hAnsi="Arial" w:cs="Arial"/>
        </w:rPr>
      </w:pPr>
      <w:r>
        <w:rPr>
          <w:rFonts w:ascii="Arial" w:hAnsi="Arial" w:cs="Arial"/>
        </w:rPr>
        <w:t>M</w:t>
      </w:r>
      <w:r w:rsidR="00304083" w:rsidRPr="00631F21">
        <w:rPr>
          <w:rFonts w:ascii="Arial" w:hAnsi="Arial" w:cs="Arial"/>
        </w:rPr>
        <w:t>esmo com a guerra fiscal</w:t>
      </w:r>
      <w:r>
        <w:rPr>
          <w:rFonts w:ascii="Arial" w:hAnsi="Arial" w:cs="Arial"/>
        </w:rPr>
        <w:t>,</w:t>
      </w:r>
      <w:r w:rsidR="00304083" w:rsidRPr="00631F21">
        <w:rPr>
          <w:rFonts w:ascii="Arial" w:hAnsi="Arial" w:cs="Arial"/>
        </w:rPr>
        <w:t xml:space="preserve"> a arrecadação da </w:t>
      </w:r>
      <w:r>
        <w:rPr>
          <w:rFonts w:ascii="Arial" w:hAnsi="Arial" w:cs="Arial"/>
        </w:rPr>
        <w:t>R</w:t>
      </w:r>
      <w:r w:rsidR="00304083" w:rsidRPr="00631F21">
        <w:rPr>
          <w:rFonts w:ascii="Arial" w:hAnsi="Arial" w:cs="Arial"/>
        </w:rPr>
        <w:t xml:space="preserve">egião </w:t>
      </w:r>
      <w:r>
        <w:rPr>
          <w:rFonts w:ascii="Arial" w:hAnsi="Arial" w:cs="Arial"/>
        </w:rPr>
        <w:t>S</w:t>
      </w:r>
      <w:r w:rsidR="00304083" w:rsidRPr="00631F21">
        <w:rPr>
          <w:rFonts w:ascii="Arial" w:hAnsi="Arial" w:cs="Arial"/>
        </w:rPr>
        <w:t>udeste aumentou</w:t>
      </w:r>
      <w:r>
        <w:rPr>
          <w:rFonts w:ascii="Arial" w:hAnsi="Arial" w:cs="Arial"/>
        </w:rPr>
        <w:t xml:space="preserve">, se levarmos em conta a </w:t>
      </w:r>
      <w:r w:rsidR="00304083" w:rsidRPr="00631F21">
        <w:rPr>
          <w:rFonts w:ascii="Arial" w:hAnsi="Arial" w:cs="Arial"/>
        </w:rPr>
        <w:t>relação entre a arrecadação total e o PIB da região. Ou seja, por mais que tenha havido crescimento econômico na região, o crescimento da arrecadação foi superior ao crescimento econômico.</w:t>
      </w:r>
    </w:p>
    <w:p w14:paraId="3DC99B34" w14:textId="77777777" w:rsidR="00920C38" w:rsidRPr="00631F21" w:rsidRDefault="00920C38" w:rsidP="00631F21">
      <w:pPr>
        <w:spacing w:line="276" w:lineRule="auto"/>
        <w:ind w:firstLine="1418"/>
        <w:jc w:val="both"/>
        <w:rPr>
          <w:rFonts w:ascii="Arial" w:hAnsi="Arial" w:cs="Arial"/>
        </w:rPr>
      </w:pPr>
      <w:r w:rsidRPr="00631F21">
        <w:rPr>
          <w:rFonts w:ascii="Arial" w:hAnsi="Arial" w:cs="Arial"/>
        </w:rPr>
        <w:t xml:space="preserve">Portanto, o que ocorreu entre os anos de 1997 e 2008, período em que a </w:t>
      </w:r>
      <w:r w:rsidR="00137E77">
        <w:rPr>
          <w:rFonts w:ascii="Arial" w:hAnsi="Arial" w:cs="Arial"/>
        </w:rPr>
        <w:t>guerra fiscal</w:t>
      </w:r>
      <w:r w:rsidRPr="00631F21">
        <w:rPr>
          <w:rFonts w:ascii="Arial" w:hAnsi="Arial" w:cs="Arial"/>
        </w:rPr>
        <w:t xml:space="preserve"> teve forte impacto na economia do país, foi um aumento da arrecadação de ICMS em relação ao PIB em todas as regiões do país, sendo que esse aumento foi mais relevante nas regiões menos desenvolvidas. Assim, a participação dessas regiões no valor total arrecadado também aumentou, enquanto a participação da Região Sudeste diminuiu.</w:t>
      </w:r>
    </w:p>
    <w:p w14:paraId="7A53FED1" w14:textId="77777777" w:rsidR="00920C38" w:rsidRPr="00631F21" w:rsidRDefault="00920C38" w:rsidP="00631F21">
      <w:pPr>
        <w:spacing w:line="276" w:lineRule="auto"/>
        <w:ind w:firstLine="1418"/>
        <w:jc w:val="both"/>
        <w:rPr>
          <w:rFonts w:ascii="Arial" w:hAnsi="Arial" w:cs="Arial"/>
        </w:rPr>
      </w:pPr>
      <w:r w:rsidRPr="00631F21">
        <w:rPr>
          <w:rFonts w:ascii="Arial" w:hAnsi="Arial" w:cs="Arial"/>
        </w:rPr>
        <w:t>Ora, esse leve aumento na participação das regiões menos desenvolvidas na arrecadação total de ICMS do país pode ter um impacto muito grande, quando se observa os valores que isso pode acrescentar na receita e no PIB dessas regiões, permitindo que elas se desenvolvam.</w:t>
      </w:r>
    </w:p>
    <w:p w14:paraId="03638B78" w14:textId="77777777" w:rsidR="000E250C" w:rsidRPr="00631F21" w:rsidRDefault="000E250C" w:rsidP="00631F21">
      <w:pPr>
        <w:spacing w:line="276" w:lineRule="auto"/>
        <w:ind w:firstLine="1418"/>
        <w:jc w:val="both"/>
        <w:rPr>
          <w:rFonts w:ascii="Arial" w:hAnsi="Arial" w:cs="Arial"/>
        </w:rPr>
      </w:pPr>
      <w:r w:rsidRPr="00631F21">
        <w:rPr>
          <w:rFonts w:ascii="Arial" w:hAnsi="Arial" w:cs="Arial"/>
        </w:rPr>
        <w:t>Obviamente, outros fatores podem contribuir com o aumento da arrecadação, como a modernização dos métodos de fiscalização. No entanto, apesar de ainda não existirem dados de como a modernização dos métodos de fiscalização podem aumentar a arrecadação do ICM</w:t>
      </w:r>
      <w:r w:rsidR="009D0183">
        <w:rPr>
          <w:rFonts w:ascii="Arial" w:hAnsi="Arial" w:cs="Arial"/>
        </w:rPr>
        <w:t>S, pelos dados trazidos acima, mesmo diante de perdas pontuais, parece bastante razoável</w:t>
      </w:r>
      <w:r w:rsidRPr="00631F21">
        <w:rPr>
          <w:rFonts w:ascii="Arial" w:hAnsi="Arial" w:cs="Arial"/>
        </w:rPr>
        <w:t xml:space="preserve"> </w:t>
      </w:r>
      <w:r w:rsidR="009D0183">
        <w:rPr>
          <w:rFonts w:ascii="Arial" w:hAnsi="Arial" w:cs="Arial"/>
        </w:rPr>
        <w:t>afirmar</w:t>
      </w:r>
      <w:r w:rsidRPr="00631F21">
        <w:rPr>
          <w:rFonts w:ascii="Arial" w:hAnsi="Arial" w:cs="Arial"/>
        </w:rPr>
        <w:t xml:space="preserve"> que a guerra fiscal não vem prejudicando significativament</w:t>
      </w:r>
      <w:r w:rsidR="009D0183">
        <w:rPr>
          <w:rFonts w:ascii="Arial" w:hAnsi="Arial" w:cs="Arial"/>
        </w:rPr>
        <w:t>e a arrecadação do ICMS no país</w:t>
      </w:r>
      <w:r w:rsidRPr="00631F21">
        <w:rPr>
          <w:rFonts w:ascii="Arial" w:hAnsi="Arial" w:cs="Arial"/>
        </w:rPr>
        <w:t>.</w:t>
      </w:r>
    </w:p>
    <w:p w14:paraId="1CEA31AB" w14:textId="77777777" w:rsidR="00920C38" w:rsidRPr="00631F21" w:rsidRDefault="00920C38" w:rsidP="00631F21">
      <w:pPr>
        <w:spacing w:line="276" w:lineRule="auto"/>
        <w:ind w:firstLine="1418"/>
        <w:jc w:val="both"/>
        <w:rPr>
          <w:rFonts w:ascii="Arial" w:hAnsi="Arial" w:cs="Arial"/>
        </w:rPr>
      </w:pPr>
      <w:r w:rsidRPr="00631F21">
        <w:rPr>
          <w:rFonts w:ascii="Arial" w:hAnsi="Arial" w:cs="Arial"/>
        </w:rPr>
        <w:t xml:space="preserve">Observados esses dados por outro ângulo, pode-se defender ainda que a </w:t>
      </w:r>
      <w:r w:rsidR="00137E77">
        <w:rPr>
          <w:rFonts w:ascii="Arial" w:hAnsi="Arial" w:cs="Arial"/>
        </w:rPr>
        <w:t>guerra fiscal</w:t>
      </w:r>
      <w:r w:rsidRPr="00631F21">
        <w:rPr>
          <w:rFonts w:ascii="Arial" w:hAnsi="Arial" w:cs="Arial"/>
        </w:rPr>
        <w:t xml:space="preserve"> estaria permitindo o desenvolvimento do país de forma mais igualitária, j</w:t>
      </w:r>
      <w:r w:rsidR="009D0183">
        <w:rPr>
          <w:rFonts w:ascii="Arial" w:hAnsi="Arial" w:cs="Arial"/>
        </w:rPr>
        <w:t>ustamente em observância ao artigo</w:t>
      </w:r>
      <w:r w:rsidRPr="00631F21">
        <w:rPr>
          <w:rFonts w:ascii="Arial" w:hAnsi="Arial" w:cs="Arial"/>
        </w:rPr>
        <w:t xml:space="preserve"> 3</w:t>
      </w:r>
      <w:r w:rsidR="009D0183">
        <w:rPr>
          <w:rFonts w:ascii="Arial" w:hAnsi="Arial" w:cs="Arial"/>
        </w:rPr>
        <w:t>.</w:t>
      </w:r>
      <w:r w:rsidRPr="00631F21">
        <w:rPr>
          <w:rFonts w:ascii="Arial" w:hAnsi="Arial" w:cs="Arial"/>
        </w:rPr>
        <w:t>º da Constituição.</w:t>
      </w:r>
    </w:p>
    <w:p w14:paraId="5F803400" w14:textId="77777777" w:rsidR="00920C38" w:rsidRPr="00631F21" w:rsidRDefault="009D0183" w:rsidP="009D0183">
      <w:pPr>
        <w:spacing w:line="276" w:lineRule="auto"/>
        <w:ind w:firstLine="1418"/>
        <w:jc w:val="both"/>
        <w:rPr>
          <w:rFonts w:ascii="Arial" w:hAnsi="Arial" w:cs="Arial"/>
        </w:rPr>
      </w:pPr>
      <w:r>
        <w:rPr>
          <w:rFonts w:ascii="Arial" w:hAnsi="Arial" w:cs="Arial"/>
        </w:rPr>
        <w:lastRenderedPageBreak/>
        <w:t>Quanto aos</w:t>
      </w:r>
      <w:r w:rsidR="00920C38" w:rsidRPr="00631F21">
        <w:rPr>
          <w:rFonts w:ascii="Arial" w:hAnsi="Arial" w:cs="Arial"/>
        </w:rPr>
        <w:t xml:space="preserve"> itens </w:t>
      </w:r>
      <w:r w:rsidR="00920C38" w:rsidRPr="00631F21">
        <w:rPr>
          <w:rFonts w:ascii="Arial" w:hAnsi="Arial" w:cs="Arial"/>
          <w:i/>
        </w:rPr>
        <w:t>(ii)</w:t>
      </w:r>
      <w:r w:rsidR="00920C38" w:rsidRPr="00631F21">
        <w:rPr>
          <w:rFonts w:ascii="Arial" w:hAnsi="Arial" w:cs="Arial"/>
        </w:rPr>
        <w:t xml:space="preserve"> a </w:t>
      </w:r>
      <w:r w:rsidR="00920C38" w:rsidRPr="00631F21">
        <w:rPr>
          <w:rFonts w:ascii="Arial" w:hAnsi="Arial" w:cs="Arial"/>
          <w:i/>
        </w:rPr>
        <w:t>(iv)</w:t>
      </w:r>
      <w:r w:rsidR="00920C38" w:rsidRPr="00631F21">
        <w:rPr>
          <w:rFonts w:ascii="Arial" w:hAnsi="Arial" w:cs="Arial"/>
        </w:rPr>
        <w:t xml:space="preserve"> </w:t>
      </w:r>
      <w:r>
        <w:rPr>
          <w:rFonts w:ascii="Arial" w:hAnsi="Arial" w:cs="Arial"/>
        </w:rPr>
        <w:t xml:space="preserve">da conclusão </w:t>
      </w:r>
      <w:r w:rsidR="00920C38" w:rsidRPr="00631F21">
        <w:rPr>
          <w:rFonts w:ascii="Arial" w:hAnsi="Arial" w:cs="Arial"/>
        </w:rPr>
        <w:t xml:space="preserve">do estudo da FIESP, no sentido que a </w:t>
      </w:r>
      <w:r w:rsidR="00137E77">
        <w:rPr>
          <w:rFonts w:ascii="Arial" w:hAnsi="Arial" w:cs="Arial"/>
        </w:rPr>
        <w:t>guerra fiscal</w:t>
      </w:r>
      <w:r w:rsidR="00920C38" w:rsidRPr="00631F21">
        <w:rPr>
          <w:rFonts w:ascii="Arial" w:hAnsi="Arial" w:cs="Arial"/>
        </w:rPr>
        <w:t xml:space="preserve"> poderia estar transferindo empregos do Brasil para o exterior, em razão do barateamento dos produtos importados e, consequentemente, prejudicando a economia nacional, </w:t>
      </w:r>
      <w:r w:rsidR="00E84D34">
        <w:rPr>
          <w:rFonts w:ascii="Arial" w:hAnsi="Arial" w:cs="Arial"/>
        </w:rPr>
        <w:t>devem</w:t>
      </w:r>
      <w:r w:rsidR="00920C38" w:rsidRPr="00631F21">
        <w:rPr>
          <w:rFonts w:ascii="Arial" w:hAnsi="Arial" w:cs="Arial"/>
        </w:rPr>
        <w:t xml:space="preserve"> ser vistas com </w:t>
      </w:r>
      <w:r w:rsidR="00E84D34">
        <w:rPr>
          <w:rFonts w:ascii="Arial" w:hAnsi="Arial" w:cs="Arial"/>
        </w:rPr>
        <w:t>cautela.</w:t>
      </w:r>
      <w:r>
        <w:rPr>
          <w:rFonts w:ascii="Arial" w:hAnsi="Arial" w:cs="Arial"/>
        </w:rPr>
        <w:t xml:space="preserve"> </w:t>
      </w:r>
      <w:r w:rsidR="00E84D34">
        <w:rPr>
          <w:rFonts w:ascii="Arial" w:hAnsi="Arial" w:cs="Arial"/>
        </w:rPr>
        <w:t>H</w:t>
      </w:r>
      <w:r w:rsidR="00920C38" w:rsidRPr="00631F21">
        <w:rPr>
          <w:rFonts w:ascii="Arial" w:hAnsi="Arial" w:cs="Arial"/>
        </w:rPr>
        <w:t xml:space="preserve">á </w:t>
      </w:r>
      <w:r w:rsidR="00E84D34">
        <w:rPr>
          <w:rFonts w:ascii="Arial" w:hAnsi="Arial" w:cs="Arial"/>
        </w:rPr>
        <w:t>muitos</w:t>
      </w:r>
      <w:r w:rsidR="00920C38" w:rsidRPr="00631F21">
        <w:rPr>
          <w:rFonts w:ascii="Arial" w:hAnsi="Arial" w:cs="Arial"/>
        </w:rPr>
        <w:t xml:space="preserve"> motivos que podem influenciar ainda mais o aumento da importação de produtos, como a alta valorização do real frente ao dólar</w:t>
      </w:r>
      <w:r>
        <w:rPr>
          <w:rFonts w:ascii="Arial" w:hAnsi="Arial" w:cs="Arial"/>
        </w:rPr>
        <w:t xml:space="preserve">, como verificado </w:t>
      </w:r>
      <w:r w:rsidR="00920C38" w:rsidRPr="00631F21">
        <w:rPr>
          <w:rFonts w:ascii="Arial" w:hAnsi="Arial" w:cs="Arial"/>
        </w:rPr>
        <w:t xml:space="preserve">nos últimos anos. Além disso, há diversos desses produtos que são importados em razão da falta de tecnologia, matéria prima ou mão de obra para </w:t>
      </w:r>
      <w:r>
        <w:rPr>
          <w:rFonts w:ascii="Arial" w:hAnsi="Arial" w:cs="Arial"/>
        </w:rPr>
        <w:t xml:space="preserve">sua </w:t>
      </w:r>
      <w:r w:rsidR="00920C38" w:rsidRPr="00631F21">
        <w:rPr>
          <w:rFonts w:ascii="Arial" w:hAnsi="Arial" w:cs="Arial"/>
        </w:rPr>
        <w:t>produção em território nacional. Ou seja, o aumento das importações não pode ser atribuído exclusivamente à guerra fiscal</w:t>
      </w:r>
      <w:r w:rsidR="000E250C" w:rsidRPr="00631F21">
        <w:rPr>
          <w:rFonts w:ascii="Arial" w:hAnsi="Arial" w:cs="Arial"/>
        </w:rPr>
        <w:t xml:space="preserve">. </w:t>
      </w:r>
    </w:p>
    <w:p w14:paraId="5457DDC2" w14:textId="77777777" w:rsidR="00920C38" w:rsidRPr="00631F21" w:rsidRDefault="00920C38" w:rsidP="00631F21">
      <w:pPr>
        <w:spacing w:line="276" w:lineRule="auto"/>
        <w:ind w:firstLine="1418"/>
        <w:jc w:val="both"/>
        <w:rPr>
          <w:rFonts w:ascii="Arial" w:hAnsi="Arial" w:cs="Arial"/>
        </w:rPr>
      </w:pPr>
      <w:r w:rsidRPr="00631F21">
        <w:rPr>
          <w:rFonts w:ascii="Arial" w:hAnsi="Arial" w:cs="Arial"/>
        </w:rPr>
        <w:t xml:space="preserve">Deste modo, por mais que a </w:t>
      </w:r>
      <w:r w:rsidR="00137E77">
        <w:rPr>
          <w:rFonts w:ascii="Arial" w:hAnsi="Arial" w:cs="Arial"/>
        </w:rPr>
        <w:t>guerra fiscal</w:t>
      </w:r>
      <w:r w:rsidRPr="00631F21">
        <w:rPr>
          <w:rFonts w:ascii="Arial" w:hAnsi="Arial" w:cs="Arial"/>
        </w:rPr>
        <w:t xml:space="preserve"> possa ter impacto no aumento das importações a até mesmo na transferência de empregos para o exterior, não se pode aferir qual é o real impacto disso sem dados concretos. </w:t>
      </w:r>
      <w:r w:rsidR="00B54582">
        <w:rPr>
          <w:rFonts w:ascii="Arial" w:hAnsi="Arial" w:cs="Arial"/>
        </w:rPr>
        <w:t>Nas</w:t>
      </w:r>
      <w:r w:rsidRPr="00631F21">
        <w:rPr>
          <w:rFonts w:ascii="Arial" w:hAnsi="Arial" w:cs="Arial"/>
        </w:rPr>
        <w:t xml:space="preserve"> pesquisas e estudos aqui mencionados</w:t>
      </w:r>
      <w:r w:rsidR="00B54582">
        <w:rPr>
          <w:rFonts w:ascii="Arial" w:hAnsi="Arial" w:cs="Arial"/>
        </w:rPr>
        <w:t xml:space="preserve"> não</w:t>
      </w:r>
      <w:r w:rsidRPr="00631F21">
        <w:rPr>
          <w:rFonts w:ascii="Arial" w:hAnsi="Arial" w:cs="Arial"/>
        </w:rPr>
        <w:t xml:space="preserve"> foram encontrados dados que permitissem a análise detalhada da situação.</w:t>
      </w:r>
    </w:p>
    <w:p w14:paraId="49E33BAF" w14:textId="77777777" w:rsidR="00CE2A11" w:rsidRPr="00631F21" w:rsidRDefault="00CE2A11" w:rsidP="00631F21">
      <w:pPr>
        <w:spacing w:line="276" w:lineRule="auto"/>
        <w:ind w:firstLine="1418"/>
        <w:jc w:val="both"/>
        <w:rPr>
          <w:rFonts w:ascii="Arial" w:hAnsi="Arial" w:cs="Arial"/>
        </w:rPr>
      </w:pPr>
      <w:r w:rsidRPr="00631F21">
        <w:rPr>
          <w:rFonts w:ascii="Arial" w:hAnsi="Arial" w:cs="Arial"/>
        </w:rPr>
        <w:t>De qualquer forma, o que nos parece razoável concluir a partir dos dados apresentados é que</w:t>
      </w:r>
      <w:r w:rsidR="0017559E" w:rsidRPr="00631F21">
        <w:rPr>
          <w:rFonts w:ascii="Arial" w:hAnsi="Arial" w:cs="Arial"/>
        </w:rPr>
        <w:t>,</w:t>
      </w:r>
      <w:r w:rsidRPr="00631F21">
        <w:rPr>
          <w:rFonts w:ascii="Arial" w:hAnsi="Arial" w:cs="Arial"/>
        </w:rPr>
        <w:t xml:space="preserve"> por mais que a </w:t>
      </w:r>
      <w:r w:rsidR="00137E77">
        <w:rPr>
          <w:rFonts w:ascii="Arial" w:hAnsi="Arial" w:cs="Arial"/>
        </w:rPr>
        <w:t>guerra fiscal</w:t>
      </w:r>
      <w:r w:rsidRPr="00631F21">
        <w:rPr>
          <w:rFonts w:ascii="Arial" w:hAnsi="Arial" w:cs="Arial"/>
        </w:rPr>
        <w:t xml:space="preserve"> possa ter impactos</w:t>
      </w:r>
      <w:r w:rsidR="00B54582">
        <w:rPr>
          <w:rFonts w:ascii="Arial" w:hAnsi="Arial" w:cs="Arial"/>
        </w:rPr>
        <w:t xml:space="preserve"> jurídica e</w:t>
      </w:r>
      <w:r w:rsidRPr="00631F21">
        <w:rPr>
          <w:rFonts w:ascii="Arial" w:hAnsi="Arial" w:cs="Arial"/>
        </w:rPr>
        <w:t xml:space="preserve"> economicamente negativos para o país, esses impactos não parecem estar</w:t>
      </w:r>
      <w:r w:rsidR="00B54582">
        <w:rPr>
          <w:rFonts w:ascii="Arial" w:hAnsi="Arial" w:cs="Arial"/>
        </w:rPr>
        <w:t>, por si só,</w:t>
      </w:r>
      <w:r w:rsidRPr="00631F21">
        <w:rPr>
          <w:rFonts w:ascii="Arial" w:hAnsi="Arial" w:cs="Arial"/>
        </w:rPr>
        <w:t xml:space="preserve"> travando o desenvolvimento</w:t>
      </w:r>
      <w:r w:rsidR="00B54582">
        <w:rPr>
          <w:rFonts w:ascii="Arial" w:hAnsi="Arial" w:cs="Arial"/>
        </w:rPr>
        <w:t>, ao menos em seu aspecto econômico</w:t>
      </w:r>
      <w:r w:rsidR="0017559E" w:rsidRPr="00631F21">
        <w:rPr>
          <w:rFonts w:ascii="Arial" w:hAnsi="Arial" w:cs="Arial"/>
        </w:rPr>
        <w:t>.</w:t>
      </w:r>
      <w:r w:rsidRPr="00631F21">
        <w:rPr>
          <w:rFonts w:ascii="Arial" w:hAnsi="Arial" w:cs="Arial"/>
        </w:rPr>
        <w:t xml:space="preserve"> </w:t>
      </w:r>
      <w:r w:rsidR="0017559E" w:rsidRPr="00631F21">
        <w:rPr>
          <w:rFonts w:ascii="Arial" w:hAnsi="Arial" w:cs="Arial"/>
        </w:rPr>
        <w:t>M</w:t>
      </w:r>
      <w:r w:rsidRPr="00631F21">
        <w:rPr>
          <w:rFonts w:ascii="Arial" w:hAnsi="Arial" w:cs="Arial"/>
        </w:rPr>
        <w:t>uito pelo contrário, parece</w:t>
      </w:r>
      <w:r w:rsidR="004F7D58" w:rsidRPr="00631F21">
        <w:rPr>
          <w:rFonts w:ascii="Arial" w:hAnsi="Arial" w:cs="Arial"/>
        </w:rPr>
        <w:t>m</w:t>
      </w:r>
      <w:r w:rsidRPr="00631F21">
        <w:rPr>
          <w:rFonts w:ascii="Arial" w:hAnsi="Arial" w:cs="Arial"/>
        </w:rPr>
        <w:t xml:space="preserve"> estar permitindo um desenvolvimento um pouco mais homogêneo do que se teria se a disputa entre os </w:t>
      </w:r>
      <w:r w:rsidR="00B54582">
        <w:rPr>
          <w:rFonts w:ascii="Arial" w:hAnsi="Arial" w:cs="Arial"/>
        </w:rPr>
        <w:t>E</w:t>
      </w:r>
      <w:r w:rsidRPr="00631F21">
        <w:rPr>
          <w:rFonts w:ascii="Arial" w:hAnsi="Arial" w:cs="Arial"/>
        </w:rPr>
        <w:t>stados não pudesse existir.</w:t>
      </w:r>
    </w:p>
    <w:p w14:paraId="2D758B1B" w14:textId="77777777" w:rsidR="004F7D58" w:rsidRPr="00631F21" w:rsidRDefault="001B6F8C" w:rsidP="00631F21">
      <w:pPr>
        <w:spacing w:line="276" w:lineRule="auto"/>
        <w:ind w:firstLine="1418"/>
        <w:jc w:val="both"/>
        <w:rPr>
          <w:rFonts w:ascii="Arial" w:hAnsi="Arial" w:cs="Arial"/>
        </w:rPr>
      </w:pPr>
      <w:r>
        <w:rPr>
          <w:rFonts w:ascii="Arial" w:hAnsi="Arial" w:cs="Arial"/>
        </w:rPr>
        <w:t>É claro que</w:t>
      </w:r>
      <w:r w:rsidR="000E250C" w:rsidRPr="00631F21">
        <w:rPr>
          <w:rFonts w:ascii="Arial" w:hAnsi="Arial" w:cs="Arial"/>
        </w:rPr>
        <w:t xml:space="preserve"> o presente estudo não pretende, de forma alguma, </w:t>
      </w:r>
      <w:r w:rsidR="004F7D58" w:rsidRPr="00631F21">
        <w:rPr>
          <w:rFonts w:ascii="Arial" w:hAnsi="Arial" w:cs="Arial"/>
        </w:rPr>
        <w:t>defender a guerra fiscal como instrumento de desenvolvimento do país. O que se pretende é demonstrar que, muitas vezes, os estudos e pesquisas sobre o assunto não trazem todos os dados necessários, a fim que seja possível afirmar se o impacto da guerra fiscal é efetivamente positivo ou ne</w:t>
      </w:r>
      <w:r>
        <w:rPr>
          <w:rFonts w:ascii="Arial" w:hAnsi="Arial" w:cs="Arial"/>
        </w:rPr>
        <w:t>gativo para o desenvolvimento</w:t>
      </w:r>
      <w:r w:rsidR="004F7D58" w:rsidRPr="00631F21">
        <w:rPr>
          <w:rFonts w:ascii="Arial" w:hAnsi="Arial" w:cs="Arial"/>
        </w:rPr>
        <w:t xml:space="preserve">. Em razão disso, afirmações genéricas ou parciais no sentido de que a guerra fiscal necessariamente prejudicaria o desenvolvimento do </w:t>
      </w:r>
      <w:r w:rsidR="0068064C" w:rsidRPr="00631F21">
        <w:rPr>
          <w:rFonts w:ascii="Arial" w:hAnsi="Arial" w:cs="Arial"/>
        </w:rPr>
        <w:t xml:space="preserve">país devem ser vistas com </w:t>
      </w:r>
      <w:r w:rsidR="004F7D58" w:rsidRPr="00631F21">
        <w:rPr>
          <w:rFonts w:ascii="Arial" w:hAnsi="Arial" w:cs="Arial"/>
        </w:rPr>
        <w:t>ressalvas, tendo em vista a alta complexidade da questão.</w:t>
      </w:r>
    </w:p>
    <w:p w14:paraId="11665F2E" w14:textId="77777777" w:rsidR="000E250C" w:rsidRPr="00631F21" w:rsidRDefault="000E250C" w:rsidP="00631F21">
      <w:pPr>
        <w:spacing w:line="276" w:lineRule="auto"/>
        <w:ind w:firstLine="1418"/>
        <w:jc w:val="both"/>
        <w:rPr>
          <w:rFonts w:ascii="Arial" w:hAnsi="Arial" w:cs="Arial"/>
        </w:rPr>
      </w:pPr>
      <w:r w:rsidRPr="00631F21">
        <w:rPr>
          <w:rFonts w:ascii="Arial" w:hAnsi="Arial" w:cs="Arial"/>
        </w:rPr>
        <w:t xml:space="preserve">É justamente em razão da alta complexidade dessas questões que </w:t>
      </w:r>
      <w:r w:rsidR="001106DE">
        <w:rPr>
          <w:rFonts w:ascii="Arial" w:hAnsi="Arial" w:cs="Arial"/>
        </w:rPr>
        <w:t>é necessário</w:t>
      </w:r>
      <w:r w:rsidRPr="00631F21">
        <w:rPr>
          <w:rFonts w:ascii="Arial" w:hAnsi="Arial" w:cs="Arial"/>
        </w:rPr>
        <w:t xml:space="preserve"> </w:t>
      </w:r>
      <w:r w:rsidR="001106DE">
        <w:rPr>
          <w:rFonts w:ascii="Arial" w:hAnsi="Arial" w:cs="Arial"/>
        </w:rPr>
        <w:t>empreender</w:t>
      </w:r>
      <w:r w:rsidRPr="00631F21">
        <w:rPr>
          <w:rFonts w:ascii="Arial" w:hAnsi="Arial" w:cs="Arial"/>
        </w:rPr>
        <w:t xml:space="preserve"> estudo do </w:t>
      </w:r>
      <w:r w:rsidR="001B6F8C">
        <w:rPr>
          <w:rFonts w:ascii="Arial" w:hAnsi="Arial" w:cs="Arial"/>
        </w:rPr>
        <w:t>D</w:t>
      </w:r>
      <w:r w:rsidRPr="00631F21">
        <w:rPr>
          <w:rFonts w:ascii="Arial" w:hAnsi="Arial" w:cs="Arial"/>
        </w:rPr>
        <w:t xml:space="preserve">ireito </w:t>
      </w:r>
      <w:r w:rsidR="001B6F8C">
        <w:rPr>
          <w:rFonts w:ascii="Arial" w:hAnsi="Arial" w:cs="Arial"/>
        </w:rPr>
        <w:t>T</w:t>
      </w:r>
      <w:r w:rsidRPr="00631F21">
        <w:rPr>
          <w:rFonts w:ascii="Arial" w:hAnsi="Arial" w:cs="Arial"/>
        </w:rPr>
        <w:t>ributário</w:t>
      </w:r>
      <w:r w:rsidR="001B6F8C">
        <w:rPr>
          <w:rFonts w:ascii="Arial" w:hAnsi="Arial" w:cs="Arial"/>
        </w:rPr>
        <w:t>,</w:t>
      </w:r>
      <w:r w:rsidRPr="00631F21">
        <w:rPr>
          <w:rFonts w:ascii="Arial" w:hAnsi="Arial" w:cs="Arial"/>
        </w:rPr>
        <w:t xml:space="preserve"> no Brasil</w:t>
      </w:r>
      <w:r w:rsidR="001B6F8C">
        <w:rPr>
          <w:rFonts w:ascii="Arial" w:hAnsi="Arial" w:cs="Arial"/>
        </w:rPr>
        <w:t>,</w:t>
      </w:r>
      <w:r w:rsidRPr="00631F21">
        <w:rPr>
          <w:rFonts w:ascii="Arial" w:hAnsi="Arial" w:cs="Arial"/>
        </w:rPr>
        <w:t xml:space="preserve"> de forma complexa e não redutora</w:t>
      </w:r>
      <w:r w:rsidR="00E84D34">
        <w:rPr>
          <w:rFonts w:ascii="Arial" w:hAnsi="Arial" w:cs="Arial"/>
        </w:rPr>
        <w:t xml:space="preserve"> (Folloni, 2013, p. </w:t>
      </w:r>
      <w:r w:rsidR="001106DE">
        <w:rPr>
          <w:rFonts w:ascii="Arial" w:hAnsi="Arial" w:cs="Arial"/>
        </w:rPr>
        <w:t>384)</w:t>
      </w:r>
      <w:r w:rsidRPr="00631F21">
        <w:rPr>
          <w:rFonts w:ascii="Arial" w:hAnsi="Arial" w:cs="Arial"/>
        </w:rPr>
        <w:t xml:space="preserve">. Somente o estudo interdisciplinar </w:t>
      </w:r>
      <w:r w:rsidR="0068064C" w:rsidRPr="00631F21">
        <w:rPr>
          <w:rFonts w:ascii="Arial" w:hAnsi="Arial" w:cs="Arial"/>
        </w:rPr>
        <w:t>é capaz de verificar as consequências</w:t>
      </w:r>
      <w:r w:rsidR="001B6F8C">
        <w:rPr>
          <w:rFonts w:ascii="Arial" w:hAnsi="Arial" w:cs="Arial"/>
        </w:rPr>
        <w:t xml:space="preserve"> de forma mais aproximada da realidade</w:t>
      </w:r>
      <w:r w:rsidR="0068064C" w:rsidRPr="00631F21">
        <w:rPr>
          <w:rFonts w:ascii="Arial" w:hAnsi="Arial" w:cs="Arial"/>
        </w:rPr>
        <w:t>, bem como os efeitos positivos e negativos de determinadas politicas tributárias. Quando se opta por simplesmente analisar questões jurídicas sem o auxílio de ferramentas de outros campos da ciência, diversos aspectos tão importantes quanto os puramente jurídi</w:t>
      </w:r>
      <w:r w:rsidR="001B6F8C">
        <w:rPr>
          <w:rFonts w:ascii="Arial" w:hAnsi="Arial" w:cs="Arial"/>
        </w:rPr>
        <w:t>cos podem passar desapercebidos e inviabilizar conclusões adequadas.</w:t>
      </w:r>
    </w:p>
    <w:p w14:paraId="1F5E2F6B" w14:textId="77777777" w:rsidR="00CE2A11" w:rsidRDefault="00CE2A11" w:rsidP="00631F21">
      <w:pPr>
        <w:spacing w:line="276" w:lineRule="auto"/>
        <w:jc w:val="both"/>
        <w:rPr>
          <w:rFonts w:ascii="Arial" w:hAnsi="Arial" w:cs="Arial"/>
        </w:rPr>
      </w:pPr>
    </w:p>
    <w:p w14:paraId="7B4DEF30" w14:textId="77777777" w:rsidR="00296847" w:rsidRPr="00631F21" w:rsidRDefault="00296847" w:rsidP="00631F21">
      <w:pPr>
        <w:spacing w:line="276" w:lineRule="auto"/>
        <w:jc w:val="both"/>
        <w:rPr>
          <w:rFonts w:ascii="Arial" w:hAnsi="Arial" w:cs="Arial"/>
        </w:rPr>
      </w:pPr>
    </w:p>
    <w:p w14:paraId="77DE040A" w14:textId="77777777" w:rsidR="0012481C" w:rsidRPr="00631F21" w:rsidRDefault="00CE2A11" w:rsidP="001106DE">
      <w:pPr>
        <w:spacing w:line="276" w:lineRule="auto"/>
        <w:jc w:val="both"/>
        <w:rPr>
          <w:rFonts w:ascii="Arial" w:hAnsi="Arial" w:cs="Arial"/>
          <w:b/>
        </w:rPr>
      </w:pPr>
      <w:r w:rsidRPr="00631F21">
        <w:rPr>
          <w:rFonts w:ascii="Arial" w:hAnsi="Arial" w:cs="Arial"/>
          <w:b/>
        </w:rPr>
        <w:lastRenderedPageBreak/>
        <w:t xml:space="preserve">4. </w:t>
      </w:r>
      <w:r w:rsidR="001B6F8C">
        <w:rPr>
          <w:rFonts w:ascii="Arial" w:hAnsi="Arial" w:cs="Arial"/>
          <w:b/>
        </w:rPr>
        <w:t>E</w:t>
      </w:r>
      <w:r w:rsidRPr="00631F21">
        <w:rPr>
          <w:rFonts w:ascii="Arial" w:hAnsi="Arial" w:cs="Arial"/>
          <w:b/>
        </w:rPr>
        <w:t>ficácia da Resolução n. 13/2012 do Senado Federal.</w:t>
      </w:r>
    </w:p>
    <w:p w14:paraId="1B4DDA5D" w14:textId="77777777" w:rsidR="0068064C" w:rsidRPr="00631F21" w:rsidRDefault="0068064C" w:rsidP="00631F21">
      <w:pPr>
        <w:spacing w:line="276" w:lineRule="auto"/>
        <w:ind w:firstLine="1418"/>
        <w:jc w:val="both"/>
        <w:rPr>
          <w:rFonts w:ascii="Arial" w:hAnsi="Arial" w:cs="Arial"/>
        </w:rPr>
      </w:pPr>
    </w:p>
    <w:p w14:paraId="14BED676" w14:textId="77777777" w:rsidR="00CE2A11" w:rsidRPr="00631F21" w:rsidRDefault="001B6F8C" w:rsidP="00631F21">
      <w:pPr>
        <w:spacing w:line="276" w:lineRule="auto"/>
        <w:ind w:firstLine="1418"/>
        <w:jc w:val="both"/>
        <w:rPr>
          <w:rFonts w:ascii="Arial" w:hAnsi="Arial" w:cs="Arial"/>
        </w:rPr>
      </w:pPr>
      <w:r>
        <w:rPr>
          <w:rFonts w:ascii="Arial" w:hAnsi="Arial" w:cs="Arial"/>
        </w:rPr>
        <w:t xml:space="preserve">Diante dos argumentos até aqui expostos, </w:t>
      </w:r>
      <w:r w:rsidR="00CE2A11" w:rsidRPr="00631F21">
        <w:rPr>
          <w:rFonts w:ascii="Arial" w:hAnsi="Arial" w:cs="Arial"/>
        </w:rPr>
        <w:t xml:space="preserve">a análise da eficácia da Resolução n. 13/2012 do Senado Federal </w:t>
      </w:r>
      <w:r>
        <w:rPr>
          <w:rFonts w:ascii="Arial" w:hAnsi="Arial" w:cs="Arial"/>
        </w:rPr>
        <w:t xml:space="preserve">deve ser feita de forma crítica. </w:t>
      </w:r>
      <w:r w:rsidR="00CE2A11" w:rsidRPr="00631F21">
        <w:rPr>
          <w:rFonts w:ascii="Arial" w:hAnsi="Arial" w:cs="Arial"/>
        </w:rPr>
        <w:t xml:space="preserve">O objetivo da resolução era </w:t>
      </w:r>
      <w:r>
        <w:rPr>
          <w:rFonts w:ascii="Arial" w:hAnsi="Arial" w:cs="Arial"/>
        </w:rPr>
        <w:t xml:space="preserve">solucionar um suposto problema – </w:t>
      </w:r>
      <w:r w:rsidR="00137E77">
        <w:rPr>
          <w:rFonts w:ascii="Arial" w:hAnsi="Arial" w:cs="Arial"/>
        </w:rPr>
        <w:t>guerra fiscal</w:t>
      </w:r>
      <w:r>
        <w:rPr>
          <w:rFonts w:ascii="Arial" w:hAnsi="Arial" w:cs="Arial"/>
        </w:rPr>
        <w:t xml:space="preserve"> do ICMS na importação –</w:t>
      </w:r>
      <w:r w:rsidR="00CE2A11" w:rsidRPr="00631F21">
        <w:rPr>
          <w:rFonts w:ascii="Arial" w:hAnsi="Arial" w:cs="Arial"/>
        </w:rPr>
        <w:t xml:space="preserve"> </w:t>
      </w:r>
      <w:r>
        <w:rPr>
          <w:rFonts w:ascii="Arial" w:hAnsi="Arial" w:cs="Arial"/>
        </w:rPr>
        <w:t>que</w:t>
      </w:r>
      <w:r w:rsidR="00CE2A11" w:rsidRPr="00631F21">
        <w:rPr>
          <w:rFonts w:ascii="Arial" w:hAnsi="Arial" w:cs="Arial"/>
        </w:rPr>
        <w:t xml:space="preserve"> estaria causando sérios prejuízos para a economia e o desenvolvimento do país.</w:t>
      </w:r>
    </w:p>
    <w:p w14:paraId="78363AF0" w14:textId="77777777" w:rsidR="00CE2A11" w:rsidRPr="00631F21" w:rsidRDefault="00CE2A11" w:rsidP="00631F21">
      <w:pPr>
        <w:spacing w:line="276" w:lineRule="auto"/>
        <w:ind w:firstLine="1418"/>
        <w:jc w:val="both"/>
        <w:rPr>
          <w:rFonts w:ascii="Arial" w:hAnsi="Arial" w:cs="Arial"/>
        </w:rPr>
      </w:pPr>
      <w:r w:rsidRPr="00631F21">
        <w:rPr>
          <w:rFonts w:ascii="Arial" w:hAnsi="Arial" w:cs="Arial"/>
        </w:rPr>
        <w:t xml:space="preserve">Contudo, </w:t>
      </w:r>
      <w:r w:rsidR="001B6F8C">
        <w:rPr>
          <w:rFonts w:ascii="Arial" w:hAnsi="Arial" w:cs="Arial"/>
        </w:rPr>
        <w:t>argumentou-se</w:t>
      </w:r>
      <w:r w:rsidRPr="00631F21">
        <w:rPr>
          <w:rFonts w:ascii="Arial" w:hAnsi="Arial" w:cs="Arial"/>
        </w:rPr>
        <w:t xml:space="preserve"> que esse problema não estaria trazendo somente consequências negativas para o Brasil</w:t>
      </w:r>
      <w:r w:rsidR="0017559E" w:rsidRPr="00631F21">
        <w:rPr>
          <w:rFonts w:ascii="Arial" w:hAnsi="Arial" w:cs="Arial"/>
        </w:rPr>
        <w:t>.</w:t>
      </w:r>
      <w:r w:rsidRPr="00631F21">
        <w:rPr>
          <w:rFonts w:ascii="Arial" w:hAnsi="Arial" w:cs="Arial"/>
        </w:rPr>
        <w:t xml:space="preserve"> </w:t>
      </w:r>
      <w:r w:rsidR="0017559E" w:rsidRPr="00631F21">
        <w:rPr>
          <w:rFonts w:ascii="Arial" w:hAnsi="Arial" w:cs="Arial"/>
        </w:rPr>
        <w:t>N</w:t>
      </w:r>
      <w:r w:rsidRPr="00631F21">
        <w:rPr>
          <w:rFonts w:ascii="Arial" w:hAnsi="Arial" w:cs="Arial"/>
        </w:rPr>
        <w:t xml:space="preserve">a verdade, a </w:t>
      </w:r>
      <w:r w:rsidR="00137E77">
        <w:rPr>
          <w:rFonts w:ascii="Arial" w:hAnsi="Arial" w:cs="Arial"/>
        </w:rPr>
        <w:t>guerra fiscal</w:t>
      </w:r>
      <w:r w:rsidRPr="00631F21">
        <w:rPr>
          <w:rFonts w:ascii="Arial" w:hAnsi="Arial" w:cs="Arial"/>
        </w:rPr>
        <w:t xml:space="preserve"> do ICMS na importação</w:t>
      </w:r>
      <w:r w:rsidR="001B6F8C">
        <w:rPr>
          <w:rFonts w:ascii="Arial" w:hAnsi="Arial" w:cs="Arial"/>
        </w:rPr>
        <w:t>, sob certo ponto de vista,</w:t>
      </w:r>
      <w:r w:rsidRPr="00631F21">
        <w:rPr>
          <w:rFonts w:ascii="Arial" w:hAnsi="Arial" w:cs="Arial"/>
        </w:rPr>
        <w:t xml:space="preserve"> </w:t>
      </w:r>
      <w:r w:rsidR="001B6F8C">
        <w:rPr>
          <w:rFonts w:ascii="Arial" w:hAnsi="Arial" w:cs="Arial"/>
        </w:rPr>
        <w:t>pode estar,</w:t>
      </w:r>
      <w:r w:rsidRPr="00631F21">
        <w:rPr>
          <w:rFonts w:ascii="Arial" w:hAnsi="Arial" w:cs="Arial"/>
        </w:rPr>
        <w:t xml:space="preserve"> até</w:t>
      </w:r>
      <w:r w:rsidR="001B6F8C">
        <w:rPr>
          <w:rFonts w:ascii="Arial" w:hAnsi="Arial" w:cs="Arial"/>
        </w:rPr>
        <w:t>,</w:t>
      </w:r>
      <w:r w:rsidRPr="00631F21">
        <w:rPr>
          <w:rFonts w:ascii="Arial" w:hAnsi="Arial" w:cs="Arial"/>
        </w:rPr>
        <w:t xml:space="preserve"> contribuin</w:t>
      </w:r>
      <w:r w:rsidR="0017559E" w:rsidRPr="00631F21">
        <w:rPr>
          <w:rFonts w:ascii="Arial" w:hAnsi="Arial" w:cs="Arial"/>
        </w:rPr>
        <w:t>do</w:t>
      </w:r>
      <w:r w:rsidRPr="00631F21">
        <w:rPr>
          <w:rFonts w:ascii="Arial" w:hAnsi="Arial" w:cs="Arial"/>
        </w:rPr>
        <w:t xml:space="preserve"> para o desenvolvimento do país de forma mais homogênea.</w:t>
      </w:r>
    </w:p>
    <w:p w14:paraId="538013BB" w14:textId="77777777" w:rsidR="001B6F8C" w:rsidRDefault="001B6F8C" w:rsidP="001B6F8C">
      <w:pPr>
        <w:spacing w:line="276" w:lineRule="auto"/>
        <w:ind w:firstLine="1418"/>
        <w:jc w:val="both"/>
        <w:rPr>
          <w:rFonts w:ascii="Arial" w:hAnsi="Arial" w:cs="Arial"/>
        </w:rPr>
      </w:pPr>
      <w:r>
        <w:rPr>
          <w:rFonts w:ascii="Arial" w:hAnsi="Arial" w:cs="Arial"/>
        </w:rPr>
        <w:t>A</w:t>
      </w:r>
      <w:r w:rsidR="00600707" w:rsidRPr="00631F21">
        <w:rPr>
          <w:rFonts w:ascii="Arial" w:hAnsi="Arial" w:cs="Arial"/>
        </w:rPr>
        <w:t xml:space="preserve"> efetividade da medida em relação a possibilidade de acabar com a </w:t>
      </w:r>
      <w:r w:rsidR="00137E77">
        <w:rPr>
          <w:rFonts w:ascii="Arial" w:hAnsi="Arial" w:cs="Arial"/>
        </w:rPr>
        <w:t>guerra dos portos</w:t>
      </w:r>
      <w:r>
        <w:rPr>
          <w:rFonts w:ascii="Arial" w:hAnsi="Arial" w:cs="Arial"/>
        </w:rPr>
        <w:t xml:space="preserve"> é patente, ao menos de forma momentânea</w:t>
      </w:r>
      <w:r w:rsidR="00600707" w:rsidRPr="00631F21">
        <w:rPr>
          <w:rFonts w:ascii="Arial" w:hAnsi="Arial" w:cs="Arial"/>
        </w:rPr>
        <w:t xml:space="preserve">. Realmente, como </w:t>
      </w:r>
      <w:r>
        <w:rPr>
          <w:rFonts w:ascii="Arial" w:hAnsi="Arial" w:cs="Arial"/>
        </w:rPr>
        <w:t>demonstramos acima,</w:t>
      </w:r>
      <w:r w:rsidR="00600707" w:rsidRPr="00631F21">
        <w:rPr>
          <w:rFonts w:ascii="Arial" w:hAnsi="Arial" w:cs="Arial"/>
        </w:rPr>
        <w:t xml:space="preserve"> a nova alíquota interestadual de 4% para importados seria capaz de tornar menos interessante a concessão de benefícios fiscais. </w:t>
      </w:r>
      <w:r>
        <w:rPr>
          <w:rFonts w:ascii="Arial" w:hAnsi="Arial" w:cs="Arial"/>
        </w:rPr>
        <w:t>Sabe-se, porém, que, em regra, quando um sistema – como o jurídico – provoca alterações em seu entorno – no caso, o funcionamento socioeconômico do país –, o entorno, que também é um sistema complexo, tende a adaptar-se e, quando possível, a neutralizar o ruído</w:t>
      </w:r>
      <w:r w:rsidR="001106DE">
        <w:rPr>
          <w:rFonts w:ascii="Arial" w:hAnsi="Arial" w:cs="Arial"/>
        </w:rPr>
        <w:t xml:space="preserve"> (</w:t>
      </w:r>
      <w:proofErr w:type="spellStart"/>
      <w:r w:rsidR="001106DE">
        <w:rPr>
          <w:rFonts w:ascii="Arial" w:hAnsi="Arial" w:cs="Arial"/>
        </w:rPr>
        <w:t>Luhmann</w:t>
      </w:r>
      <w:proofErr w:type="spellEnd"/>
      <w:r w:rsidR="001106DE">
        <w:rPr>
          <w:rFonts w:ascii="Arial" w:hAnsi="Arial" w:cs="Arial"/>
        </w:rPr>
        <w:t>, 1997, p. 57)</w:t>
      </w:r>
      <w:r>
        <w:rPr>
          <w:rFonts w:ascii="Arial" w:hAnsi="Arial" w:cs="Arial"/>
        </w:rPr>
        <w:t>. A partir de um desarranjo provocado por um acontecimento, o sistema tende a reordenar-se</w:t>
      </w:r>
      <w:r w:rsidR="00B70C38">
        <w:rPr>
          <w:rFonts w:ascii="Arial" w:hAnsi="Arial" w:cs="Arial"/>
        </w:rPr>
        <w:t>, em geral ganhando complexidade</w:t>
      </w:r>
      <w:r w:rsidR="001106DE">
        <w:rPr>
          <w:rFonts w:ascii="Arial" w:hAnsi="Arial" w:cs="Arial"/>
        </w:rPr>
        <w:t xml:space="preserve"> (Prigogine; </w:t>
      </w:r>
      <w:proofErr w:type="spellStart"/>
      <w:r w:rsidR="001106DE">
        <w:rPr>
          <w:rFonts w:ascii="Arial" w:hAnsi="Arial" w:cs="Arial"/>
        </w:rPr>
        <w:t>Stengers</w:t>
      </w:r>
      <w:proofErr w:type="spellEnd"/>
      <w:r w:rsidR="001106DE">
        <w:rPr>
          <w:rFonts w:ascii="Arial" w:hAnsi="Arial" w:cs="Arial"/>
        </w:rPr>
        <w:t>, 1984, p. 41)</w:t>
      </w:r>
      <w:r w:rsidR="00B70C38">
        <w:rPr>
          <w:rFonts w:ascii="Arial" w:hAnsi="Arial" w:cs="Arial"/>
        </w:rPr>
        <w:t>.</w:t>
      </w:r>
      <w:r>
        <w:rPr>
          <w:rFonts w:ascii="Arial" w:hAnsi="Arial" w:cs="Arial"/>
        </w:rPr>
        <w:t xml:space="preserve"> Não é possível prever como essa adaptação ocorrerá e se a neutralização será pela via da manutenção das empresas em seus respectivos Estados ou pela invenção, pelos Estados, de novas formas de benefício. Como sempre, o futuro fica em aberto numa realidade complexa.</w:t>
      </w:r>
    </w:p>
    <w:p w14:paraId="7381C13A" w14:textId="77777777" w:rsidR="00461CC9" w:rsidRPr="00631F21" w:rsidRDefault="00CE36E9" w:rsidP="00CE36E9">
      <w:pPr>
        <w:spacing w:line="276" w:lineRule="auto"/>
        <w:ind w:firstLine="1418"/>
        <w:jc w:val="both"/>
        <w:rPr>
          <w:rFonts w:ascii="Arial" w:hAnsi="Arial" w:cs="Arial"/>
        </w:rPr>
      </w:pPr>
      <w:r>
        <w:rPr>
          <w:rFonts w:ascii="Arial" w:hAnsi="Arial" w:cs="Arial"/>
        </w:rPr>
        <w:t>Um</w:t>
      </w:r>
      <w:r w:rsidR="00461CC9" w:rsidRPr="00631F21">
        <w:rPr>
          <w:rFonts w:ascii="Arial" w:hAnsi="Arial" w:cs="Arial"/>
        </w:rPr>
        <w:t xml:space="preserve"> impacto que a Resolução n. 13/2012 pode gerar é a acumulação de créditos de ICMS por contribuintes que importem em </w:t>
      </w:r>
      <w:r>
        <w:rPr>
          <w:rFonts w:ascii="Arial" w:hAnsi="Arial" w:cs="Arial"/>
        </w:rPr>
        <w:t>E</w:t>
      </w:r>
      <w:r w:rsidR="00461CC9" w:rsidRPr="00631F21">
        <w:rPr>
          <w:rFonts w:ascii="Arial" w:hAnsi="Arial" w:cs="Arial"/>
        </w:rPr>
        <w:t xml:space="preserve">stado que não conceda benefícios e vendam ou transfiram os produtos importados para outros </w:t>
      </w:r>
      <w:r>
        <w:rPr>
          <w:rFonts w:ascii="Arial" w:hAnsi="Arial" w:cs="Arial"/>
        </w:rPr>
        <w:t>E</w:t>
      </w:r>
      <w:r w:rsidR="00461CC9" w:rsidRPr="00631F21">
        <w:rPr>
          <w:rFonts w:ascii="Arial" w:hAnsi="Arial" w:cs="Arial"/>
        </w:rPr>
        <w:t>stados.</w:t>
      </w:r>
      <w:r>
        <w:rPr>
          <w:rFonts w:ascii="Arial" w:hAnsi="Arial" w:cs="Arial"/>
        </w:rPr>
        <w:t xml:space="preserve"> </w:t>
      </w:r>
      <w:r w:rsidR="00461CC9" w:rsidRPr="00631F21">
        <w:rPr>
          <w:rFonts w:ascii="Arial" w:hAnsi="Arial" w:cs="Arial"/>
        </w:rPr>
        <w:t xml:space="preserve">É que, via de regra, esse contribuinte irá recolher o ICMS na importação à alíquota de 18% e a transferência dos produtos para outros Estados se fará mediante a aplicação da alíquota de 4%. Isso significa que a diferença do valor recolhido na importação e do valor devido na operação interestadual irá se acumular na forma de créditos de ICMS, caso o contribuinte não tenha operações no Estado de origem. Atualmente, a recuperação desses créditos perante os Estados é extremamente difícil, senão impossível, o </w:t>
      </w:r>
      <w:r>
        <w:rPr>
          <w:rFonts w:ascii="Arial" w:hAnsi="Arial" w:cs="Arial"/>
        </w:rPr>
        <w:t>que, em uma situação normal, provocará aumento</w:t>
      </w:r>
      <w:r w:rsidR="00461CC9" w:rsidRPr="00631F21">
        <w:rPr>
          <w:rFonts w:ascii="Arial" w:hAnsi="Arial" w:cs="Arial"/>
        </w:rPr>
        <w:t xml:space="preserve"> </w:t>
      </w:r>
      <w:r>
        <w:rPr>
          <w:rFonts w:ascii="Arial" w:hAnsi="Arial" w:cs="Arial"/>
        </w:rPr>
        <w:t>n</w:t>
      </w:r>
      <w:r w:rsidR="00461CC9" w:rsidRPr="00631F21">
        <w:rPr>
          <w:rFonts w:ascii="Arial" w:hAnsi="Arial" w:cs="Arial"/>
        </w:rPr>
        <w:t>o custo desses produtos.</w:t>
      </w:r>
    </w:p>
    <w:p w14:paraId="53DEB52C" w14:textId="77777777" w:rsidR="00461CC9" w:rsidRPr="00631F21" w:rsidRDefault="00461CC9" w:rsidP="00631F21">
      <w:pPr>
        <w:spacing w:line="276" w:lineRule="auto"/>
        <w:ind w:firstLine="1418"/>
        <w:jc w:val="both"/>
        <w:rPr>
          <w:rFonts w:ascii="Arial" w:hAnsi="Arial" w:cs="Arial"/>
        </w:rPr>
      </w:pPr>
      <w:r w:rsidRPr="00631F21">
        <w:rPr>
          <w:rFonts w:ascii="Arial" w:hAnsi="Arial" w:cs="Arial"/>
        </w:rPr>
        <w:t xml:space="preserve">Por outro lado, o custo burocrático das empresas tende a aumentar, com a necessidade de se apurar o custo de importação das mercadorias, a fim de se determinar se a alíquota aplicável é de 4% </w:t>
      </w:r>
      <w:r w:rsidR="003F68C2">
        <w:rPr>
          <w:rFonts w:ascii="Arial" w:hAnsi="Arial" w:cs="Arial"/>
        </w:rPr>
        <w:t>a normal (7% ou 12%)</w:t>
      </w:r>
      <w:r w:rsidRPr="00631F21">
        <w:rPr>
          <w:rFonts w:ascii="Arial" w:hAnsi="Arial" w:cs="Arial"/>
        </w:rPr>
        <w:t xml:space="preserve">. A resolução prevê que as operações com mercadorias com conteúdo de </w:t>
      </w:r>
      <w:r w:rsidR="00F92966" w:rsidRPr="00631F21">
        <w:rPr>
          <w:rFonts w:ascii="Arial" w:hAnsi="Arial" w:cs="Arial"/>
        </w:rPr>
        <w:t>i</w:t>
      </w:r>
      <w:r w:rsidRPr="00631F21">
        <w:rPr>
          <w:rFonts w:ascii="Arial" w:hAnsi="Arial" w:cs="Arial"/>
        </w:rPr>
        <w:t>mportação supe</w:t>
      </w:r>
      <w:r w:rsidR="004F7D58" w:rsidRPr="00631F21">
        <w:rPr>
          <w:rFonts w:ascii="Arial" w:hAnsi="Arial" w:cs="Arial"/>
        </w:rPr>
        <w:t xml:space="preserve">rior a 40% </w:t>
      </w:r>
      <w:r w:rsidRPr="00631F21">
        <w:rPr>
          <w:rFonts w:ascii="Arial" w:hAnsi="Arial" w:cs="Arial"/>
        </w:rPr>
        <w:t>sujeitam</w:t>
      </w:r>
      <w:r w:rsidR="001106DE">
        <w:rPr>
          <w:rFonts w:ascii="Arial" w:hAnsi="Arial" w:cs="Arial"/>
        </w:rPr>
        <w:t>-se</w:t>
      </w:r>
      <w:r w:rsidRPr="00631F21">
        <w:rPr>
          <w:rFonts w:ascii="Arial" w:hAnsi="Arial" w:cs="Arial"/>
        </w:rPr>
        <w:t xml:space="preserve"> </w:t>
      </w:r>
      <w:r w:rsidR="001106DE">
        <w:rPr>
          <w:rFonts w:ascii="Arial" w:hAnsi="Arial" w:cs="Arial"/>
        </w:rPr>
        <w:t>à</w:t>
      </w:r>
      <w:r w:rsidRPr="00631F21">
        <w:rPr>
          <w:rFonts w:ascii="Arial" w:hAnsi="Arial" w:cs="Arial"/>
        </w:rPr>
        <w:t xml:space="preserve"> alíquota de 4%, já </w:t>
      </w:r>
      <w:r w:rsidR="003F68C2">
        <w:rPr>
          <w:rFonts w:ascii="Arial" w:hAnsi="Arial" w:cs="Arial"/>
        </w:rPr>
        <w:t>aquel</w:t>
      </w:r>
      <w:r w:rsidRPr="00631F21">
        <w:rPr>
          <w:rFonts w:ascii="Arial" w:hAnsi="Arial" w:cs="Arial"/>
        </w:rPr>
        <w:t xml:space="preserve">as com conteúdo inferior </w:t>
      </w:r>
      <w:r w:rsidR="003F68C2">
        <w:rPr>
          <w:rFonts w:ascii="Arial" w:hAnsi="Arial" w:cs="Arial"/>
        </w:rPr>
        <w:t>a 40% se sujeitam à alíquota normal</w:t>
      </w:r>
      <w:r w:rsidRPr="00631F21">
        <w:rPr>
          <w:rFonts w:ascii="Arial" w:hAnsi="Arial" w:cs="Arial"/>
        </w:rPr>
        <w:t xml:space="preserve">. </w:t>
      </w:r>
      <w:r w:rsidR="003F68C2">
        <w:rPr>
          <w:rFonts w:ascii="Arial" w:hAnsi="Arial" w:cs="Arial"/>
        </w:rPr>
        <w:t>F</w:t>
      </w:r>
      <w:r w:rsidRPr="00631F21">
        <w:rPr>
          <w:rFonts w:ascii="Arial" w:hAnsi="Arial" w:cs="Arial"/>
        </w:rPr>
        <w:t xml:space="preserve">icará a </w:t>
      </w:r>
      <w:r w:rsidRPr="00631F21">
        <w:rPr>
          <w:rFonts w:ascii="Arial" w:hAnsi="Arial" w:cs="Arial"/>
        </w:rPr>
        <w:lastRenderedPageBreak/>
        <w:t xml:space="preserve">cargo do contribuinte realizar esse controle, podendo se sujeitar as penalidades legais </w:t>
      </w:r>
      <w:r w:rsidR="003F68C2">
        <w:rPr>
          <w:rFonts w:ascii="Arial" w:hAnsi="Arial" w:cs="Arial"/>
        </w:rPr>
        <w:t>e cobrança de imposto adicional</w:t>
      </w:r>
      <w:r w:rsidRPr="00631F21">
        <w:rPr>
          <w:rFonts w:ascii="Arial" w:hAnsi="Arial" w:cs="Arial"/>
        </w:rPr>
        <w:t xml:space="preserve"> caso a apuração do conteúdo de importação não seja efetuado de forma adequada.</w:t>
      </w:r>
    </w:p>
    <w:p w14:paraId="21D9306E" w14:textId="77777777" w:rsidR="00461CC9" w:rsidRPr="00631F21" w:rsidRDefault="00461CC9" w:rsidP="00631F21">
      <w:pPr>
        <w:spacing w:line="276" w:lineRule="auto"/>
        <w:ind w:firstLine="1418"/>
        <w:jc w:val="both"/>
        <w:rPr>
          <w:rFonts w:ascii="Arial" w:hAnsi="Arial" w:cs="Arial"/>
        </w:rPr>
      </w:pPr>
      <w:r w:rsidRPr="00631F21">
        <w:rPr>
          <w:rFonts w:ascii="Arial" w:hAnsi="Arial" w:cs="Arial"/>
        </w:rPr>
        <w:t xml:space="preserve">Veja-se ainda que, no Brasil, esse assunto é ainda mais importante em razão da grande quantidade de </w:t>
      </w:r>
      <w:r w:rsidR="000609E2">
        <w:rPr>
          <w:rFonts w:ascii="Arial" w:hAnsi="Arial" w:cs="Arial"/>
        </w:rPr>
        <w:t>obrigações tributárias acessórias, gerando altíssimos custos de conformidade</w:t>
      </w:r>
      <w:r w:rsidRPr="00631F21">
        <w:rPr>
          <w:rFonts w:ascii="Arial" w:hAnsi="Arial" w:cs="Arial"/>
        </w:rPr>
        <w:t>. Ess</w:t>
      </w:r>
      <w:r w:rsidR="000609E2">
        <w:rPr>
          <w:rFonts w:ascii="Arial" w:hAnsi="Arial" w:cs="Arial"/>
        </w:rPr>
        <w:t>as obrigações implicam custos gigantescos</w:t>
      </w:r>
      <w:r w:rsidRPr="00631F21">
        <w:rPr>
          <w:rFonts w:ascii="Arial" w:hAnsi="Arial" w:cs="Arial"/>
        </w:rPr>
        <w:t xml:space="preserve"> se computada a quantidade de horas despendidas pelas empresas para </w:t>
      </w:r>
      <w:r w:rsidR="000609E2">
        <w:rPr>
          <w:rFonts w:ascii="Arial" w:hAnsi="Arial" w:cs="Arial"/>
        </w:rPr>
        <w:t xml:space="preserve">seu </w:t>
      </w:r>
      <w:r w:rsidRPr="00631F21">
        <w:rPr>
          <w:rFonts w:ascii="Arial" w:hAnsi="Arial" w:cs="Arial"/>
        </w:rPr>
        <w:t>cumprimento. De fato, segundo o relatório “</w:t>
      </w:r>
      <w:proofErr w:type="spellStart"/>
      <w:r w:rsidRPr="00631F21">
        <w:rPr>
          <w:rFonts w:ascii="Arial" w:hAnsi="Arial" w:cs="Arial"/>
          <w:i/>
        </w:rPr>
        <w:t>Doing</w:t>
      </w:r>
      <w:proofErr w:type="spellEnd"/>
      <w:r w:rsidRPr="00631F21">
        <w:rPr>
          <w:rFonts w:ascii="Arial" w:hAnsi="Arial" w:cs="Arial"/>
          <w:i/>
        </w:rPr>
        <w:t xml:space="preserve"> Business 2007</w:t>
      </w:r>
      <w:r w:rsidRPr="00631F21">
        <w:rPr>
          <w:rFonts w:ascii="Arial" w:hAnsi="Arial" w:cs="Arial"/>
        </w:rPr>
        <w:t>”, do Banco Mundial, 2.600 horas anuais são necessárias, em média, para que uma empresa cumpra com suas obrigações tributarias, colocan</w:t>
      </w:r>
      <w:r w:rsidR="000609E2">
        <w:rPr>
          <w:rFonts w:ascii="Arial" w:hAnsi="Arial" w:cs="Arial"/>
        </w:rPr>
        <w:t>do o Brasil no primeiro lugar desse</w:t>
      </w:r>
      <w:r w:rsidRPr="00631F21">
        <w:rPr>
          <w:rFonts w:ascii="Arial" w:hAnsi="Arial" w:cs="Arial"/>
        </w:rPr>
        <w:t xml:space="preserve"> ranking</w:t>
      </w:r>
      <w:r w:rsidR="000609E2">
        <w:rPr>
          <w:rFonts w:ascii="Arial" w:hAnsi="Arial" w:cs="Arial"/>
        </w:rPr>
        <w:t xml:space="preserve"> negativo</w:t>
      </w:r>
      <w:r w:rsidRPr="00631F21">
        <w:rPr>
          <w:rFonts w:ascii="Arial" w:hAnsi="Arial" w:cs="Arial"/>
        </w:rPr>
        <w:t>. Em razão disso e de diversos outros aspectos regulamentares e legais, o Brasil é classificado no relatório “</w:t>
      </w:r>
      <w:proofErr w:type="spellStart"/>
      <w:r w:rsidRPr="00631F21">
        <w:rPr>
          <w:rFonts w:ascii="Arial" w:hAnsi="Arial" w:cs="Arial"/>
          <w:i/>
        </w:rPr>
        <w:t>Doing</w:t>
      </w:r>
      <w:proofErr w:type="spellEnd"/>
      <w:r w:rsidRPr="00631F21">
        <w:rPr>
          <w:rFonts w:ascii="Arial" w:hAnsi="Arial" w:cs="Arial"/>
          <w:i/>
        </w:rPr>
        <w:t xml:space="preserve"> Business</w:t>
      </w:r>
      <w:r w:rsidRPr="00631F21">
        <w:rPr>
          <w:rFonts w:ascii="Arial" w:hAnsi="Arial" w:cs="Arial"/>
        </w:rPr>
        <w:t xml:space="preserve"> </w:t>
      </w:r>
      <w:r w:rsidRPr="00631F21">
        <w:rPr>
          <w:rFonts w:ascii="Arial" w:hAnsi="Arial" w:cs="Arial"/>
          <w:i/>
        </w:rPr>
        <w:t>2012</w:t>
      </w:r>
      <w:r w:rsidRPr="00631F21">
        <w:rPr>
          <w:rFonts w:ascii="Arial" w:hAnsi="Arial" w:cs="Arial"/>
        </w:rPr>
        <w:t>” como o 126</w:t>
      </w:r>
      <w:r w:rsidR="001106DE">
        <w:rPr>
          <w:rFonts w:ascii="Arial" w:hAnsi="Arial" w:cs="Arial"/>
        </w:rPr>
        <w:t>.</w:t>
      </w:r>
      <w:r w:rsidRPr="00631F21">
        <w:rPr>
          <w:rFonts w:ascii="Arial" w:hAnsi="Arial" w:cs="Arial"/>
        </w:rPr>
        <w:t>º país</w:t>
      </w:r>
      <w:r w:rsidR="00F92966" w:rsidRPr="00631F21">
        <w:rPr>
          <w:rFonts w:ascii="Arial" w:hAnsi="Arial" w:cs="Arial"/>
        </w:rPr>
        <w:t xml:space="preserve"> </w:t>
      </w:r>
      <w:r w:rsidRPr="00631F21">
        <w:rPr>
          <w:rFonts w:ascii="Arial" w:hAnsi="Arial" w:cs="Arial"/>
        </w:rPr>
        <w:t xml:space="preserve">em relação à facilidade para </w:t>
      </w:r>
      <w:r w:rsidR="006043EA">
        <w:rPr>
          <w:rFonts w:ascii="Arial" w:hAnsi="Arial" w:cs="Arial"/>
        </w:rPr>
        <w:t>realização</w:t>
      </w:r>
      <w:r w:rsidRPr="00631F21">
        <w:rPr>
          <w:rFonts w:ascii="Arial" w:hAnsi="Arial" w:cs="Arial"/>
        </w:rPr>
        <w:t xml:space="preserve"> de negócios.</w:t>
      </w:r>
    </w:p>
    <w:p w14:paraId="24239E77" w14:textId="77777777" w:rsidR="00600707" w:rsidRPr="00631F21" w:rsidRDefault="006043EA" w:rsidP="00EA0052">
      <w:pPr>
        <w:spacing w:line="276" w:lineRule="auto"/>
        <w:ind w:firstLine="1418"/>
        <w:jc w:val="both"/>
        <w:rPr>
          <w:rFonts w:ascii="Arial" w:hAnsi="Arial" w:cs="Arial"/>
        </w:rPr>
      </w:pPr>
      <w:r>
        <w:rPr>
          <w:rFonts w:ascii="Arial" w:hAnsi="Arial" w:cs="Arial"/>
        </w:rPr>
        <w:t xml:space="preserve">Ao incrementar obrigações acessórias </w:t>
      </w:r>
      <w:r w:rsidR="00461CC9" w:rsidRPr="00631F21">
        <w:rPr>
          <w:rFonts w:ascii="Arial" w:hAnsi="Arial" w:cs="Arial"/>
        </w:rPr>
        <w:t>e gerar a possibilidade de acúmulos de</w:t>
      </w:r>
      <w:r w:rsidR="0068064C" w:rsidRPr="00631F21">
        <w:rPr>
          <w:rFonts w:ascii="Arial" w:hAnsi="Arial" w:cs="Arial"/>
        </w:rPr>
        <w:t xml:space="preserve"> créditos não recuperáveis, </w:t>
      </w:r>
      <w:r>
        <w:rPr>
          <w:rFonts w:ascii="Arial" w:hAnsi="Arial" w:cs="Arial"/>
        </w:rPr>
        <w:t>a Resolução n. 13/2012</w:t>
      </w:r>
      <w:r w:rsidR="00461CC9" w:rsidRPr="00631F21">
        <w:rPr>
          <w:rFonts w:ascii="Arial" w:hAnsi="Arial" w:cs="Arial"/>
        </w:rPr>
        <w:t xml:space="preserve"> aumenta os custos de transação</w:t>
      </w:r>
      <w:r w:rsidR="00461CC9" w:rsidRPr="00631F21">
        <w:rPr>
          <w:rFonts w:ascii="Arial" w:hAnsi="Arial" w:cs="Arial"/>
          <w:i/>
        </w:rPr>
        <w:t xml:space="preserve"> </w:t>
      </w:r>
      <w:r w:rsidR="00461CC9" w:rsidRPr="00631F21">
        <w:rPr>
          <w:rFonts w:ascii="Arial" w:hAnsi="Arial" w:cs="Arial"/>
        </w:rPr>
        <w:t xml:space="preserve">da atividade empresária, causando </w:t>
      </w:r>
      <w:r w:rsidR="00EA0052">
        <w:rPr>
          <w:rFonts w:ascii="Arial" w:hAnsi="Arial" w:cs="Arial"/>
        </w:rPr>
        <w:t>uma</w:t>
      </w:r>
      <w:r w:rsidR="00461CC9" w:rsidRPr="00631F21">
        <w:rPr>
          <w:rFonts w:ascii="Arial" w:hAnsi="Arial" w:cs="Arial"/>
        </w:rPr>
        <w:t xml:space="preserve"> externalidade negativa da medida.</w:t>
      </w:r>
      <w:r w:rsidR="00EA0052">
        <w:rPr>
          <w:rFonts w:ascii="Arial" w:hAnsi="Arial" w:cs="Arial"/>
        </w:rPr>
        <w:t xml:space="preserve"> </w:t>
      </w:r>
      <w:r w:rsidR="00461CC9" w:rsidRPr="00631F21">
        <w:rPr>
          <w:rFonts w:ascii="Arial" w:hAnsi="Arial" w:cs="Arial"/>
        </w:rPr>
        <w:t xml:space="preserve">Em termos práticos, fica mais complicado para os empresários calcularem exatamente qual o custo tributário de cada operação (custo </w:t>
      </w:r>
      <w:r w:rsidR="00461CC9" w:rsidRPr="00631F21">
        <w:rPr>
          <w:rFonts w:ascii="Arial" w:hAnsi="Arial" w:cs="Arial"/>
          <w:i/>
        </w:rPr>
        <w:t>ex-ante</w:t>
      </w:r>
      <w:r w:rsidR="00461CC9" w:rsidRPr="00631F21">
        <w:rPr>
          <w:rFonts w:ascii="Arial" w:hAnsi="Arial" w:cs="Arial"/>
        </w:rPr>
        <w:t>) pelo sistema do conteúdo de importação para determinação de alíquotas interestaduais. Isso poderá ge</w:t>
      </w:r>
      <w:r w:rsidR="00EA0052">
        <w:rPr>
          <w:rFonts w:ascii="Arial" w:hAnsi="Arial" w:cs="Arial"/>
        </w:rPr>
        <w:t>rar diversos custos adicionais imprevistos</w:t>
      </w:r>
      <w:r w:rsidR="00461CC9" w:rsidRPr="00631F21">
        <w:rPr>
          <w:rFonts w:ascii="Arial" w:hAnsi="Arial" w:cs="Arial"/>
        </w:rPr>
        <w:t xml:space="preserve"> para a empresa (custos </w:t>
      </w:r>
      <w:r w:rsidR="00461CC9" w:rsidRPr="00631F21">
        <w:rPr>
          <w:rFonts w:ascii="Arial" w:hAnsi="Arial" w:cs="Arial"/>
          <w:i/>
        </w:rPr>
        <w:t>ex-post</w:t>
      </w:r>
      <w:r w:rsidR="00461CC9" w:rsidRPr="00631F21">
        <w:rPr>
          <w:rFonts w:ascii="Arial" w:hAnsi="Arial" w:cs="Arial"/>
        </w:rPr>
        <w:t xml:space="preserve">), como </w:t>
      </w:r>
      <w:r w:rsidR="00EA0052">
        <w:rPr>
          <w:rFonts w:ascii="Arial" w:hAnsi="Arial" w:cs="Arial"/>
        </w:rPr>
        <w:t xml:space="preserve">a cobrança de imposto adicional e multas, consequentemente com </w:t>
      </w:r>
      <w:r w:rsidR="00461CC9" w:rsidRPr="00631F21">
        <w:rPr>
          <w:rFonts w:ascii="Arial" w:hAnsi="Arial" w:cs="Arial"/>
        </w:rPr>
        <w:t xml:space="preserve">efeitos nocivos na economia, </w:t>
      </w:r>
      <w:r w:rsidR="00EA0052">
        <w:rPr>
          <w:rFonts w:ascii="Arial" w:hAnsi="Arial" w:cs="Arial"/>
        </w:rPr>
        <w:t xml:space="preserve">comprometendo </w:t>
      </w:r>
      <w:r w:rsidR="00461CC9" w:rsidRPr="00631F21">
        <w:rPr>
          <w:rFonts w:ascii="Arial" w:hAnsi="Arial" w:cs="Arial"/>
        </w:rPr>
        <w:t xml:space="preserve">investimentos </w:t>
      </w:r>
      <w:r w:rsidR="00EA0052">
        <w:rPr>
          <w:rFonts w:ascii="Arial" w:hAnsi="Arial" w:cs="Arial"/>
        </w:rPr>
        <w:t>e</w:t>
      </w:r>
      <w:r w:rsidR="00461CC9" w:rsidRPr="00631F21">
        <w:rPr>
          <w:rFonts w:ascii="Arial" w:hAnsi="Arial" w:cs="Arial"/>
        </w:rPr>
        <w:t xml:space="preserve"> planejamento estratégico</w:t>
      </w:r>
      <w:r w:rsidR="00EA0052">
        <w:rPr>
          <w:rFonts w:ascii="Arial" w:hAnsi="Arial" w:cs="Arial"/>
        </w:rPr>
        <w:t xml:space="preserve"> e, em regra, </w:t>
      </w:r>
      <w:r w:rsidR="00461CC9" w:rsidRPr="00631F21">
        <w:rPr>
          <w:rFonts w:ascii="Arial" w:hAnsi="Arial" w:cs="Arial"/>
        </w:rPr>
        <w:t xml:space="preserve">o repasse </w:t>
      </w:r>
      <w:r w:rsidR="00EA0052">
        <w:rPr>
          <w:rFonts w:ascii="Arial" w:hAnsi="Arial" w:cs="Arial"/>
        </w:rPr>
        <w:t>desses</w:t>
      </w:r>
      <w:r w:rsidR="00461CC9" w:rsidRPr="00631F21">
        <w:rPr>
          <w:rFonts w:ascii="Arial" w:hAnsi="Arial" w:cs="Arial"/>
        </w:rPr>
        <w:t xml:space="preserve"> custo</w:t>
      </w:r>
      <w:r w:rsidR="00EA0052">
        <w:rPr>
          <w:rFonts w:ascii="Arial" w:hAnsi="Arial" w:cs="Arial"/>
        </w:rPr>
        <w:t>s</w:t>
      </w:r>
      <w:r w:rsidR="00461CC9" w:rsidRPr="00631F21">
        <w:rPr>
          <w:rFonts w:ascii="Arial" w:hAnsi="Arial" w:cs="Arial"/>
        </w:rPr>
        <w:t xml:space="preserve"> ao </w:t>
      </w:r>
      <w:r w:rsidR="00EA0052">
        <w:rPr>
          <w:rFonts w:ascii="Arial" w:hAnsi="Arial" w:cs="Arial"/>
        </w:rPr>
        <w:t>preço do produto ao consumidor</w:t>
      </w:r>
      <w:r w:rsidR="00461CC9" w:rsidRPr="00631F21">
        <w:rPr>
          <w:rFonts w:ascii="Arial" w:hAnsi="Arial" w:cs="Arial"/>
        </w:rPr>
        <w:t xml:space="preserve"> final.</w:t>
      </w:r>
    </w:p>
    <w:p w14:paraId="0582FF0B" w14:textId="77777777" w:rsidR="00D10B5B" w:rsidRPr="00631F21" w:rsidRDefault="00D10B5B" w:rsidP="00631F21">
      <w:pPr>
        <w:spacing w:line="276" w:lineRule="auto"/>
        <w:ind w:firstLine="1418"/>
        <w:jc w:val="both"/>
        <w:rPr>
          <w:rFonts w:ascii="Arial" w:hAnsi="Arial" w:cs="Arial"/>
          <w:b/>
        </w:rPr>
      </w:pPr>
    </w:p>
    <w:p w14:paraId="0D7F0B3C" w14:textId="77777777" w:rsidR="005C1D9A" w:rsidRPr="00631F21" w:rsidRDefault="00DE35A7" w:rsidP="00122B75">
      <w:pPr>
        <w:spacing w:line="276" w:lineRule="auto"/>
        <w:jc w:val="both"/>
        <w:rPr>
          <w:rFonts w:ascii="Arial" w:hAnsi="Arial" w:cs="Arial"/>
        </w:rPr>
      </w:pPr>
      <w:r w:rsidRPr="00631F21">
        <w:rPr>
          <w:rFonts w:ascii="Arial" w:hAnsi="Arial" w:cs="Arial"/>
          <w:b/>
        </w:rPr>
        <w:t xml:space="preserve">5. </w:t>
      </w:r>
      <w:r w:rsidR="00CA7D45" w:rsidRPr="00631F21">
        <w:rPr>
          <w:rFonts w:ascii="Arial" w:hAnsi="Arial" w:cs="Arial"/>
          <w:b/>
        </w:rPr>
        <w:t>Conclusão</w:t>
      </w:r>
      <w:r w:rsidR="00895831">
        <w:rPr>
          <w:rFonts w:ascii="Arial" w:hAnsi="Arial" w:cs="Arial"/>
        </w:rPr>
        <w:t>.</w:t>
      </w:r>
    </w:p>
    <w:p w14:paraId="5DDEC626" w14:textId="77777777" w:rsidR="0068064C" w:rsidRPr="00631F21" w:rsidRDefault="0068064C" w:rsidP="00631F21">
      <w:pPr>
        <w:spacing w:line="276" w:lineRule="auto"/>
        <w:ind w:firstLine="1418"/>
        <w:jc w:val="both"/>
        <w:rPr>
          <w:rFonts w:ascii="Arial" w:hAnsi="Arial" w:cs="Arial"/>
          <w:b/>
        </w:rPr>
      </w:pPr>
    </w:p>
    <w:p w14:paraId="46649957" w14:textId="51CAE570" w:rsidR="00461CC9" w:rsidRPr="00631F21" w:rsidRDefault="00461CC9" w:rsidP="00B53FF9">
      <w:pPr>
        <w:spacing w:line="276" w:lineRule="auto"/>
        <w:ind w:firstLine="1418"/>
        <w:jc w:val="both"/>
        <w:rPr>
          <w:rFonts w:ascii="Arial" w:hAnsi="Arial" w:cs="Arial"/>
        </w:rPr>
      </w:pPr>
      <w:r w:rsidRPr="00631F21">
        <w:rPr>
          <w:rFonts w:ascii="Arial" w:hAnsi="Arial" w:cs="Arial"/>
        </w:rPr>
        <w:t>Pelo exposto acima, é possível concluir que</w:t>
      </w:r>
      <w:r w:rsidR="00F92966" w:rsidRPr="00631F21">
        <w:rPr>
          <w:rFonts w:ascii="Arial" w:hAnsi="Arial" w:cs="Arial"/>
        </w:rPr>
        <w:t>,</w:t>
      </w:r>
      <w:r w:rsidRPr="00631F21">
        <w:rPr>
          <w:rFonts w:ascii="Arial" w:hAnsi="Arial" w:cs="Arial"/>
        </w:rPr>
        <w:t xml:space="preserve"> </w:t>
      </w:r>
      <w:r w:rsidR="00B53FF9">
        <w:rPr>
          <w:rFonts w:ascii="Arial" w:hAnsi="Arial" w:cs="Arial"/>
        </w:rPr>
        <w:t>embora</w:t>
      </w:r>
      <w:r w:rsidRPr="00631F21">
        <w:rPr>
          <w:rFonts w:ascii="Arial" w:hAnsi="Arial" w:cs="Arial"/>
        </w:rPr>
        <w:t xml:space="preserve"> a </w:t>
      </w:r>
      <w:r w:rsidR="00137E77">
        <w:rPr>
          <w:rFonts w:ascii="Arial" w:hAnsi="Arial" w:cs="Arial"/>
        </w:rPr>
        <w:t>guerra fiscal</w:t>
      </w:r>
      <w:r w:rsidRPr="00631F21">
        <w:rPr>
          <w:rFonts w:ascii="Arial" w:hAnsi="Arial" w:cs="Arial"/>
        </w:rPr>
        <w:t xml:space="preserve"> possa efetivamente causar alguns prejuízos para a economia do país, como o possível aumento das importações </w:t>
      </w:r>
      <w:r w:rsidR="00B53FF9">
        <w:rPr>
          <w:rFonts w:ascii="Arial" w:hAnsi="Arial" w:cs="Arial"/>
        </w:rPr>
        <w:t>ou</w:t>
      </w:r>
      <w:r w:rsidRPr="00631F21">
        <w:rPr>
          <w:rFonts w:ascii="Arial" w:hAnsi="Arial" w:cs="Arial"/>
        </w:rPr>
        <w:t xml:space="preserve"> transferência de empregos para o exterior</w:t>
      </w:r>
      <w:r w:rsidR="004F7D58" w:rsidRPr="00631F21">
        <w:rPr>
          <w:rFonts w:ascii="Arial" w:hAnsi="Arial" w:cs="Arial"/>
        </w:rPr>
        <w:t xml:space="preserve">, </w:t>
      </w:r>
      <w:r w:rsidR="00B53FF9">
        <w:rPr>
          <w:rFonts w:ascii="Arial" w:hAnsi="Arial" w:cs="Arial"/>
        </w:rPr>
        <w:t>seus</w:t>
      </w:r>
      <w:r w:rsidR="004F7D58" w:rsidRPr="00631F21">
        <w:rPr>
          <w:rFonts w:ascii="Arial" w:hAnsi="Arial" w:cs="Arial"/>
        </w:rPr>
        <w:t xml:space="preserve"> impactos não</w:t>
      </w:r>
      <w:r w:rsidR="00B53FF9">
        <w:rPr>
          <w:rFonts w:ascii="Arial" w:hAnsi="Arial" w:cs="Arial"/>
        </w:rPr>
        <w:t xml:space="preserve"> são apenas negativos para o</w:t>
      </w:r>
      <w:r w:rsidRPr="00631F21">
        <w:rPr>
          <w:rFonts w:ascii="Arial" w:hAnsi="Arial" w:cs="Arial"/>
        </w:rPr>
        <w:t xml:space="preserve"> desenvolvimento do Brasil. </w:t>
      </w:r>
      <w:r w:rsidR="00B53FF9">
        <w:rPr>
          <w:rFonts w:ascii="Arial" w:hAnsi="Arial" w:cs="Arial"/>
        </w:rPr>
        <w:t>Nesse sentido, o artigo expôs argumentos que demonstram como a guerra fiscal é um elemento em uma equação complexa que tem gerado desenvolvimento menos desarmônico no território nacional</w:t>
      </w:r>
      <w:r w:rsidRPr="00631F21">
        <w:rPr>
          <w:rFonts w:ascii="Arial" w:hAnsi="Arial" w:cs="Arial"/>
        </w:rPr>
        <w:t>.</w:t>
      </w:r>
      <w:r w:rsidR="00B53FF9">
        <w:rPr>
          <w:rFonts w:ascii="Arial" w:hAnsi="Arial" w:cs="Arial"/>
        </w:rPr>
        <w:t xml:space="preserve"> A</w:t>
      </w:r>
      <w:r w:rsidR="009106BA">
        <w:rPr>
          <w:rFonts w:ascii="Arial" w:hAnsi="Arial" w:cs="Arial"/>
        </w:rPr>
        <w:t xml:space="preserve"> despeito de seus aspectos negativos, a</w:t>
      </w:r>
      <w:r w:rsidRPr="00631F21">
        <w:rPr>
          <w:rFonts w:ascii="Arial" w:hAnsi="Arial" w:cs="Arial"/>
        </w:rPr>
        <w:t xml:space="preserve"> </w:t>
      </w:r>
      <w:r w:rsidR="00137E77">
        <w:rPr>
          <w:rFonts w:ascii="Arial" w:hAnsi="Arial" w:cs="Arial"/>
        </w:rPr>
        <w:t>guerra fiscal</w:t>
      </w:r>
      <w:r w:rsidRPr="00631F21">
        <w:rPr>
          <w:rFonts w:ascii="Arial" w:hAnsi="Arial" w:cs="Arial"/>
        </w:rPr>
        <w:t xml:space="preserve"> do ICMS parece estar permitindo um desenvolvimento um pouco mais homogêneo do país, comp</w:t>
      </w:r>
      <w:r w:rsidR="004F7D58" w:rsidRPr="00631F21">
        <w:rPr>
          <w:rFonts w:ascii="Arial" w:hAnsi="Arial" w:cs="Arial"/>
        </w:rPr>
        <w:t>a</w:t>
      </w:r>
      <w:r w:rsidRPr="00631F21">
        <w:rPr>
          <w:rFonts w:ascii="Arial" w:hAnsi="Arial" w:cs="Arial"/>
        </w:rPr>
        <w:t xml:space="preserve">rando com o que se teria </w:t>
      </w:r>
      <w:r w:rsidR="00B53FF9">
        <w:rPr>
          <w:rFonts w:ascii="Arial" w:hAnsi="Arial" w:cs="Arial"/>
        </w:rPr>
        <w:t>caso</w:t>
      </w:r>
      <w:r w:rsidRPr="00631F21">
        <w:rPr>
          <w:rFonts w:ascii="Arial" w:hAnsi="Arial" w:cs="Arial"/>
        </w:rPr>
        <w:t xml:space="preserve"> a disputa entre os </w:t>
      </w:r>
      <w:r w:rsidR="00B53FF9">
        <w:rPr>
          <w:rFonts w:ascii="Arial" w:hAnsi="Arial" w:cs="Arial"/>
        </w:rPr>
        <w:t>E</w:t>
      </w:r>
      <w:r w:rsidRPr="00631F21">
        <w:rPr>
          <w:rFonts w:ascii="Arial" w:hAnsi="Arial" w:cs="Arial"/>
        </w:rPr>
        <w:t>stados não pudesse existir.</w:t>
      </w:r>
    </w:p>
    <w:p w14:paraId="1C5B69E9" w14:textId="77777777" w:rsidR="00461CC9" w:rsidRPr="00631F21" w:rsidRDefault="00461CC9" w:rsidP="00631F21">
      <w:pPr>
        <w:spacing w:line="276" w:lineRule="auto"/>
        <w:ind w:firstLine="1418"/>
        <w:jc w:val="both"/>
        <w:rPr>
          <w:rFonts w:ascii="Arial" w:hAnsi="Arial" w:cs="Arial"/>
        </w:rPr>
      </w:pPr>
      <w:r w:rsidRPr="00631F21">
        <w:rPr>
          <w:rFonts w:ascii="Arial" w:hAnsi="Arial" w:cs="Arial"/>
        </w:rPr>
        <w:t xml:space="preserve">Não se </w:t>
      </w:r>
      <w:r w:rsidR="00B53FF9">
        <w:rPr>
          <w:rFonts w:ascii="Arial" w:hAnsi="Arial" w:cs="Arial"/>
        </w:rPr>
        <w:t>sustenta, é claro,</w:t>
      </w:r>
      <w:r w:rsidRPr="00631F21">
        <w:rPr>
          <w:rFonts w:ascii="Arial" w:hAnsi="Arial" w:cs="Arial"/>
        </w:rPr>
        <w:t xml:space="preserve"> que a guerra fiscal é a solução para os problemas de desigualdade regional</w:t>
      </w:r>
      <w:r w:rsidR="00B53FF9">
        <w:rPr>
          <w:rFonts w:ascii="Arial" w:hAnsi="Arial" w:cs="Arial"/>
        </w:rPr>
        <w:t>. G</w:t>
      </w:r>
      <w:r w:rsidRPr="00631F21">
        <w:rPr>
          <w:rFonts w:ascii="Arial" w:hAnsi="Arial" w:cs="Arial"/>
        </w:rPr>
        <w:t xml:space="preserve">uerras fiscais sempre demonstram falhas em dois aspectos </w:t>
      </w:r>
      <w:r w:rsidR="00B53FF9">
        <w:rPr>
          <w:rFonts w:ascii="Arial" w:hAnsi="Arial" w:cs="Arial"/>
        </w:rPr>
        <w:t>fundamentais em uma democracia federativa</w:t>
      </w:r>
      <w:r w:rsidRPr="00631F21">
        <w:rPr>
          <w:rFonts w:ascii="Arial" w:hAnsi="Arial" w:cs="Arial"/>
        </w:rPr>
        <w:t>:</w:t>
      </w:r>
      <w:r w:rsidR="00122B75">
        <w:rPr>
          <w:rFonts w:ascii="Arial" w:hAnsi="Arial" w:cs="Arial"/>
        </w:rPr>
        <w:t xml:space="preserve"> </w:t>
      </w:r>
      <w:r w:rsidR="00B53FF9">
        <w:rPr>
          <w:rFonts w:ascii="Arial" w:hAnsi="Arial" w:cs="Arial"/>
        </w:rPr>
        <w:t xml:space="preserve">a falha </w:t>
      </w:r>
      <w:r w:rsidRPr="00631F21">
        <w:rPr>
          <w:rFonts w:ascii="Arial" w:hAnsi="Arial" w:cs="Arial"/>
        </w:rPr>
        <w:t xml:space="preserve">dos mecanismos de consenso </w:t>
      </w:r>
      <w:r w:rsidR="00B53FF9">
        <w:rPr>
          <w:rFonts w:ascii="Arial" w:hAnsi="Arial" w:cs="Arial"/>
        </w:rPr>
        <w:t xml:space="preserve">e, </w:t>
      </w:r>
      <w:r w:rsidRPr="00631F21">
        <w:rPr>
          <w:rFonts w:ascii="Arial" w:hAnsi="Arial" w:cs="Arial"/>
        </w:rPr>
        <w:t xml:space="preserve">no caso específico do ICMS, a ineficiência da </w:t>
      </w:r>
      <w:r w:rsidRPr="00631F21">
        <w:rPr>
          <w:rFonts w:ascii="Arial" w:hAnsi="Arial" w:cs="Arial"/>
        </w:rPr>
        <w:lastRenderedPageBreak/>
        <w:t xml:space="preserve">previsão da Lei Complementar n. 24/1975, </w:t>
      </w:r>
      <w:r w:rsidR="00B53FF9">
        <w:rPr>
          <w:rFonts w:ascii="Arial" w:hAnsi="Arial" w:cs="Arial"/>
        </w:rPr>
        <w:t>que demanda</w:t>
      </w:r>
      <w:r w:rsidRPr="00631F21">
        <w:rPr>
          <w:rFonts w:ascii="Arial" w:hAnsi="Arial" w:cs="Arial"/>
        </w:rPr>
        <w:t xml:space="preserve"> aprovação unânime de todos os Estados para concessão de benefícios fiscais</w:t>
      </w:r>
      <w:r w:rsidR="00B53FF9">
        <w:rPr>
          <w:rFonts w:ascii="Arial" w:hAnsi="Arial" w:cs="Arial"/>
        </w:rPr>
        <w:t>;</w:t>
      </w:r>
      <w:r w:rsidR="00122B75">
        <w:rPr>
          <w:rFonts w:ascii="Arial" w:hAnsi="Arial" w:cs="Arial"/>
        </w:rPr>
        <w:t xml:space="preserve"> e</w:t>
      </w:r>
      <w:r w:rsidR="00B53FF9">
        <w:rPr>
          <w:rFonts w:ascii="Arial" w:hAnsi="Arial" w:cs="Arial"/>
        </w:rPr>
        <w:t xml:space="preserve"> falha</w:t>
      </w:r>
      <w:r w:rsidR="00122B75">
        <w:rPr>
          <w:rFonts w:ascii="Arial" w:hAnsi="Arial" w:cs="Arial"/>
        </w:rPr>
        <w:t xml:space="preserve"> </w:t>
      </w:r>
      <w:r w:rsidRPr="00631F21">
        <w:rPr>
          <w:rFonts w:ascii="Arial" w:hAnsi="Arial" w:cs="Arial"/>
        </w:rPr>
        <w:t>da própria União no cumprimento de seu papel de responsável pela harmonia da federação</w:t>
      </w:r>
      <w:r w:rsidR="00122B75">
        <w:rPr>
          <w:rFonts w:ascii="Arial" w:hAnsi="Arial" w:cs="Arial"/>
        </w:rPr>
        <w:t xml:space="preserve"> (Batista Junior, 2011, p. 337)</w:t>
      </w:r>
      <w:r w:rsidR="004F7D58" w:rsidRPr="00631F21">
        <w:rPr>
          <w:rFonts w:ascii="Arial" w:hAnsi="Arial" w:cs="Arial"/>
        </w:rPr>
        <w:t>.</w:t>
      </w:r>
    </w:p>
    <w:p w14:paraId="27440998" w14:textId="6FD0D2ED" w:rsidR="00461CC9" w:rsidRPr="00631F21" w:rsidRDefault="0068064C" w:rsidP="009106BA">
      <w:pPr>
        <w:spacing w:line="276" w:lineRule="auto"/>
        <w:ind w:firstLine="1418"/>
        <w:jc w:val="both"/>
        <w:rPr>
          <w:rFonts w:ascii="Arial" w:hAnsi="Arial" w:cs="Arial"/>
        </w:rPr>
      </w:pPr>
      <w:r w:rsidRPr="00631F21">
        <w:rPr>
          <w:rFonts w:ascii="Arial" w:hAnsi="Arial" w:cs="Arial"/>
        </w:rPr>
        <w:t>No</w:t>
      </w:r>
      <w:r w:rsidR="00461CC9" w:rsidRPr="00631F21">
        <w:rPr>
          <w:rFonts w:ascii="Arial" w:hAnsi="Arial" w:cs="Arial"/>
        </w:rPr>
        <w:t xml:space="preserve"> que se refere à a Resolução n. 13/2012 do Senado Federal, os dados apresentados</w:t>
      </w:r>
      <w:r w:rsidR="00B15550">
        <w:rPr>
          <w:rFonts w:ascii="Arial" w:hAnsi="Arial" w:cs="Arial"/>
        </w:rPr>
        <w:t xml:space="preserve"> ao longo do estudo</w:t>
      </w:r>
      <w:r w:rsidR="00461CC9" w:rsidRPr="00631F21">
        <w:rPr>
          <w:rFonts w:ascii="Arial" w:hAnsi="Arial" w:cs="Arial"/>
        </w:rPr>
        <w:t xml:space="preserve"> demonstra</w:t>
      </w:r>
      <w:r w:rsidR="00B15550">
        <w:rPr>
          <w:rFonts w:ascii="Arial" w:hAnsi="Arial" w:cs="Arial"/>
        </w:rPr>
        <w:t xml:space="preserve">m aspectos negativos </w:t>
      </w:r>
      <w:r w:rsidRPr="00631F21">
        <w:rPr>
          <w:rFonts w:ascii="Arial" w:hAnsi="Arial" w:cs="Arial"/>
        </w:rPr>
        <w:t>da medida</w:t>
      </w:r>
      <w:r w:rsidR="00B15550">
        <w:rPr>
          <w:rFonts w:ascii="Arial" w:hAnsi="Arial" w:cs="Arial"/>
        </w:rPr>
        <w:t xml:space="preserve">, como o acúmulo de créditos de ICMS e o aumento dos custos de conformidade via incremento nas já excessivas e irracionais obrigações tributárias acessórias, gerando alta de custos e, possivelmente, aumento de preços ao consumidor final. Os mecanismos </w:t>
      </w:r>
      <w:r w:rsidR="00461CC9" w:rsidRPr="00631F21">
        <w:rPr>
          <w:rFonts w:ascii="Arial" w:hAnsi="Arial" w:cs="Arial"/>
        </w:rPr>
        <w:t xml:space="preserve">utilizados pela Resolução não foram </w:t>
      </w:r>
      <w:r w:rsidR="00B15550">
        <w:rPr>
          <w:rFonts w:ascii="Arial" w:hAnsi="Arial" w:cs="Arial"/>
        </w:rPr>
        <w:t xml:space="preserve">plenamente </w:t>
      </w:r>
      <w:r w:rsidR="00461CC9" w:rsidRPr="00631F21">
        <w:rPr>
          <w:rFonts w:ascii="Arial" w:hAnsi="Arial" w:cs="Arial"/>
        </w:rPr>
        <w:t>adequados, produzindo externalidades negativas para a atividade empresaria</w:t>
      </w:r>
      <w:r w:rsidR="00B15550">
        <w:rPr>
          <w:rFonts w:ascii="Arial" w:hAnsi="Arial" w:cs="Arial"/>
        </w:rPr>
        <w:t>l</w:t>
      </w:r>
      <w:r w:rsidR="00461CC9" w:rsidRPr="00631F21">
        <w:rPr>
          <w:rFonts w:ascii="Arial" w:hAnsi="Arial" w:cs="Arial"/>
        </w:rPr>
        <w:t>.</w:t>
      </w:r>
      <w:r w:rsidR="00AD1F24">
        <w:rPr>
          <w:rFonts w:ascii="Arial" w:hAnsi="Arial" w:cs="Arial"/>
        </w:rPr>
        <w:t xml:space="preserve"> Portanto, ainda que se sustente</w:t>
      </w:r>
      <w:r w:rsidR="00AD1F24" w:rsidRPr="00631F21">
        <w:rPr>
          <w:rFonts w:ascii="Arial" w:hAnsi="Arial" w:cs="Arial"/>
        </w:rPr>
        <w:t xml:space="preserve"> a constitucionalidade </w:t>
      </w:r>
      <w:r w:rsidR="00AD1F24">
        <w:rPr>
          <w:rFonts w:ascii="Arial" w:hAnsi="Arial" w:cs="Arial"/>
        </w:rPr>
        <w:t xml:space="preserve">formal </w:t>
      </w:r>
      <w:r w:rsidR="00AD1F24" w:rsidRPr="00631F21">
        <w:rPr>
          <w:rFonts w:ascii="Arial" w:hAnsi="Arial" w:cs="Arial"/>
        </w:rPr>
        <w:t>da Resolução n. 13</w:t>
      </w:r>
      <w:r w:rsidR="00AD1F24">
        <w:rPr>
          <w:rFonts w:ascii="Arial" w:hAnsi="Arial" w:cs="Arial"/>
        </w:rPr>
        <w:t>/2012</w:t>
      </w:r>
      <w:r w:rsidR="00AD1F24" w:rsidRPr="00631F21">
        <w:rPr>
          <w:rFonts w:ascii="Arial" w:hAnsi="Arial" w:cs="Arial"/>
        </w:rPr>
        <w:t xml:space="preserve">, sua análise complexa e interdisciplinar </w:t>
      </w:r>
      <w:r w:rsidR="00AD1F24">
        <w:rPr>
          <w:rFonts w:ascii="Arial" w:hAnsi="Arial" w:cs="Arial"/>
        </w:rPr>
        <w:t xml:space="preserve">permite concluir </w:t>
      </w:r>
      <w:r w:rsidR="00AD1F24" w:rsidRPr="00631F21">
        <w:rPr>
          <w:rFonts w:ascii="Arial" w:hAnsi="Arial" w:cs="Arial"/>
        </w:rPr>
        <w:t xml:space="preserve">que a medida </w:t>
      </w:r>
      <w:r w:rsidR="00AD1F24">
        <w:rPr>
          <w:rFonts w:ascii="Arial" w:hAnsi="Arial" w:cs="Arial"/>
        </w:rPr>
        <w:t>sofre de sérias inadequações em relação aos objetivos constitucionais.</w:t>
      </w:r>
      <w:bookmarkStart w:id="0" w:name="_GoBack"/>
      <w:bookmarkEnd w:id="0"/>
    </w:p>
    <w:p w14:paraId="7830DE90" w14:textId="77777777" w:rsidR="006F3B60" w:rsidRDefault="0068064C" w:rsidP="00B15550">
      <w:pPr>
        <w:spacing w:line="276" w:lineRule="auto"/>
        <w:ind w:firstLine="1418"/>
        <w:jc w:val="both"/>
        <w:rPr>
          <w:rFonts w:ascii="Arial" w:hAnsi="Arial" w:cs="Arial"/>
        </w:rPr>
      </w:pPr>
      <w:r w:rsidRPr="00631F21">
        <w:rPr>
          <w:rFonts w:ascii="Arial" w:hAnsi="Arial" w:cs="Arial"/>
        </w:rPr>
        <w:t>Por fim,</w:t>
      </w:r>
      <w:r w:rsidR="00AD1F24">
        <w:rPr>
          <w:rFonts w:ascii="Arial" w:hAnsi="Arial" w:cs="Arial"/>
        </w:rPr>
        <w:t xml:space="preserve"> e exatamente por isso,</w:t>
      </w:r>
      <w:r w:rsidRPr="00631F21">
        <w:rPr>
          <w:rFonts w:ascii="Arial" w:hAnsi="Arial" w:cs="Arial"/>
        </w:rPr>
        <w:t xml:space="preserve"> o presente estudo também </w:t>
      </w:r>
      <w:r w:rsidR="00B15550">
        <w:rPr>
          <w:rFonts w:ascii="Arial" w:hAnsi="Arial" w:cs="Arial"/>
        </w:rPr>
        <w:t>demonstra</w:t>
      </w:r>
      <w:r w:rsidRPr="00631F21">
        <w:rPr>
          <w:rFonts w:ascii="Arial" w:hAnsi="Arial" w:cs="Arial"/>
        </w:rPr>
        <w:t xml:space="preserve"> a necessidade do estudo interdisciplinar do </w:t>
      </w:r>
      <w:r w:rsidR="00B15550">
        <w:rPr>
          <w:rFonts w:ascii="Arial" w:hAnsi="Arial" w:cs="Arial"/>
        </w:rPr>
        <w:t>D</w:t>
      </w:r>
      <w:r w:rsidRPr="00631F21">
        <w:rPr>
          <w:rFonts w:ascii="Arial" w:hAnsi="Arial" w:cs="Arial"/>
        </w:rPr>
        <w:t xml:space="preserve">ireito e, especificamente, do </w:t>
      </w:r>
      <w:r w:rsidR="00B15550">
        <w:rPr>
          <w:rFonts w:ascii="Arial" w:hAnsi="Arial" w:cs="Arial"/>
        </w:rPr>
        <w:t>D</w:t>
      </w:r>
      <w:r w:rsidRPr="00631F21">
        <w:rPr>
          <w:rFonts w:ascii="Arial" w:hAnsi="Arial" w:cs="Arial"/>
        </w:rPr>
        <w:t>ireito tributário. A análise exclusiva de questões formais não parece ser mais suficiente para se determinar a efetividade, adequação ou até mesmo a constitucionalidade de certas políticas.</w:t>
      </w:r>
      <w:r w:rsidR="00B15550">
        <w:rPr>
          <w:rFonts w:ascii="Arial" w:hAnsi="Arial" w:cs="Arial"/>
        </w:rPr>
        <w:t xml:space="preserve"> </w:t>
      </w:r>
      <w:r w:rsidRPr="00631F21">
        <w:rPr>
          <w:rFonts w:ascii="Arial" w:hAnsi="Arial" w:cs="Arial"/>
        </w:rPr>
        <w:t xml:space="preserve">Após a promulgação da Constituição Federal de 1988, não podemos mais </w:t>
      </w:r>
      <w:r w:rsidR="00B15550">
        <w:rPr>
          <w:rFonts w:ascii="Arial" w:hAnsi="Arial" w:cs="Arial"/>
        </w:rPr>
        <w:t>sustentar afirmações desconexas da realidade socioeconômica e ambiental brasileiras, estudadas por outras disciplinas</w:t>
      </w:r>
      <w:r w:rsidR="00122B75">
        <w:rPr>
          <w:rFonts w:ascii="Arial" w:hAnsi="Arial" w:cs="Arial"/>
        </w:rPr>
        <w:t xml:space="preserve"> (Borges, 2013, p. 118)</w:t>
      </w:r>
      <w:r w:rsidRPr="00631F21">
        <w:rPr>
          <w:rFonts w:ascii="Arial" w:hAnsi="Arial" w:cs="Arial"/>
        </w:rPr>
        <w:t xml:space="preserve">. </w:t>
      </w:r>
      <w:r w:rsidR="00B15550">
        <w:rPr>
          <w:rFonts w:ascii="Arial" w:hAnsi="Arial" w:cs="Arial"/>
        </w:rPr>
        <w:t xml:space="preserve">Nesse sentido, o dado econômico é fundamental para avaliar se as medidas jurídico-tributárias contribuem para a realização dos objetivos fundamentais da República, como o desenvolvimento nacional, homogêneo e sustentável, ou se, ao contrário, </w:t>
      </w:r>
      <w:r w:rsidR="00F506C2">
        <w:rPr>
          <w:rFonts w:ascii="Arial" w:hAnsi="Arial" w:cs="Arial"/>
        </w:rPr>
        <w:t>podem</w:t>
      </w:r>
      <w:r w:rsidR="00B15550">
        <w:rPr>
          <w:rFonts w:ascii="Arial" w:hAnsi="Arial" w:cs="Arial"/>
        </w:rPr>
        <w:t xml:space="preserve"> </w:t>
      </w:r>
      <w:r w:rsidR="00F506C2">
        <w:rPr>
          <w:rFonts w:ascii="Arial" w:hAnsi="Arial" w:cs="Arial"/>
        </w:rPr>
        <w:t xml:space="preserve">estar </w:t>
      </w:r>
      <w:r w:rsidR="00B15550">
        <w:rPr>
          <w:rFonts w:ascii="Arial" w:hAnsi="Arial" w:cs="Arial"/>
        </w:rPr>
        <w:t>conduzindo o país em direção oposta àquela determinada na Constituição.</w:t>
      </w:r>
    </w:p>
    <w:p w14:paraId="05D72C0F" w14:textId="77777777" w:rsidR="0068064C" w:rsidRPr="00631F21" w:rsidRDefault="0068064C" w:rsidP="00AD1F24">
      <w:pPr>
        <w:spacing w:line="276" w:lineRule="auto"/>
        <w:jc w:val="both"/>
        <w:rPr>
          <w:rFonts w:ascii="Arial" w:hAnsi="Arial" w:cs="Arial"/>
        </w:rPr>
      </w:pPr>
    </w:p>
    <w:p w14:paraId="2AC1E4BD" w14:textId="77777777" w:rsidR="0068064C" w:rsidRPr="00631F21" w:rsidRDefault="0068064C" w:rsidP="00631F21">
      <w:pPr>
        <w:spacing w:line="276" w:lineRule="auto"/>
        <w:jc w:val="both"/>
        <w:rPr>
          <w:rFonts w:ascii="Arial" w:hAnsi="Arial" w:cs="Arial"/>
          <w:b/>
        </w:rPr>
      </w:pPr>
    </w:p>
    <w:p w14:paraId="6B70DD5B" w14:textId="77777777" w:rsidR="00636D46" w:rsidRPr="00C825AC" w:rsidRDefault="00540400" w:rsidP="004A687E">
      <w:pPr>
        <w:pStyle w:val="FootnoteText"/>
        <w:rPr>
          <w:rFonts w:ascii="Arial" w:hAnsi="Arial" w:cs="Arial"/>
          <w:b/>
          <w:sz w:val="24"/>
          <w:szCs w:val="24"/>
        </w:rPr>
      </w:pPr>
      <w:r>
        <w:rPr>
          <w:rFonts w:ascii="Arial" w:hAnsi="Arial" w:cs="Arial"/>
          <w:b/>
          <w:sz w:val="24"/>
          <w:szCs w:val="24"/>
        </w:rPr>
        <w:t>REFERÊNCIAS</w:t>
      </w:r>
    </w:p>
    <w:p w14:paraId="63E8DCD3" w14:textId="77777777" w:rsidR="00BA59FA" w:rsidRPr="00E741C2" w:rsidRDefault="00BA59FA" w:rsidP="00631F21">
      <w:pPr>
        <w:spacing w:line="276" w:lineRule="auto"/>
        <w:jc w:val="both"/>
        <w:outlineLvl w:val="3"/>
        <w:rPr>
          <w:rFonts w:ascii="Arial" w:hAnsi="Arial" w:cs="Arial"/>
        </w:rPr>
      </w:pPr>
    </w:p>
    <w:p w14:paraId="776C72BA" w14:textId="77777777" w:rsidR="00BA59FA" w:rsidRPr="00E741C2" w:rsidRDefault="00BA59FA" w:rsidP="00631F21">
      <w:pPr>
        <w:spacing w:line="276" w:lineRule="auto"/>
        <w:jc w:val="both"/>
        <w:outlineLvl w:val="3"/>
        <w:rPr>
          <w:rFonts w:ascii="Arial" w:hAnsi="Arial" w:cs="Arial"/>
        </w:rPr>
      </w:pPr>
      <w:r w:rsidRPr="00E741C2">
        <w:rPr>
          <w:rFonts w:ascii="Arial" w:hAnsi="Arial" w:cs="Arial"/>
        </w:rPr>
        <w:t xml:space="preserve">BANCO MUNDIAL. </w:t>
      </w:r>
      <w:proofErr w:type="spellStart"/>
      <w:r w:rsidR="006F3B60">
        <w:rPr>
          <w:rFonts w:ascii="Arial" w:hAnsi="Arial" w:cs="Arial"/>
          <w:i/>
        </w:rPr>
        <w:t>Doing</w:t>
      </w:r>
      <w:proofErr w:type="spellEnd"/>
      <w:r w:rsidR="006F3B60">
        <w:rPr>
          <w:rFonts w:ascii="Arial" w:hAnsi="Arial" w:cs="Arial"/>
          <w:i/>
        </w:rPr>
        <w:t xml:space="preserve"> b</w:t>
      </w:r>
      <w:r w:rsidRPr="006F3B60">
        <w:rPr>
          <w:rFonts w:ascii="Arial" w:hAnsi="Arial" w:cs="Arial"/>
          <w:i/>
        </w:rPr>
        <w:t>usiness in 2007</w:t>
      </w:r>
      <w:r w:rsidRPr="006F3B60">
        <w:rPr>
          <w:rFonts w:ascii="Arial" w:hAnsi="Arial" w:cs="Arial"/>
        </w:rPr>
        <w:t xml:space="preserve">: </w:t>
      </w:r>
      <w:proofErr w:type="spellStart"/>
      <w:r w:rsidRPr="006F3B60">
        <w:rPr>
          <w:rFonts w:ascii="Arial" w:hAnsi="Arial" w:cs="Arial"/>
        </w:rPr>
        <w:t>creating</w:t>
      </w:r>
      <w:proofErr w:type="spellEnd"/>
      <w:r w:rsidRPr="006F3B60">
        <w:rPr>
          <w:rFonts w:ascii="Arial" w:hAnsi="Arial" w:cs="Arial"/>
        </w:rPr>
        <w:t xml:space="preserve"> </w:t>
      </w:r>
      <w:proofErr w:type="spellStart"/>
      <w:r w:rsidRPr="006F3B60">
        <w:rPr>
          <w:rFonts w:ascii="Arial" w:hAnsi="Arial" w:cs="Arial"/>
        </w:rPr>
        <w:t>jobs</w:t>
      </w:r>
      <w:proofErr w:type="spellEnd"/>
      <w:r w:rsidR="006F3B60">
        <w:rPr>
          <w:rFonts w:ascii="Arial" w:hAnsi="Arial" w:cs="Arial"/>
        </w:rPr>
        <w:t>. Washington: The Word Bank, 2007. Disponível em &lt;</w:t>
      </w:r>
      <w:r w:rsidR="006F3B60" w:rsidRPr="006F3B60">
        <w:t xml:space="preserve"> </w:t>
      </w:r>
      <w:r w:rsidR="006F3B60" w:rsidRPr="006F3B60">
        <w:rPr>
          <w:rFonts w:ascii="Arial" w:hAnsi="Arial" w:cs="Arial"/>
          <w:i/>
        </w:rPr>
        <w:t xml:space="preserve">http://portugues.doingbusiness.org/~/media/FPDKM/Doing%20Business/Documents/Annual-Reports/Foreign/DB07-FullReport-Portuguese.pdf </w:t>
      </w:r>
      <w:r w:rsidR="006F3B60">
        <w:rPr>
          <w:rFonts w:ascii="Arial" w:hAnsi="Arial" w:cs="Arial"/>
        </w:rPr>
        <w:t>&gt;. Acesso em 21/05/2014.</w:t>
      </w:r>
    </w:p>
    <w:p w14:paraId="167A2EE0" w14:textId="77777777" w:rsidR="00BA59FA" w:rsidRPr="00E741C2" w:rsidRDefault="00BA59FA" w:rsidP="004A687E">
      <w:pPr>
        <w:pStyle w:val="FootnoteText"/>
        <w:rPr>
          <w:rFonts w:ascii="Arial" w:hAnsi="Arial" w:cs="Arial"/>
          <w:sz w:val="24"/>
          <w:szCs w:val="24"/>
        </w:rPr>
      </w:pPr>
    </w:p>
    <w:p w14:paraId="68651107" w14:textId="77777777" w:rsidR="00BA59FA" w:rsidRPr="00E741C2" w:rsidRDefault="00BA59FA" w:rsidP="004A687E">
      <w:pPr>
        <w:pStyle w:val="FootnoteText"/>
        <w:rPr>
          <w:rFonts w:ascii="Arial" w:hAnsi="Arial" w:cs="Arial"/>
          <w:sz w:val="24"/>
          <w:szCs w:val="24"/>
        </w:rPr>
      </w:pPr>
      <w:r w:rsidRPr="00E741C2">
        <w:rPr>
          <w:rFonts w:ascii="Arial" w:hAnsi="Arial" w:cs="Arial"/>
          <w:sz w:val="24"/>
          <w:szCs w:val="24"/>
        </w:rPr>
        <w:t xml:space="preserve">BATISTA JUNIOR, Onofre Alves. </w:t>
      </w:r>
      <w:r w:rsidRPr="006F3B60">
        <w:rPr>
          <w:rFonts w:ascii="Arial" w:hAnsi="Arial" w:cs="Arial"/>
          <w:sz w:val="24"/>
          <w:szCs w:val="24"/>
        </w:rPr>
        <w:t>Por que a “guerra fiscal”? Os desafios da modernidade líquida.</w:t>
      </w:r>
      <w:r w:rsidRPr="00E741C2">
        <w:rPr>
          <w:rFonts w:ascii="Arial" w:hAnsi="Arial" w:cs="Arial"/>
          <w:b/>
          <w:sz w:val="24"/>
          <w:szCs w:val="24"/>
        </w:rPr>
        <w:t xml:space="preserve"> </w:t>
      </w:r>
      <w:r w:rsidRPr="006F3B60">
        <w:rPr>
          <w:rFonts w:ascii="Arial" w:hAnsi="Arial" w:cs="Arial"/>
          <w:i/>
          <w:sz w:val="24"/>
          <w:szCs w:val="24"/>
        </w:rPr>
        <w:t>Revista Brasileira de Estudos Políticos</w:t>
      </w:r>
      <w:r w:rsidR="006F3B60" w:rsidRPr="00E741C2">
        <w:rPr>
          <w:rFonts w:ascii="Arial" w:hAnsi="Arial" w:cs="Arial"/>
          <w:sz w:val="24"/>
          <w:szCs w:val="24"/>
        </w:rPr>
        <w:t>. Belo Horizonte</w:t>
      </w:r>
      <w:r w:rsidR="006F3B60">
        <w:rPr>
          <w:rFonts w:ascii="Arial" w:hAnsi="Arial" w:cs="Arial"/>
          <w:sz w:val="24"/>
          <w:szCs w:val="24"/>
        </w:rPr>
        <w:t xml:space="preserve">, n. 102, </w:t>
      </w:r>
      <w:r w:rsidRPr="00E741C2">
        <w:rPr>
          <w:rFonts w:ascii="Arial" w:hAnsi="Arial" w:cs="Arial"/>
          <w:sz w:val="24"/>
          <w:szCs w:val="24"/>
        </w:rPr>
        <w:t>p. 305-341</w:t>
      </w:r>
      <w:r w:rsidR="006F3B60">
        <w:rPr>
          <w:rFonts w:ascii="Arial" w:hAnsi="Arial" w:cs="Arial"/>
          <w:sz w:val="24"/>
          <w:szCs w:val="24"/>
        </w:rPr>
        <w:t>,</w:t>
      </w:r>
      <w:r w:rsidRPr="00E741C2">
        <w:rPr>
          <w:rFonts w:ascii="Arial" w:hAnsi="Arial" w:cs="Arial"/>
          <w:sz w:val="24"/>
          <w:szCs w:val="24"/>
        </w:rPr>
        <w:t xml:space="preserve"> </w:t>
      </w:r>
      <w:r w:rsidR="006F3B60">
        <w:rPr>
          <w:rFonts w:ascii="Arial" w:hAnsi="Arial" w:cs="Arial"/>
          <w:sz w:val="24"/>
          <w:szCs w:val="24"/>
        </w:rPr>
        <w:t>j</w:t>
      </w:r>
      <w:r w:rsidRPr="00E741C2">
        <w:rPr>
          <w:rFonts w:ascii="Arial" w:hAnsi="Arial" w:cs="Arial"/>
          <w:sz w:val="24"/>
          <w:szCs w:val="24"/>
        </w:rPr>
        <w:t>an./jun. 2011.</w:t>
      </w:r>
    </w:p>
    <w:p w14:paraId="084B2897" w14:textId="77777777" w:rsidR="0068064C" w:rsidRPr="00E741C2" w:rsidRDefault="0068064C" w:rsidP="004A687E">
      <w:pPr>
        <w:pStyle w:val="FootnoteText"/>
        <w:rPr>
          <w:rFonts w:ascii="Arial" w:hAnsi="Arial" w:cs="Arial"/>
          <w:sz w:val="24"/>
          <w:szCs w:val="24"/>
        </w:rPr>
      </w:pPr>
    </w:p>
    <w:p w14:paraId="4660E3AD" w14:textId="77777777" w:rsidR="0068064C" w:rsidRPr="00E741C2" w:rsidRDefault="0068064C" w:rsidP="004A687E">
      <w:pPr>
        <w:pStyle w:val="FootnoteText"/>
        <w:rPr>
          <w:rFonts w:ascii="Arial" w:hAnsi="Arial" w:cs="Arial"/>
          <w:sz w:val="24"/>
          <w:szCs w:val="24"/>
        </w:rPr>
      </w:pPr>
      <w:r w:rsidRPr="00E741C2">
        <w:rPr>
          <w:rFonts w:ascii="Arial" w:hAnsi="Arial" w:cs="Arial"/>
          <w:sz w:val="24"/>
          <w:szCs w:val="24"/>
        </w:rPr>
        <w:t xml:space="preserve">BORGES, José Souto Maior. Um ensaio interdisciplinar em Direito Tributário: superação da dogmática. </w:t>
      </w:r>
      <w:r w:rsidRPr="00E741C2">
        <w:rPr>
          <w:rFonts w:ascii="Arial" w:hAnsi="Arial" w:cs="Arial"/>
          <w:i/>
          <w:sz w:val="24"/>
          <w:szCs w:val="24"/>
        </w:rPr>
        <w:t>Revista Dialética de Direito Tributário</w:t>
      </w:r>
      <w:r w:rsidRPr="00E741C2">
        <w:rPr>
          <w:rFonts w:ascii="Arial" w:hAnsi="Arial" w:cs="Arial"/>
          <w:sz w:val="24"/>
          <w:szCs w:val="24"/>
        </w:rPr>
        <w:t xml:space="preserve">. São Paulo, n. </w:t>
      </w:r>
      <w:r w:rsidRPr="00E741C2">
        <w:rPr>
          <w:rFonts w:ascii="Arial" w:hAnsi="Arial" w:cs="Arial"/>
          <w:sz w:val="24"/>
          <w:szCs w:val="24"/>
        </w:rPr>
        <w:lastRenderedPageBreak/>
        <w:t xml:space="preserve">211, </w:t>
      </w:r>
      <w:r w:rsidR="00405FE2" w:rsidRPr="00E741C2">
        <w:rPr>
          <w:rFonts w:ascii="Arial" w:hAnsi="Arial" w:cs="Arial"/>
          <w:sz w:val="24"/>
          <w:szCs w:val="24"/>
        </w:rPr>
        <w:t xml:space="preserve">p. </w:t>
      </w:r>
      <w:r w:rsidR="00E741C2" w:rsidRPr="00E741C2">
        <w:rPr>
          <w:rFonts w:ascii="Arial" w:hAnsi="Arial" w:cs="Arial"/>
          <w:sz w:val="24"/>
          <w:szCs w:val="24"/>
        </w:rPr>
        <w:t>106-121</w:t>
      </w:r>
      <w:r w:rsidR="00405FE2" w:rsidRPr="00E741C2">
        <w:rPr>
          <w:rFonts w:ascii="Arial" w:hAnsi="Arial" w:cs="Arial"/>
          <w:sz w:val="24"/>
          <w:szCs w:val="24"/>
        </w:rPr>
        <w:t xml:space="preserve">, </w:t>
      </w:r>
      <w:r w:rsidRPr="00E741C2">
        <w:rPr>
          <w:rFonts w:ascii="Arial" w:hAnsi="Arial" w:cs="Arial"/>
          <w:sz w:val="24"/>
          <w:szCs w:val="24"/>
        </w:rPr>
        <w:t>abril/2013</w:t>
      </w:r>
      <w:r w:rsidR="00586D60" w:rsidRPr="00E741C2">
        <w:rPr>
          <w:rFonts w:ascii="Arial" w:hAnsi="Arial" w:cs="Arial"/>
          <w:sz w:val="24"/>
          <w:szCs w:val="24"/>
        </w:rPr>
        <w:t>.</w:t>
      </w:r>
    </w:p>
    <w:p w14:paraId="0E0B2DE1" w14:textId="77777777" w:rsidR="00586D60" w:rsidRPr="00E741C2" w:rsidRDefault="00586D60" w:rsidP="004A687E">
      <w:pPr>
        <w:pStyle w:val="FootnoteText"/>
        <w:rPr>
          <w:rFonts w:ascii="Arial" w:hAnsi="Arial" w:cs="Arial"/>
          <w:sz w:val="24"/>
          <w:szCs w:val="24"/>
        </w:rPr>
      </w:pPr>
    </w:p>
    <w:p w14:paraId="5DEBD5E5" w14:textId="77777777" w:rsidR="00586D60" w:rsidRDefault="00586D60" w:rsidP="004A687E">
      <w:pPr>
        <w:pStyle w:val="FootnoteText"/>
        <w:rPr>
          <w:rFonts w:ascii="Arial" w:hAnsi="Arial" w:cs="Arial"/>
          <w:sz w:val="24"/>
          <w:szCs w:val="24"/>
        </w:rPr>
      </w:pPr>
      <w:r w:rsidRPr="00E741C2">
        <w:rPr>
          <w:rFonts w:ascii="Arial" w:hAnsi="Arial" w:cs="Arial"/>
          <w:sz w:val="24"/>
          <w:szCs w:val="24"/>
        </w:rPr>
        <w:t xml:space="preserve">CARRAZZA, Roque Antonio. </w:t>
      </w:r>
      <w:r w:rsidRPr="006F3B60">
        <w:rPr>
          <w:rFonts w:ascii="Arial" w:hAnsi="Arial" w:cs="Arial"/>
          <w:sz w:val="24"/>
          <w:szCs w:val="24"/>
        </w:rPr>
        <w:t>ICMS</w:t>
      </w:r>
      <w:r w:rsidRPr="00E741C2">
        <w:rPr>
          <w:rFonts w:ascii="Arial" w:hAnsi="Arial" w:cs="Arial"/>
          <w:sz w:val="24"/>
          <w:szCs w:val="24"/>
        </w:rPr>
        <w:t>. 15. ed. São Paulo: Malheiros, 2011.</w:t>
      </w:r>
    </w:p>
    <w:p w14:paraId="3B79A522" w14:textId="77777777" w:rsidR="00256F2A" w:rsidRPr="00556A4F" w:rsidRDefault="00256F2A" w:rsidP="004A687E">
      <w:pPr>
        <w:pStyle w:val="FootnoteText"/>
        <w:rPr>
          <w:rFonts w:ascii="Arial" w:hAnsi="Arial" w:cs="Arial"/>
          <w:sz w:val="24"/>
          <w:szCs w:val="24"/>
        </w:rPr>
      </w:pPr>
    </w:p>
    <w:p w14:paraId="44C0D541" w14:textId="77777777" w:rsidR="00BA59FA" w:rsidRPr="00556A4F" w:rsidRDefault="00256F2A" w:rsidP="00556A4F">
      <w:pPr>
        <w:pStyle w:val="FootnoteText"/>
        <w:rPr>
          <w:rFonts w:ascii="Arial" w:hAnsi="Arial" w:cs="Arial"/>
          <w:sz w:val="24"/>
          <w:szCs w:val="24"/>
        </w:rPr>
      </w:pPr>
      <w:r w:rsidRPr="00556A4F">
        <w:rPr>
          <w:rFonts w:ascii="Arial" w:hAnsi="Arial" w:cs="Arial"/>
          <w:sz w:val="24"/>
          <w:szCs w:val="24"/>
        </w:rPr>
        <w:t xml:space="preserve">CZELUSNIAK, Vivian Amaro; RIBEIRO, Marcia Carla Pereira. Cooperação para a efetividade dos contratos de transferência de tecnologia: uma análise </w:t>
      </w:r>
      <w:proofErr w:type="spellStart"/>
      <w:r w:rsidRPr="00556A4F">
        <w:rPr>
          <w:rFonts w:ascii="Arial" w:hAnsi="Arial" w:cs="Arial"/>
          <w:sz w:val="24"/>
          <w:szCs w:val="24"/>
        </w:rPr>
        <w:t>juseconômica</w:t>
      </w:r>
      <w:proofErr w:type="spellEnd"/>
      <w:r w:rsidRPr="00556A4F">
        <w:rPr>
          <w:rFonts w:ascii="Arial" w:hAnsi="Arial" w:cs="Arial"/>
          <w:sz w:val="24"/>
          <w:szCs w:val="24"/>
        </w:rPr>
        <w:t xml:space="preserve">. </w:t>
      </w:r>
      <w:r w:rsidRPr="00556A4F">
        <w:rPr>
          <w:rFonts w:ascii="Arial" w:hAnsi="Arial" w:cs="Arial"/>
          <w:i/>
          <w:sz w:val="24"/>
          <w:szCs w:val="24"/>
        </w:rPr>
        <w:t xml:space="preserve">Economic Analysis of Law </w:t>
      </w:r>
      <w:proofErr w:type="spellStart"/>
      <w:r w:rsidRPr="00556A4F">
        <w:rPr>
          <w:rFonts w:ascii="Arial" w:hAnsi="Arial" w:cs="Arial"/>
          <w:i/>
          <w:sz w:val="24"/>
          <w:szCs w:val="24"/>
        </w:rPr>
        <w:t>Review</w:t>
      </w:r>
      <w:proofErr w:type="spellEnd"/>
      <w:r w:rsidRPr="00556A4F">
        <w:rPr>
          <w:rFonts w:ascii="Arial" w:hAnsi="Arial" w:cs="Arial"/>
          <w:sz w:val="24"/>
          <w:szCs w:val="24"/>
        </w:rPr>
        <w:t>. Brasília, vol. 4, n. 1, p. 21-34, jan</w:t>
      </w:r>
      <w:r w:rsidR="00AA3F4F">
        <w:rPr>
          <w:rFonts w:ascii="Arial" w:hAnsi="Arial" w:cs="Arial"/>
          <w:sz w:val="24"/>
          <w:szCs w:val="24"/>
        </w:rPr>
        <w:t>.</w:t>
      </w:r>
      <w:r w:rsidRPr="00556A4F">
        <w:rPr>
          <w:rFonts w:ascii="Arial" w:hAnsi="Arial" w:cs="Arial"/>
          <w:sz w:val="24"/>
          <w:szCs w:val="24"/>
        </w:rPr>
        <w:t>/jun. 2013.</w:t>
      </w:r>
    </w:p>
    <w:p w14:paraId="34C1F887" w14:textId="77777777" w:rsidR="00BA59FA" w:rsidRPr="00556A4F" w:rsidRDefault="00BA59FA" w:rsidP="00631F21">
      <w:pPr>
        <w:widowControl w:val="0"/>
        <w:autoSpaceDE w:val="0"/>
        <w:autoSpaceDN w:val="0"/>
        <w:adjustRightInd w:val="0"/>
        <w:spacing w:line="276" w:lineRule="auto"/>
        <w:jc w:val="both"/>
        <w:rPr>
          <w:rFonts w:ascii="Arial" w:hAnsi="Arial" w:cs="Arial"/>
          <w:lang w:val="en-US"/>
        </w:rPr>
      </w:pPr>
    </w:p>
    <w:p w14:paraId="10682BB0" w14:textId="77777777" w:rsidR="00144B18" w:rsidRPr="00556A4F" w:rsidRDefault="00895FC2" w:rsidP="00631F21">
      <w:pPr>
        <w:spacing w:line="276" w:lineRule="auto"/>
        <w:jc w:val="both"/>
        <w:outlineLvl w:val="3"/>
        <w:rPr>
          <w:rFonts w:ascii="Arial" w:hAnsi="Arial"/>
        </w:rPr>
      </w:pPr>
      <w:r>
        <w:rPr>
          <w:rFonts w:ascii="Arial" w:hAnsi="Arial"/>
        </w:rPr>
        <w:t xml:space="preserve">FIESP. </w:t>
      </w:r>
      <w:r w:rsidR="004E0A80" w:rsidRPr="00556A4F">
        <w:rPr>
          <w:rFonts w:ascii="Arial" w:hAnsi="Arial"/>
        </w:rPr>
        <w:t xml:space="preserve">Federação das Indústrias do Estado de São Paulo. </w:t>
      </w:r>
      <w:r w:rsidR="004E0A80" w:rsidRPr="00556A4F">
        <w:rPr>
          <w:rFonts w:ascii="Arial" w:hAnsi="Arial"/>
          <w:b/>
        </w:rPr>
        <w:t>Guerra fiscal do ICMS nas Importações</w:t>
      </w:r>
      <w:r w:rsidR="004E0A80" w:rsidRPr="00556A4F">
        <w:rPr>
          <w:rFonts w:ascii="Arial" w:hAnsi="Arial"/>
        </w:rPr>
        <w:t xml:space="preserve">: avaliação do </w:t>
      </w:r>
      <w:proofErr w:type="spellStart"/>
      <w:r w:rsidR="004E0A80" w:rsidRPr="00556A4F">
        <w:rPr>
          <w:rFonts w:ascii="Arial" w:hAnsi="Arial"/>
        </w:rPr>
        <w:t>Decomtec</w:t>
      </w:r>
      <w:proofErr w:type="spellEnd"/>
      <w:r w:rsidR="004E0A80" w:rsidRPr="00556A4F">
        <w:rPr>
          <w:rFonts w:ascii="Arial" w:hAnsi="Arial"/>
        </w:rPr>
        <w:t xml:space="preserve">. </w:t>
      </w:r>
      <w:r>
        <w:rPr>
          <w:rFonts w:ascii="Arial" w:hAnsi="Arial"/>
        </w:rPr>
        <w:t xml:space="preserve">São Paulo: FIESP, </w:t>
      </w:r>
      <w:r w:rsidR="004E0A80" w:rsidRPr="00556A4F">
        <w:rPr>
          <w:rFonts w:ascii="Arial" w:hAnsi="Arial"/>
        </w:rPr>
        <w:t>2011. Disponível em: &lt;http://www.fiesp.com.br/wp-content/uploads/2012/05/guerra-fiscal-de-icms-na-importação-decomtec-_auditado-pela-bdo_-e-custos-econômicos.pdf&gt;. Acesso em 04/07/201</w:t>
      </w:r>
      <w:r w:rsidR="00144B18">
        <w:rPr>
          <w:rFonts w:ascii="Arial" w:hAnsi="Arial"/>
        </w:rPr>
        <w:t>4</w:t>
      </w:r>
      <w:r w:rsidR="004E0A80" w:rsidRPr="00556A4F">
        <w:rPr>
          <w:rFonts w:ascii="Arial" w:hAnsi="Arial"/>
        </w:rPr>
        <w:t>.</w:t>
      </w:r>
    </w:p>
    <w:p w14:paraId="0760ADD9" w14:textId="77777777" w:rsidR="004E0A80" w:rsidRPr="00556A4F" w:rsidRDefault="004E0A80" w:rsidP="00631F21">
      <w:pPr>
        <w:spacing w:line="276" w:lineRule="auto"/>
        <w:jc w:val="both"/>
        <w:outlineLvl w:val="3"/>
        <w:rPr>
          <w:rFonts w:ascii="Arial" w:hAnsi="Arial" w:cs="Arial"/>
        </w:rPr>
      </w:pPr>
    </w:p>
    <w:p w14:paraId="22FA0612" w14:textId="77777777" w:rsidR="00BA59FA" w:rsidRPr="00556A4F" w:rsidRDefault="004759D3" w:rsidP="004759D3">
      <w:pPr>
        <w:spacing w:line="276" w:lineRule="auto"/>
        <w:jc w:val="both"/>
        <w:outlineLvl w:val="3"/>
        <w:rPr>
          <w:rFonts w:ascii="Arial" w:hAnsi="Arial" w:cs="Arial"/>
        </w:rPr>
      </w:pPr>
      <w:r w:rsidRPr="00556A4F">
        <w:rPr>
          <w:rFonts w:ascii="Arial" w:hAnsi="Arial" w:cs="Arial"/>
        </w:rPr>
        <w:t xml:space="preserve">GONÇALVES, Oksandro </w:t>
      </w:r>
      <w:proofErr w:type="spellStart"/>
      <w:r w:rsidRPr="00556A4F">
        <w:rPr>
          <w:rFonts w:ascii="Arial" w:hAnsi="Arial" w:cs="Arial"/>
        </w:rPr>
        <w:t>Osdival</w:t>
      </w:r>
      <w:proofErr w:type="spellEnd"/>
      <w:r w:rsidRPr="00556A4F">
        <w:rPr>
          <w:rFonts w:ascii="Arial" w:hAnsi="Arial" w:cs="Arial"/>
        </w:rPr>
        <w:t>; RIBEIRO, Marcelo Miranda.</w:t>
      </w:r>
      <w:r w:rsidR="00BA59FA" w:rsidRPr="00556A4F">
        <w:rPr>
          <w:rFonts w:ascii="Arial" w:hAnsi="Arial" w:cs="Arial"/>
        </w:rPr>
        <w:t xml:space="preserve"> Os incentivos fiscais sob a perspectiva da Análise Econômica do Direito. </w:t>
      </w:r>
      <w:r w:rsidRPr="00556A4F">
        <w:rPr>
          <w:rFonts w:ascii="Arial" w:hAnsi="Arial" w:cs="Arial"/>
          <w:i/>
        </w:rPr>
        <w:t xml:space="preserve">Economic Analysis of Law </w:t>
      </w:r>
      <w:proofErr w:type="spellStart"/>
      <w:r w:rsidRPr="00556A4F">
        <w:rPr>
          <w:rFonts w:ascii="Arial" w:hAnsi="Arial" w:cs="Arial"/>
          <w:i/>
        </w:rPr>
        <w:t>Review</w:t>
      </w:r>
      <w:proofErr w:type="spellEnd"/>
      <w:r w:rsidRPr="00556A4F">
        <w:rPr>
          <w:rFonts w:ascii="Arial" w:hAnsi="Arial" w:cs="Arial"/>
        </w:rPr>
        <w:t xml:space="preserve">. </w:t>
      </w:r>
      <w:r w:rsidR="00E72F04" w:rsidRPr="00556A4F">
        <w:rPr>
          <w:rFonts w:ascii="Arial" w:hAnsi="Arial" w:cs="Arial"/>
        </w:rPr>
        <w:t>Brasília, vol. 4,</w:t>
      </w:r>
      <w:r w:rsidRPr="00556A4F">
        <w:rPr>
          <w:rFonts w:ascii="Arial" w:hAnsi="Arial" w:cs="Arial"/>
        </w:rPr>
        <w:t xml:space="preserve"> n. 1,</w:t>
      </w:r>
      <w:r w:rsidR="00E72F04" w:rsidRPr="00556A4F">
        <w:rPr>
          <w:rFonts w:ascii="Arial" w:hAnsi="Arial" w:cs="Arial"/>
        </w:rPr>
        <w:t xml:space="preserve"> p. 79-102, jan</w:t>
      </w:r>
      <w:r w:rsidR="00AA3F4F">
        <w:rPr>
          <w:rFonts w:ascii="Arial" w:hAnsi="Arial" w:cs="Arial"/>
        </w:rPr>
        <w:t>.</w:t>
      </w:r>
      <w:r w:rsidR="00E72F04" w:rsidRPr="00556A4F">
        <w:rPr>
          <w:rFonts w:ascii="Arial" w:hAnsi="Arial" w:cs="Arial"/>
        </w:rPr>
        <w:t>/jun. 2013.</w:t>
      </w:r>
    </w:p>
    <w:p w14:paraId="6CC7A8C4" w14:textId="77777777" w:rsidR="004A687E" w:rsidRPr="00556A4F" w:rsidRDefault="004A687E" w:rsidP="004759D3">
      <w:pPr>
        <w:spacing w:line="276" w:lineRule="auto"/>
        <w:jc w:val="both"/>
        <w:outlineLvl w:val="3"/>
        <w:rPr>
          <w:rFonts w:ascii="Arial" w:hAnsi="Arial" w:cs="Arial"/>
        </w:rPr>
      </w:pPr>
    </w:p>
    <w:p w14:paraId="42A26B4D" w14:textId="77777777" w:rsidR="004A687E" w:rsidRPr="00556A4F" w:rsidRDefault="004A687E" w:rsidP="004759D3">
      <w:pPr>
        <w:spacing w:line="276" w:lineRule="auto"/>
        <w:jc w:val="both"/>
        <w:outlineLvl w:val="3"/>
        <w:rPr>
          <w:rFonts w:ascii="Arial" w:hAnsi="Arial" w:cs="Arial"/>
        </w:rPr>
      </w:pPr>
      <w:r w:rsidRPr="00556A4F">
        <w:rPr>
          <w:rFonts w:ascii="Arial" w:hAnsi="Arial" w:cs="Arial"/>
        </w:rPr>
        <w:t xml:space="preserve">LUHMANN, </w:t>
      </w:r>
      <w:proofErr w:type="spellStart"/>
      <w:r w:rsidRPr="00556A4F">
        <w:rPr>
          <w:rFonts w:ascii="Arial" w:hAnsi="Arial" w:cs="Arial"/>
        </w:rPr>
        <w:t>Niklas</w:t>
      </w:r>
      <w:proofErr w:type="spellEnd"/>
      <w:r w:rsidRPr="00556A4F">
        <w:rPr>
          <w:rFonts w:ascii="Arial" w:hAnsi="Arial" w:cs="Arial"/>
        </w:rPr>
        <w:t xml:space="preserve">. </w:t>
      </w:r>
      <w:proofErr w:type="spellStart"/>
      <w:r w:rsidRPr="00556A4F">
        <w:rPr>
          <w:rFonts w:ascii="Arial" w:hAnsi="Arial" w:cs="Arial"/>
          <w:i/>
          <w:iCs/>
          <w:lang w:val="es-ES_tradnl"/>
        </w:rPr>
        <w:t>Sociedade</w:t>
      </w:r>
      <w:proofErr w:type="spellEnd"/>
      <w:r w:rsidRPr="00556A4F">
        <w:rPr>
          <w:rFonts w:ascii="Arial" w:hAnsi="Arial" w:cs="Arial"/>
          <w:i/>
          <w:iCs/>
          <w:lang w:val="es-ES_tradnl"/>
        </w:rPr>
        <w:t xml:space="preserve"> y sistema</w:t>
      </w:r>
      <w:r w:rsidRPr="00895FC2">
        <w:rPr>
          <w:rFonts w:ascii="Arial" w:hAnsi="Arial" w:cs="Arial"/>
          <w:iCs/>
          <w:lang w:val="es-ES_tradnl"/>
        </w:rPr>
        <w:t>: la ambición de la teoría</w:t>
      </w:r>
      <w:r w:rsidRPr="00556A4F">
        <w:rPr>
          <w:rFonts w:ascii="Arial" w:hAnsi="Arial" w:cs="Arial"/>
          <w:lang w:val="es-ES_tradnl"/>
        </w:rPr>
        <w:t>.</w:t>
      </w:r>
      <w:r w:rsidR="00AA3F4F">
        <w:rPr>
          <w:rFonts w:ascii="Arial" w:hAnsi="Arial" w:cs="Arial"/>
          <w:lang w:val="en-US"/>
        </w:rPr>
        <w:t xml:space="preserve"> Barcelona: </w:t>
      </w:r>
      <w:proofErr w:type="spellStart"/>
      <w:r w:rsidR="00AA3F4F">
        <w:rPr>
          <w:rFonts w:ascii="Arial" w:hAnsi="Arial" w:cs="Arial"/>
          <w:lang w:val="en-US"/>
        </w:rPr>
        <w:t>Paidós</w:t>
      </w:r>
      <w:proofErr w:type="spellEnd"/>
      <w:r w:rsidR="00AA3F4F">
        <w:rPr>
          <w:rFonts w:ascii="Arial" w:hAnsi="Arial" w:cs="Arial"/>
          <w:lang w:val="en-US"/>
        </w:rPr>
        <w:t>, 1997</w:t>
      </w:r>
      <w:r w:rsidRPr="00556A4F">
        <w:rPr>
          <w:rFonts w:ascii="Arial" w:hAnsi="Arial" w:cs="Arial"/>
          <w:lang w:val="en-US"/>
        </w:rPr>
        <w:t>.</w:t>
      </w:r>
    </w:p>
    <w:p w14:paraId="6BFB4BCD" w14:textId="77777777" w:rsidR="004759D3" w:rsidRPr="00556A4F" w:rsidRDefault="004759D3" w:rsidP="004759D3">
      <w:pPr>
        <w:spacing w:line="276" w:lineRule="auto"/>
        <w:jc w:val="both"/>
        <w:outlineLvl w:val="3"/>
        <w:rPr>
          <w:rFonts w:ascii="Arial" w:hAnsi="Arial" w:cs="Arial"/>
        </w:rPr>
      </w:pPr>
    </w:p>
    <w:p w14:paraId="2297E7B8" w14:textId="77777777" w:rsidR="00BA59FA" w:rsidRPr="00556A4F" w:rsidRDefault="00405FE2" w:rsidP="00631F21">
      <w:pPr>
        <w:spacing w:line="276" w:lineRule="auto"/>
        <w:jc w:val="both"/>
        <w:rPr>
          <w:rFonts w:ascii="Arial" w:hAnsi="Arial" w:cs="Arial"/>
        </w:rPr>
      </w:pPr>
      <w:r w:rsidRPr="00556A4F">
        <w:rPr>
          <w:rFonts w:ascii="Arial" w:hAnsi="Arial" w:cs="Arial"/>
        </w:rPr>
        <w:t xml:space="preserve">MEDEIROS, </w:t>
      </w:r>
      <w:proofErr w:type="spellStart"/>
      <w:r w:rsidRPr="00556A4F">
        <w:rPr>
          <w:rFonts w:ascii="Arial" w:hAnsi="Arial" w:cs="Arial"/>
        </w:rPr>
        <w:t>Neuci</w:t>
      </w:r>
      <w:proofErr w:type="spellEnd"/>
      <w:r w:rsidRPr="00556A4F">
        <w:rPr>
          <w:rFonts w:ascii="Arial" w:hAnsi="Arial" w:cs="Arial"/>
        </w:rPr>
        <w:t xml:space="preserve"> Pimenta. Extrafiscalidade dos tributos como instrumento de intervenção do Estado na Economia. </w:t>
      </w:r>
      <w:proofErr w:type="spellStart"/>
      <w:r w:rsidRPr="00556A4F">
        <w:rPr>
          <w:rFonts w:ascii="Arial" w:hAnsi="Arial" w:cs="Arial"/>
          <w:i/>
        </w:rPr>
        <w:t>Diritto</w:t>
      </w:r>
      <w:proofErr w:type="spellEnd"/>
      <w:r w:rsidRPr="00556A4F">
        <w:rPr>
          <w:rFonts w:ascii="Arial" w:hAnsi="Arial" w:cs="Arial"/>
          <w:i/>
        </w:rPr>
        <w:t xml:space="preserve"> &amp; </w:t>
      </w:r>
      <w:proofErr w:type="spellStart"/>
      <w:r w:rsidRPr="00556A4F">
        <w:rPr>
          <w:rFonts w:ascii="Arial" w:hAnsi="Arial" w:cs="Arial"/>
          <w:i/>
        </w:rPr>
        <w:t>Diritti</w:t>
      </w:r>
      <w:proofErr w:type="spellEnd"/>
      <w:r w:rsidRPr="00556A4F">
        <w:rPr>
          <w:rFonts w:ascii="Arial" w:hAnsi="Arial" w:cs="Arial"/>
        </w:rPr>
        <w:t xml:space="preserve">. </w:t>
      </w:r>
      <w:proofErr w:type="spellStart"/>
      <w:r w:rsidRPr="00556A4F">
        <w:rPr>
          <w:rFonts w:ascii="Arial" w:hAnsi="Arial" w:cs="Arial"/>
        </w:rPr>
        <w:t>Italia</w:t>
      </w:r>
      <w:proofErr w:type="spellEnd"/>
      <w:r w:rsidRPr="00556A4F">
        <w:rPr>
          <w:rFonts w:ascii="Arial" w:hAnsi="Arial" w:cs="Arial"/>
        </w:rPr>
        <w:t xml:space="preserve">, </w:t>
      </w:r>
      <w:proofErr w:type="spellStart"/>
      <w:r w:rsidRPr="00556A4F">
        <w:rPr>
          <w:rFonts w:ascii="Arial" w:hAnsi="Arial" w:cs="Arial"/>
        </w:rPr>
        <w:t>nov</w:t>
      </w:r>
      <w:proofErr w:type="spellEnd"/>
      <w:r w:rsidRPr="00556A4F">
        <w:rPr>
          <w:rFonts w:ascii="Arial" w:hAnsi="Arial" w:cs="Arial"/>
        </w:rPr>
        <w:t xml:space="preserve">/2009, p. 6. Disponível em: </w:t>
      </w:r>
      <w:r w:rsidR="006A783A">
        <w:rPr>
          <w:rFonts w:ascii="Arial" w:hAnsi="Arial" w:cs="Arial"/>
        </w:rPr>
        <w:t>&lt;</w:t>
      </w:r>
      <w:r w:rsidRPr="006A783A">
        <w:rPr>
          <w:rFonts w:ascii="Arial" w:hAnsi="Arial" w:cs="Arial"/>
        </w:rPr>
        <w:t>http://www.diritto.it/art.php?file=/archivio/28508.html</w:t>
      </w:r>
      <w:r w:rsidR="006A783A">
        <w:rPr>
          <w:rFonts w:ascii="Arial" w:hAnsi="Arial" w:cs="Arial"/>
        </w:rPr>
        <w:t>&gt;</w:t>
      </w:r>
      <w:r w:rsidRPr="00556A4F">
        <w:rPr>
          <w:rFonts w:ascii="Arial" w:hAnsi="Arial" w:cs="Arial"/>
        </w:rPr>
        <w:t>. Acesso em 16/03/201</w:t>
      </w:r>
      <w:r w:rsidR="00144B18">
        <w:rPr>
          <w:rFonts w:ascii="Arial" w:hAnsi="Arial" w:cs="Arial"/>
        </w:rPr>
        <w:t>4</w:t>
      </w:r>
      <w:r w:rsidRPr="00556A4F">
        <w:rPr>
          <w:rFonts w:ascii="Arial" w:hAnsi="Arial" w:cs="Arial"/>
        </w:rPr>
        <w:t>.</w:t>
      </w:r>
    </w:p>
    <w:p w14:paraId="38A13537" w14:textId="77777777" w:rsidR="006F3B60" w:rsidRPr="00556A4F" w:rsidRDefault="006F3B60" w:rsidP="00631F21">
      <w:pPr>
        <w:spacing w:line="276" w:lineRule="auto"/>
        <w:jc w:val="both"/>
        <w:rPr>
          <w:rFonts w:ascii="Arial" w:hAnsi="Arial" w:cs="Arial"/>
        </w:rPr>
      </w:pPr>
    </w:p>
    <w:p w14:paraId="1B8361BD" w14:textId="77777777" w:rsidR="006F3B60" w:rsidRPr="00556A4F" w:rsidRDefault="006F3B60" w:rsidP="00631F21">
      <w:pPr>
        <w:spacing w:line="276" w:lineRule="auto"/>
        <w:jc w:val="both"/>
        <w:rPr>
          <w:rStyle w:val="Hyperlink"/>
          <w:rFonts w:ascii="Arial" w:hAnsi="Arial" w:cs="Arial"/>
          <w:color w:val="auto"/>
          <w:u w:val="none"/>
        </w:rPr>
      </w:pPr>
      <w:r w:rsidRPr="00556A4F">
        <w:rPr>
          <w:rFonts w:ascii="Arial" w:hAnsi="Arial" w:cs="Arial"/>
        </w:rPr>
        <w:t xml:space="preserve">MELO, José Eduardo Soares de. </w:t>
      </w:r>
      <w:r w:rsidRPr="00556A4F">
        <w:rPr>
          <w:rFonts w:ascii="Arial" w:hAnsi="Arial" w:cs="Arial"/>
          <w:i/>
        </w:rPr>
        <w:t>ICMS</w:t>
      </w:r>
      <w:r w:rsidRPr="00556A4F">
        <w:rPr>
          <w:rFonts w:ascii="Arial" w:hAnsi="Arial" w:cs="Arial"/>
        </w:rPr>
        <w:t>: teoria e prática. 12. ed. São Paulo: Dialética, 2012.</w:t>
      </w:r>
    </w:p>
    <w:p w14:paraId="1A495293" w14:textId="77777777" w:rsidR="00BA59FA" w:rsidRPr="00556A4F" w:rsidRDefault="00BA59FA" w:rsidP="00631F21">
      <w:pPr>
        <w:spacing w:line="276" w:lineRule="auto"/>
        <w:jc w:val="both"/>
        <w:outlineLvl w:val="3"/>
        <w:rPr>
          <w:rFonts w:ascii="Arial" w:hAnsi="Arial" w:cs="Arial"/>
        </w:rPr>
      </w:pPr>
    </w:p>
    <w:p w14:paraId="09F18CC0" w14:textId="77777777" w:rsidR="00BA59FA" w:rsidRPr="00556A4F" w:rsidRDefault="00BA59FA" w:rsidP="00631F21">
      <w:pPr>
        <w:spacing w:line="276" w:lineRule="auto"/>
        <w:jc w:val="both"/>
        <w:outlineLvl w:val="3"/>
        <w:rPr>
          <w:rFonts w:ascii="Arial" w:hAnsi="Arial" w:cs="Arial"/>
        </w:rPr>
      </w:pPr>
      <w:r w:rsidRPr="00556A4F">
        <w:rPr>
          <w:rFonts w:ascii="Arial" w:hAnsi="Arial" w:cs="Arial"/>
        </w:rPr>
        <w:t xml:space="preserve">NORTH, Douglas. </w:t>
      </w:r>
      <w:r w:rsidRPr="00144B18">
        <w:rPr>
          <w:rFonts w:ascii="Arial" w:hAnsi="Arial" w:cs="Arial"/>
          <w:i/>
        </w:rPr>
        <w:t xml:space="preserve">Economic performance </w:t>
      </w:r>
      <w:proofErr w:type="spellStart"/>
      <w:r w:rsidRPr="00144B18">
        <w:rPr>
          <w:rFonts w:ascii="Arial" w:hAnsi="Arial" w:cs="Arial"/>
          <w:i/>
        </w:rPr>
        <w:t>through</w:t>
      </w:r>
      <w:proofErr w:type="spellEnd"/>
      <w:r w:rsidRPr="00144B18">
        <w:rPr>
          <w:rFonts w:ascii="Arial" w:hAnsi="Arial" w:cs="Arial"/>
          <w:i/>
        </w:rPr>
        <w:t xml:space="preserve"> time</w:t>
      </w:r>
      <w:r w:rsidRPr="00556A4F">
        <w:rPr>
          <w:rFonts w:ascii="Arial" w:hAnsi="Arial" w:cs="Arial"/>
          <w:b/>
        </w:rPr>
        <w:t xml:space="preserve">. </w:t>
      </w:r>
      <w:r w:rsidRPr="00556A4F">
        <w:rPr>
          <w:rFonts w:ascii="Arial" w:hAnsi="Arial" w:cs="Arial"/>
        </w:rPr>
        <w:t>Disponível em: http://nobelprize.org/economics/laureates/1993/north-lecture.html. Acesso em 30/07/201</w:t>
      </w:r>
      <w:r w:rsidR="00144B18">
        <w:rPr>
          <w:rFonts w:ascii="Arial" w:hAnsi="Arial" w:cs="Arial"/>
        </w:rPr>
        <w:t>4</w:t>
      </w:r>
      <w:r w:rsidRPr="00556A4F">
        <w:rPr>
          <w:rFonts w:ascii="Arial" w:hAnsi="Arial" w:cs="Arial"/>
        </w:rPr>
        <w:t>.</w:t>
      </w:r>
    </w:p>
    <w:p w14:paraId="12B14FD6" w14:textId="77777777" w:rsidR="00BA59FA" w:rsidRPr="00556A4F" w:rsidRDefault="00BA59FA" w:rsidP="004A687E">
      <w:pPr>
        <w:pStyle w:val="FootnoteText"/>
        <w:rPr>
          <w:rFonts w:ascii="Arial" w:hAnsi="Arial" w:cs="Arial"/>
          <w:sz w:val="24"/>
          <w:szCs w:val="24"/>
        </w:rPr>
      </w:pPr>
    </w:p>
    <w:p w14:paraId="37506D0E" w14:textId="77777777" w:rsidR="004A687E" w:rsidRPr="00556A4F" w:rsidRDefault="004A687E" w:rsidP="004A687E">
      <w:pPr>
        <w:pStyle w:val="FootnoteText"/>
        <w:rPr>
          <w:rFonts w:ascii="Arial" w:hAnsi="Arial" w:cs="Arial"/>
          <w:sz w:val="24"/>
          <w:szCs w:val="24"/>
        </w:rPr>
      </w:pPr>
      <w:r w:rsidRPr="00556A4F">
        <w:rPr>
          <w:rFonts w:ascii="Arial" w:hAnsi="Arial" w:cs="Arial"/>
          <w:sz w:val="24"/>
          <w:szCs w:val="24"/>
        </w:rPr>
        <w:t xml:space="preserve">PRIGOGINE, Ilya; STENGERS, Isabelle. </w:t>
      </w:r>
      <w:r w:rsidRPr="00556A4F">
        <w:rPr>
          <w:rFonts w:ascii="Arial" w:hAnsi="Arial" w:cs="Arial"/>
          <w:i/>
          <w:sz w:val="24"/>
          <w:szCs w:val="24"/>
          <w:lang w:val="en-US"/>
        </w:rPr>
        <w:t>Order out of chaos</w:t>
      </w:r>
      <w:r w:rsidRPr="00556A4F">
        <w:rPr>
          <w:rFonts w:ascii="Arial" w:hAnsi="Arial" w:cs="Arial"/>
          <w:sz w:val="24"/>
          <w:szCs w:val="24"/>
        </w:rPr>
        <w:t xml:space="preserve">. New York: </w:t>
      </w:r>
      <w:proofErr w:type="spellStart"/>
      <w:r w:rsidRPr="00556A4F">
        <w:rPr>
          <w:rFonts w:ascii="Arial" w:hAnsi="Arial" w:cs="Arial"/>
          <w:sz w:val="24"/>
          <w:szCs w:val="24"/>
        </w:rPr>
        <w:t>Bantam</w:t>
      </w:r>
      <w:proofErr w:type="spellEnd"/>
      <w:r w:rsidRPr="00556A4F">
        <w:rPr>
          <w:rFonts w:ascii="Arial" w:hAnsi="Arial" w:cs="Arial"/>
          <w:sz w:val="24"/>
          <w:szCs w:val="24"/>
        </w:rPr>
        <w:t>, 1984.</w:t>
      </w:r>
    </w:p>
    <w:p w14:paraId="2374814A" w14:textId="77777777" w:rsidR="00BA59FA" w:rsidRPr="00556A4F" w:rsidRDefault="00BA59FA" w:rsidP="00631F21">
      <w:pPr>
        <w:spacing w:line="276" w:lineRule="auto"/>
        <w:jc w:val="both"/>
        <w:outlineLvl w:val="3"/>
        <w:rPr>
          <w:rFonts w:ascii="Arial" w:hAnsi="Arial" w:cs="Arial"/>
          <w:lang w:val="en-US"/>
        </w:rPr>
      </w:pPr>
    </w:p>
    <w:p w14:paraId="4790A722" w14:textId="77777777" w:rsidR="00BA59FA" w:rsidRPr="00556A4F" w:rsidRDefault="00D2733B" w:rsidP="00631F21">
      <w:pPr>
        <w:spacing w:line="276" w:lineRule="auto"/>
        <w:jc w:val="both"/>
        <w:outlineLvl w:val="3"/>
        <w:rPr>
          <w:rFonts w:ascii="Arial" w:hAnsi="Arial" w:cs="Arial"/>
        </w:rPr>
      </w:pPr>
      <w:r w:rsidRPr="00556A4F">
        <w:rPr>
          <w:rFonts w:ascii="Arial" w:hAnsi="Arial" w:cs="Arial"/>
        </w:rPr>
        <w:t>SIMONSE, Ricardo;</w:t>
      </w:r>
      <w:r w:rsidR="00BA59FA" w:rsidRPr="00556A4F">
        <w:rPr>
          <w:rFonts w:ascii="Arial" w:hAnsi="Arial" w:cs="Arial"/>
        </w:rPr>
        <w:t xml:space="preserve"> SÁ, Francisco Edu</w:t>
      </w:r>
      <w:r w:rsidRPr="00556A4F">
        <w:rPr>
          <w:rFonts w:ascii="Arial" w:hAnsi="Arial" w:cs="Arial"/>
        </w:rPr>
        <w:t>ardo Torres de;</w:t>
      </w:r>
      <w:r w:rsidR="00BA59FA" w:rsidRPr="00556A4F">
        <w:rPr>
          <w:rFonts w:ascii="Arial" w:hAnsi="Arial" w:cs="Arial"/>
        </w:rPr>
        <w:t xml:space="preserve"> BLUMENSCHEIN, Fernando Naves. </w:t>
      </w:r>
      <w:r w:rsidRPr="006A783A">
        <w:rPr>
          <w:rFonts w:ascii="Arial" w:hAnsi="Arial" w:cs="Arial"/>
          <w:bCs/>
          <w:i/>
        </w:rPr>
        <w:t>Impactos socioeconômicos da suspensão de incentivos fiscais</w:t>
      </w:r>
      <w:r w:rsidR="00BA59FA" w:rsidRPr="00556A4F">
        <w:rPr>
          <w:rFonts w:ascii="Arial" w:hAnsi="Arial" w:cs="Arial"/>
        </w:rPr>
        <w:t>.  Rio de Janeiro: Fundação Getúlio Vargas, 2011. Disponível em: &lt;</w:t>
      </w:r>
      <w:r w:rsidRPr="00556A4F">
        <w:rPr>
          <w:rFonts w:ascii="Arial" w:hAnsi="Arial" w:cs="Arial"/>
        </w:rPr>
        <w:t>http://www.adialbrasil.com.br/adial/anexo/documentos/Estudo_FGV_Incentivos_Fiscais.PDF</w:t>
      </w:r>
      <w:r w:rsidR="00BA59FA" w:rsidRPr="00556A4F">
        <w:rPr>
          <w:rFonts w:ascii="Arial" w:hAnsi="Arial" w:cs="Arial"/>
        </w:rPr>
        <w:t>&gt;. Acesso em: 04/07/201</w:t>
      </w:r>
      <w:r w:rsidR="00144B18">
        <w:rPr>
          <w:rFonts w:ascii="Arial" w:hAnsi="Arial" w:cs="Arial"/>
        </w:rPr>
        <w:t>4</w:t>
      </w:r>
      <w:r w:rsidR="00BA59FA" w:rsidRPr="00556A4F">
        <w:rPr>
          <w:rFonts w:ascii="Arial" w:hAnsi="Arial" w:cs="Arial"/>
        </w:rPr>
        <w:t>.</w:t>
      </w:r>
    </w:p>
    <w:p w14:paraId="1368A67C" w14:textId="77777777" w:rsidR="00556A4F" w:rsidRPr="00556A4F" w:rsidRDefault="00556A4F" w:rsidP="00631F21">
      <w:pPr>
        <w:spacing w:line="276" w:lineRule="auto"/>
        <w:jc w:val="both"/>
        <w:outlineLvl w:val="3"/>
        <w:rPr>
          <w:rFonts w:ascii="Arial" w:hAnsi="Arial" w:cs="Arial"/>
        </w:rPr>
      </w:pPr>
    </w:p>
    <w:p w14:paraId="30C7A270" w14:textId="77777777" w:rsidR="00556A4F" w:rsidRPr="00D2733B" w:rsidRDefault="00556A4F" w:rsidP="00631F21">
      <w:pPr>
        <w:spacing w:line="276" w:lineRule="auto"/>
        <w:jc w:val="both"/>
        <w:outlineLvl w:val="3"/>
        <w:rPr>
          <w:rFonts w:ascii="Arial" w:hAnsi="Arial" w:cs="Arial"/>
        </w:rPr>
      </w:pPr>
      <w:r w:rsidRPr="00556A4F">
        <w:rPr>
          <w:rFonts w:ascii="Arial" w:hAnsi="Arial" w:cs="Arial"/>
        </w:rPr>
        <w:lastRenderedPageBreak/>
        <w:t>STEINBRUCH, Fernando. YAZBEK, Cristiano Lisboa.  </w:t>
      </w:r>
      <w:r w:rsidRPr="006A783A">
        <w:rPr>
          <w:rFonts w:ascii="Arial" w:hAnsi="Arial" w:cs="Arial"/>
          <w:bCs/>
          <w:i/>
        </w:rPr>
        <w:t>Reflexos e paradigmas da guerra fiscal do ICMS</w:t>
      </w:r>
      <w:r w:rsidRPr="00556A4F">
        <w:rPr>
          <w:rFonts w:ascii="Arial" w:hAnsi="Arial" w:cs="Arial"/>
        </w:rPr>
        <w:t>. Curitiba: IBPT, 2012. Disponível em &lt;https://www.ibpt.org.br/img/uploads/novelty/estudo/62/GuerraFiscalNaoPrejudicouEstadosDizEstudoDoIBPT</w:t>
      </w:r>
      <w:r w:rsidRPr="004E0A80">
        <w:rPr>
          <w:rFonts w:ascii="Arial" w:hAnsi="Arial" w:cs="Arial"/>
        </w:rPr>
        <w:t>.pdf&gt;. Acesso em 04/07/201</w:t>
      </w:r>
      <w:r w:rsidR="00144B18">
        <w:rPr>
          <w:rFonts w:ascii="Arial" w:hAnsi="Arial" w:cs="Arial"/>
        </w:rPr>
        <w:t>4</w:t>
      </w:r>
      <w:r w:rsidRPr="004E0A80">
        <w:rPr>
          <w:rFonts w:ascii="Arial" w:hAnsi="Arial" w:cs="Arial"/>
        </w:rPr>
        <w:t>.</w:t>
      </w:r>
    </w:p>
    <w:sectPr w:rsidR="00556A4F" w:rsidRPr="00D2733B" w:rsidSect="00D54098">
      <w:footerReference w:type="default" r:id="rId9"/>
      <w:pgSz w:w="11900" w:h="16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4452E" w14:textId="77777777" w:rsidR="007172D0" w:rsidRDefault="007172D0" w:rsidP="006173BA">
      <w:r>
        <w:separator/>
      </w:r>
    </w:p>
  </w:endnote>
  <w:endnote w:type="continuationSeparator" w:id="0">
    <w:p w14:paraId="497F5E2D" w14:textId="77777777" w:rsidR="007172D0" w:rsidRDefault="007172D0" w:rsidP="00617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96021" w14:textId="77777777" w:rsidR="009E4EE3" w:rsidRPr="00113019" w:rsidRDefault="009E4EE3">
    <w:pPr>
      <w:pStyle w:val="Footer"/>
      <w:jc w:val="right"/>
      <w:rPr>
        <w:rFonts w:ascii="Arial" w:hAnsi="Arial"/>
      </w:rPr>
    </w:pPr>
    <w:r w:rsidRPr="00113019">
      <w:rPr>
        <w:rFonts w:ascii="Arial" w:hAnsi="Arial"/>
      </w:rPr>
      <w:fldChar w:fldCharType="begin"/>
    </w:r>
    <w:r w:rsidRPr="00113019">
      <w:rPr>
        <w:rFonts w:ascii="Arial" w:hAnsi="Arial"/>
      </w:rPr>
      <w:instrText>PAGE   \* MERGEFORMAT</w:instrText>
    </w:r>
    <w:r w:rsidRPr="00113019">
      <w:rPr>
        <w:rFonts w:ascii="Arial" w:hAnsi="Arial"/>
      </w:rPr>
      <w:fldChar w:fldCharType="separate"/>
    </w:r>
    <w:r w:rsidR="009106BA">
      <w:rPr>
        <w:rFonts w:ascii="Arial" w:hAnsi="Arial"/>
        <w:noProof/>
      </w:rPr>
      <w:t>14</w:t>
    </w:r>
    <w:r w:rsidRPr="00113019">
      <w:rPr>
        <w:rFonts w:ascii="Arial" w:hAnsi="Arial"/>
      </w:rPr>
      <w:fldChar w:fldCharType="end"/>
    </w:r>
  </w:p>
  <w:p w14:paraId="4959B006" w14:textId="77777777" w:rsidR="009E4EE3" w:rsidRDefault="009E4EE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AF6FC9" w14:textId="77777777" w:rsidR="007172D0" w:rsidRDefault="007172D0" w:rsidP="006173BA">
      <w:r>
        <w:separator/>
      </w:r>
    </w:p>
  </w:footnote>
  <w:footnote w:type="continuationSeparator" w:id="0">
    <w:p w14:paraId="1C83AC76" w14:textId="77777777" w:rsidR="007172D0" w:rsidRDefault="007172D0" w:rsidP="006173BA">
      <w:r>
        <w:continuationSeparator/>
      </w:r>
    </w:p>
  </w:footnote>
  <w:footnote w:id="1">
    <w:p w14:paraId="1B98C219" w14:textId="77777777" w:rsidR="009E4EE3" w:rsidRPr="00812BA1" w:rsidRDefault="009E4EE3" w:rsidP="004A687E">
      <w:pPr>
        <w:pStyle w:val="FootnoteText"/>
        <w:rPr>
          <w:rFonts w:ascii="Arial" w:hAnsi="Arial"/>
        </w:rPr>
      </w:pPr>
      <w:r w:rsidRPr="00812BA1">
        <w:rPr>
          <w:rStyle w:val="FootnoteReference"/>
          <w:rFonts w:ascii="Arial" w:hAnsi="Arial"/>
        </w:rPr>
        <w:footnoteRef/>
      </w:r>
      <w:r w:rsidRPr="00812BA1">
        <w:rPr>
          <w:rFonts w:ascii="Arial" w:hAnsi="Arial"/>
        </w:rPr>
        <w:t xml:space="preserve"> NORTH, Douglas. </w:t>
      </w:r>
      <w:r w:rsidRPr="00812BA1">
        <w:rPr>
          <w:rFonts w:ascii="Arial" w:hAnsi="Arial"/>
          <w:b/>
        </w:rPr>
        <w:t xml:space="preserve">Economic performance </w:t>
      </w:r>
      <w:proofErr w:type="spellStart"/>
      <w:r w:rsidRPr="00812BA1">
        <w:rPr>
          <w:rFonts w:ascii="Arial" w:hAnsi="Arial"/>
          <w:b/>
        </w:rPr>
        <w:t>through</w:t>
      </w:r>
      <w:proofErr w:type="spellEnd"/>
      <w:r w:rsidRPr="00812BA1">
        <w:rPr>
          <w:rFonts w:ascii="Arial" w:hAnsi="Arial"/>
          <w:b/>
        </w:rPr>
        <w:t xml:space="preserve"> time. </w:t>
      </w:r>
      <w:r w:rsidRPr="00812BA1">
        <w:rPr>
          <w:rFonts w:ascii="Arial" w:hAnsi="Arial"/>
        </w:rPr>
        <w:t>Disponível em: http://nobelprize.org/economics/laureates/1993/north-lecture.html. Acesso em 30/07/2013.</w:t>
      </w:r>
    </w:p>
  </w:footnote>
  <w:footnote w:id="2">
    <w:p w14:paraId="4E5AFF70" w14:textId="77777777" w:rsidR="009E4EE3" w:rsidRPr="00812BA1" w:rsidRDefault="009E4EE3" w:rsidP="00474402">
      <w:pPr>
        <w:pStyle w:val="FootnoteText"/>
        <w:rPr>
          <w:rFonts w:ascii="Arial" w:hAnsi="Arial"/>
        </w:rPr>
      </w:pPr>
      <w:r w:rsidRPr="00812BA1">
        <w:rPr>
          <w:rStyle w:val="FootnoteReference"/>
          <w:rFonts w:ascii="Arial" w:hAnsi="Arial"/>
        </w:rPr>
        <w:footnoteRef/>
      </w:r>
      <w:r w:rsidRPr="00812BA1">
        <w:rPr>
          <w:rFonts w:ascii="Arial" w:hAnsi="Arial"/>
        </w:rPr>
        <w:t xml:space="preserve"> Disponível em: </w:t>
      </w:r>
      <w:hyperlink r:id="rId1" w:history="1">
        <w:r w:rsidRPr="00812BA1">
          <w:rPr>
            <w:rStyle w:val="Hyperlink"/>
            <w:rFonts w:ascii="Arial" w:hAnsi="Arial"/>
          </w:rPr>
          <w:t>http://saladeimprensa.ibge.gov.br/noticias?view=noticia&amp;id=1&amp;idnoticia=2265&amp;busca=1&amp;t=regiao-norte-aumenta-participacao-pib-nacional</w:t>
        </w:r>
      </w:hyperlink>
      <w:r w:rsidRPr="00812BA1">
        <w:rPr>
          <w:rFonts w:ascii="Arial" w:hAnsi="Arial"/>
        </w:rPr>
        <w:t>. Acesso em 20/07/2013.</w:t>
      </w:r>
    </w:p>
    <w:p w14:paraId="14065B09" w14:textId="77777777" w:rsidR="009E4EE3" w:rsidRPr="00812BA1" w:rsidRDefault="009E4EE3" w:rsidP="00474402">
      <w:pPr>
        <w:pStyle w:val="FootnoteText"/>
        <w:rPr>
          <w:rFonts w:ascii="Arial" w:hAnsi="Arial"/>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DE890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592198"/>
    <w:multiLevelType w:val="multilevel"/>
    <w:tmpl w:val="ADE6E78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71701CB3"/>
    <w:multiLevelType w:val="hybridMultilevel"/>
    <w:tmpl w:val="B53E8328"/>
    <w:lvl w:ilvl="0" w:tplc="0BEEF872">
      <w:start w:val="1"/>
      <w:numFmt w:val="lowerLetter"/>
      <w:lvlText w:val="%1)"/>
      <w:lvlJc w:val="left"/>
      <w:pPr>
        <w:ind w:left="1951" w:hanging="110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7DA029B1"/>
    <w:multiLevelType w:val="hybridMultilevel"/>
    <w:tmpl w:val="F75AF2AA"/>
    <w:lvl w:ilvl="0" w:tplc="97CAB33E">
      <w:start w:val="1"/>
      <w:numFmt w:val="lowerLetter"/>
      <w:lvlText w:val="%1)"/>
      <w:lvlJc w:val="left"/>
      <w:pPr>
        <w:ind w:left="2539" w:hanging="1120"/>
      </w:pPr>
      <w:rPr>
        <w:rFonts w:hint="default"/>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4">
    <w:nsid w:val="7ED50B80"/>
    <w:multiLevelType w:val="hybridMultilevel"/>
    <w:tmpl w:val="CB96E07E"/>
    <w:lvl w:ilvl="0" w:tplc="C5469042">
      <w:start w:val="4"/>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F0D"/>
    <w:rsid w:val="00003AEF"/>
    <w:rsid w:val="00004677"/>
    <w:rsid w:val="00020362"/>
    <w:rsid w:val="000305F6"/>
    <w:rsid w:val="00041966"/>
    <w:rsid w:val="000422C3"/>
    <w:rsid w:val="00045267"/>
    <w:rsid w:val="00056EB6"/>
    <w:rsid w:val="0006004B"/>
    <w:rsid w:val="000609E2"/>
    <w:rsid w:val="00061CC1"/>
    <w:rsid w:val="00065270"/>
    <w:rsid w:val="00066B04"/>
    <w:rsid w:val="00075B99"/>
    <w:rsid w:val="00083A3C"/>
    <w:rsid w:val="000841E8"/>
    <w:rsid w:val="00087888"/>
    <w:rsid w:val="000A09F6"/>
    <w:rsid w:val="000A2F88"/>
    <w:rsid w:val="000B1B46"/>
    <w:rsid w:val="000B4D52"/>
    <w:rsid w:val="000B7D8F"/>
    <w:rsid w:val="000D1C1A"/>
    <w:rsid w:val="000D3E48"/>
    <w:rsid w:val="000D562E"/>
    <w:rsid w:val="000E250C"/>
    <w:rsid w:val="00102312"/>
    <w:rsid w:val="00103094"/>
    <w:rsid w:val="001106DE"/>
    <w:rsid w:val="00113019"/>
    <w:rsid w:val="00117FA9"/>
    <w:rsid w:val="00122B75"/>
    <w:rsid w:val="0012481C"/>
    <w:rsid w:val="00126958"/>
    <w:rsid w:val="001279B9"/>
    <w:rsid w:val="00131E81"/>
    <w:rsid w:val="00134D2C"/>
    <w:rsid w:val="00137E77"/>
    <w:rsid w:val="00140E91"/>
    <w:rsid w:val="00144B18"/>
    <w:rsid w:val="00146EB8"/>
    <w:rsid w:val="0015186A"/>
    <w:rsid w:val="00166023"/>
    <w:rsid w:val="00173988"/>
    <w:rsid w:val="0017559E"/>
    <w:rsid w:val="001816E0"/>
    <w:rsid w:val="00182A64"/>
    <w:rsid w:val="0019074E"/>
    <w:rsid w:val="00190954"/>
    <w:rsid w:val="001B34C7"/>
    <w:rsid w:val="001B6F8C"/>
    <w:rsid w:val="001D7508"/>
    <w:rsid w:val="001E1136"/>
    <w:rsid w:val="001E18D2"/>
    <w:rsid w:val="001F1474"/>
    <w:rsid w:val="001F209B"/>
    <w:rsid w:val="001F7DFC"/>
    <w:rsid w:val="00206A04"/>
    <w:rsid w:val="00211294"/>
    <w:rsid w:val="0021382A"/>
    <w:rsid w:val="002141C7"/>
    <w:rsid w:val="0021525C"/>
    <w:rsid w:val="00231E41"/>
    <w:rsid w:val="002375C1"/>
    <w:rsid w:val="00237DEA"/>
    <w:rsid w:val="002510A1"/>
    <w:rsid w:val="00252842"/>
    <w:rsid w:val="0025452A"/>
    <w:rsid w:val="0025679C"/>
    <w:rsid w:val="00256F2A"/>
    <w:rsid w:val="00261578"/>
    <w:rsid w:val="00273590"/>
    <w:rsid w:val="00275D81"/>
    <w:rsid w:val="002760DC"/>
    <w:rsid w:val="00286CC1"/>
    <w:rsid w:val="00292E61"/>
    <w:rsid w:val="00296847"/>
    <w:rsid w:val="002970C8"/>
    <w:rsid w:val="0029728A"/>
    <w:rsid w:val="002A10B7"/>
    <w:rsid w:val="002A1B0E"/>
    <w:rsid w:val="002A54EC"/>
    <w:rsid w:val="002B0C6F"/>
    <w:rsid w:val="002B3729"/>
    <w:rsid w:val="002B52B9"/>
    <w:rsid w:val="002B77D0"/>
    <w:rsid w:val="002C36CC"/>
    <w:rsid w:val="002C3DC9"/>
    <w:rsid w:val="002C4427"/>
    <w:rsid w:val="002C67DC"/>
    <w:rsid w:val="002E0884"/>
    <w:rsid w:val="002E22C6"/>
    <w:rsid w:val="002E4F2D"/>
    <w:rsid w:val="002F168E"/>
    <w:rsid w:val="002F45F3"/>
    <w:rsid w:val="0030331E"/>
    <w:rsid w:val="00304083"/>
    <w:rsid w:val="0030672B"/>
    <w:rsid w:val="003149D9"/>
    <w:rsid w:val="00315D1A"/>
    <w:rsid w:val="003210E2"/>
    <w:rsid w:val="00326A54"/>
    <w:rsid w:val="00336DA1"/>
    <w:rsid w:val="003379EB"/>
    <w:rsid w:val="00337C4A"/>
    <w:rsid w:val="003423BA"/>
    <w:rsid w:val="00346F75"/>
    <w:rsid w:val="00354673"/>
    <w:rsid w:val="003641DF"/>
    <w:rsid w:val="00371FF6"/>
    <w:rsid w:val="00384BC7"/>
    <w:rsid w:val="00385DF2"/>
    <w:rsid w:val="0038610D"/>
    <w:rsid w:val="003A3BB9"/>
    <w:rsid w:val="003A70FA"/>
    <w:rsid w:val="003B395A"/>
    <w:rsid w:val="003C43B7"/>
    <w:rsid w:val="003D0772"/>
    <w:rsid w:val="003D2F86"/>
    <w:rsid w:val="003D353A"/>
    <w:rsid w:val="003D5685"/>
    <w:rsid w:val="003E0AA0"/>
    <w:rsid w:val="003E2319"/>
    <w:rsid w:val="003E24E3"/>
    <w:rsid w:val="003E42C1"/>
    <w:rsid w:val="003F157D"/>
    <w:rsid w:val="003F4C55"/>
    <w:rsid w:val="003F63DC"/>
    <w:rsid w:val="003F68C2"/>
    <w:rsid w:val="003F721C"/>
    <w:rsid w:val="00405FE2"/>
    <w:rsid w:val="004148A2"/>
    <w:rsid w:val="00417567"/>
    <w:rsid w:val="004209BF"/>
    <w:rsid w:val="004210DB"/>
    <w:rsid w:val="00424FEA"/>
    <w:rsid w:val="00434A93"/>
    <w:rsid w:val="004378BC"/>
    <w:rsid w:val="00442407"/>
    <w:rsid w:val="004552A9"/>
    <w:rsid w:val="00461CC9"/>
    <w:rsid w:val="00474402"/>
    <w:rsid w:val="004759D3"/>
    <w:rsid w:val="004A2D78"/>
    <w:rsid w:val="004A687E"/>
    <w:rsid w:val="004A70E1"/>
    <w:rsid w:val="004B1F83"/>
    <w:rsid w:val="004B6AF5"/>
    <w:rsid w:val="004B7173"/>
    <w:rsid w:val="004C4985"/>
    <w:rsid w:val="004D7EC1"/>
    <w:rsid w:val="004E0A80"/>
    <w:rsid w:val="004E27B5"/>
    <w:rsid w:val="004E47E8"/>
    <w:rsid w:val="004E4D8F"/>
    <w:rsid w:val="004F1F03"/>
    <w:rsid w:val="004F643D"/>
    <w:rsid w:val="004F7D58"/>
    <w:rsid w:val="005014EC"/>
    <w:rsid w:val="005110A8"/>
    <w:rsid w:val="00516E3B"/>
    <w:rsid w:val="005310F0"/>
    <w:rsid w:val="0053244B"/>
    <w:rsid w:val="005326DD"/>
    <w:rsid w:val="00534B32"/>
    <w:rsid w:val="00540400"/>
    <w:rsid w:val="00542370"/>
    <w:rsid w:val="00542B2D"/>
    <w:rsid w:val="00543A7D"/>
    <w:rsid w:val="005459F8"/>
    <w:rsid w:val="00546BD6"/>
    <w:rsid w:val="00551120"/>
    <w:rsid w:val="00556A4F"/>
    <w:rsid w:val="005641F3"/>
    <w:rsid w:val="00570F66"/>
    <w:rsid w:val="00575F73"/>
    <w:rsid w:val="00581A55"/>
    <w:rsid w:val="00586D60"/>
    <w:rsid w:val="005959F0"/>
    <w:rsid w:val="005A014D"/>
    <w:rsid w:val="005B03BA"/>
    <w:rsid w:val="005C1D9A"/>
    <w:rsid w:val="005D0847"/>
    <w:rsid w:val="005E09D5"/>
    <w:rsid w:val="005E460C"/>
    <w:rsid w:val="005E5C1E"/>
    <w:rsid w:val="005E732C"/>
    <w:rsid w:val="005F3564"/>
    <w:rsid w:val="005F54EC"/>
    <w:rsid w:val="00600707"/>
    <w:rsid w:val="006043EA"/>
    <w:rsid w:val="006045C0"/>
    <w:rsid w:val="006122D4"/>
    <w:rsid w:val="00615017"/>
    <w:rsid w:val="006173BA"/>
    <w:rsid w:val="00620178"/>
    <w:rsid w:val="006221BD"/>
    <w:rsid w:val="00623893"/>
    <w:rsid w:val="00626B3C"/>
    <w:rsid w:val="00631F21"/>
    <w:rsid w:val="0063626A"/>
    <w:rsid w:val="00636D46"/>
    <w:rsid w:val="0064231C"/>
    <w:rsid w:val="006438B4"/>
    <w:rsid w:val="006444C2"/>
    <w:rsid w:val="00644BD8"/>
    <w:rsid w:val="00664EC5"/>
    <w:rsid w:val="006679A8"/>
    <w:rsid w:val="006716F1"/>
    <w:rsid w:val="006718FC"/>
    <w:rsid w:val="006723C8"/>
    <w:rsid w:val="0068064C"/>
    <w:rsid w:val="00681A78"/>
    <w:rsid w:val="00692E15"/>
    <w:rsid w:val="006A65C8"/>
    <w:rsid w:val="006A783A"/>
    <w:rsid w:val="006B3DE2"/>
    <w:rsid w:val="006C2414"/>
    <w:rsid w:val="006C2D3C"/>
    <w:rsid w:val="006C755B"/>
    <w:rsid w:val="006D2D41"/>
    <w:rsid w:val="006D5294"/>
    <w:rsid w:val="006D5864"/>
    <w:rsid w:val="006E2BD1"/>
    <w:rsid w:val="006F3B60"/>
    <w:rsid w:val="00706E96"/>
    <w:rsid w:val="007116DC"/>
    <w:rsid w:val="00711C5B"/>
    <w:rsid w:val="007172D0"/>
    <w:rsid w:val="00722256"/>
    <w:rsid w:val="00724841"/>
    <w:rsid w:val="00724BAE"/>
    <w:rsid w:val="007264D7"/>
    <w:rsid w:val="00743597"/>
    <w:rsid w:val="0076044B"/>
    <w:rsid w:val="007639BD"/>
    <w:rsid w:val="00781E79"/>
    <w:rsid w:val="00781EA7"/>
    <w:rsid w:val="00781F9E"/>
    <w:rsid w:val="00785593"/>
    <w:rsid w:val="007A081F"/>
    <w:rsid w:val="007A0E9E"/>
    <w:rsid w:val="007A3299"/>
    <w:rsid w:val="007B4E13"/>
    <w:rsid w:val="007B5DB9"/>
    <w:rsid w:val="007C2D73"/>
    <w:rsid w:val="007D619F"/>
    <w:rsid w:val="007D7F7B"/>
    <w:rsid w:val="007E34A5"/>
    <w:rsid w:val="007F7345"/>
    <w:rsid w:val="007F752B"/>
    <w:rsid w:val="008031C1"/>
    <w:rsid w:val="00812871"/>
    <w:rsid w:val="00812BA1"/>
    <w:rsid w:val="008150FA"/>
    <w:rsid w:val="00826C77"/>
    <w:rsid w:val="00832F6A"/>
    <w:rsid w:val="00840139"/>
    <w:rsid w:val="008418C7"/>
    <w:rsid w:val="0084577A"/>
    <w:rsid w:val="008600C2"/>
    <w:rsid w:val="00860DCD"/>
    <w:rsid w:val="008713C9"/>
    <w:rsid w:val="008779CD"/>
    <w:rsid w:val="00895831"/>
    <w:rsid w:val="00895FC2"/>
    <w:rsid w:val="008A79CD"/>
    <w:rsid w:val="008B4CBA"/>
    <w:rsid w:val="008C0120"/>
    <w:rsid w:val="008C0C8D"/>
    <w:rsid w:val="008C577C"/>
    <w:rsid w:val="008C6FEF"/>
    <w:rsid w:val="008D62AA"/>
    <w:rsid w:val="008D716D"/>
    <w:rsid w:val="008E1073"/>
    <w:rsid w:val="008E1A51"/>
    <w:rsid w:val="008F7AB5"/>
    <w:rsid w:val="00901AF8"/>
    <w:rsid w:val="009106BA"/>
    <w:rsid w:val="009117D0"/>
    <w:rsid w:val="00911F1C"/>
    <w:rsid w:val="009174FF"/>
    <w:rsid w:val="00920C38"/>
    <w:rsid w:val="009355B6"/>
    <w:rsid w:val="00937849"/>
    <w:rsid w:val="0094752F"/>
    <w:rsid w:val="00947BEC"/>
    <w:rsid w:val="00954417"/>
    <w:rsid w:val="00967361"/>
    <w:rsid w:val="00973C41"/>
    <w:rsid w:val="00973CF5"/>
    <w:rsid w:val="00976C13"/>
    <w:rsid w:val="00993048"/>
    <w:rsid w:val="00995063"/>
    <w:rsid w:val="009B16D3"/>
    <w:rsid w:val="009C3054"/>
    <w:rsid w:val="009D0183"/>
    <w:rsid w:val="009D03C4"/>
    <w:rsid w:val="009D1DAC"/>
    <w:rsid w:val="009D3FF0"/>
    <w:rsid w:val="009D4277"/>
    <w:rsid w:val="009D5205"/>
    <w:rsid w:val="009E4EE3"/>
    <w:rsid w:val="009F248C"/>
    <w:rsid w:val="00A05F1F"/>
    <w:rsid w:val="00A1083F"/>
    <w:rsid w:val="00A2063F"/>
    <w:rsid w:val="00A209F2"/>
    <w:rsid w:val="00A25206"/>
    <w:rsid w:val="00A26B53"/>
    <w:rsid w:val="00A36CF7"/>
    <w:rsid w:val="00A55B81"/>
    <w:rsid w:val="00A61B90"/>
    <w:rsid w:val="00A63AA9"/>
    <w:rsid w:val="00A71F0D"/>
    <w:rsid w:val="00A91C1F"/>
    <w:rsid w:val="00A94C5B"/>
    <w:rsid w:val="00A97A3B"/>
    <w:rsid w:val="00AA0949"/>
    <w:rsid w:val="00AA3F4F"/>
    <w:rsid w:val="00AB4D3F"/>
    <w:rsid w:val="00AB5D62"/>
    <w:rsid w:val="00AC210C"/>
    <w:rsid w:val="00AC515A"/>
    <w:rsid w:val="00AD1F24"/>
    <w:rsid w:val="00AF1E62"/>
    <w:rsid w:val="00AF6461"/>
    <w:rsid w:val="00B10424"/>
    <w:rsid w:val="00B10534"/>
    <w:rsid w:val="00B14CB7"/>
    <w:rsid w:val="00B15550"/>
    <w:rsid w:val="00B15F67"/>
    <w:rsid w:val="00B22E7D"/>
    <w:rsid w:val="00B25396"/>
    <w:rsid w:val="00B31248"/>
    <w:rsid w:val="00B53FF9"/>
    <w:rsid w:val="00B54582"/>
    <w:rsid w:val="00B55538"/>
    <w:rsid w:val="00B662FE"/>
    <w:rsid w:val="00B70C38"/>
    <w:rsid w:val="00B73189"/>
    <w:rsid w:val="00B77E36"/>
    <w:rsid w:val="00B81B52"/>
    <w:rsid w:val="00B85CB5"/>
    <w:rsid w:val="00BA59FA"/>
    <w:rsid w:val="00BB2E24"/>
    <w:rsid w:val="00BC6080"/>
    <w:rsid w:val="00BD40DD"/>
    <w:rsid w:val="00BD499C"/>
    <w:rsid w:val="00BD62E9"/>
    <w:rsid w:val="00BD74FF"/>
    <w:rsid w:val="00BD7B41"/>
    <w:rsid w:val="00BE3E17"/>
    <w:rsid w:val="00C074E1"/>
    <w:rsid w:val="00C36FC0"/>
    <w:rsid w:val="00C43B1B"/>
    <w:rsid w:val="00C52095"/>
    <w:rsid w:val="00C5727A"/>
    <w:rsid w:val="00C63E19"/>
    <w:rsid w:val="00C67475"/>
    <w:rsid w:val="00C75E84"/>
    <w:rsid w:val="00C77031"/>
    <w:rsid w:val="00C825AC"/>
    <w:rsid w:val="00C85F23"/>
    <w:rsid w:val="00CA0866"/>
    <w:rsid w:val="00CA7D45"/>
    <w:rsid w:val="00CC70D4"/>
    <w:rsid w:val="00CD6B1B"/>
    <w:rsid w:val="00CE002D"/>
    <w:rsid w:val="00CE2A11"/>
    <w:rsid w:val="00CE36E9"/>
    <w:rsid w:val="00CE79B5"/>
    <w:rsid w:val="00CF665D"/>
    <w:rsid w:val="00CF710B"/>
    <w:rsid w:val="00D0041E"/>
    <w:rsid w:val="00D02A3A"/>
    <w:rsid w:val="00D066CD"/>
    <w:rsid w:val="00D10B5B"/>
    <w:rsid w:val="00D133F8"/>
    <w:rsid w:val="00D238F8"/>
    <w:rsid w:val="00D2733B"/>
    <w:rsid w:val="00D27EC0"/>
    <w:rsid w:val="00D3552C"/>
    <w:rsid w:val="00D47D3B"/>
    <w:rsid w:val="00D54098"/>
    <w:rsid w:val="00D55608"/>
    <w:rsid w:val="00D558A0"/>
    <w:rsid w:val="00D56A85"/>
    <w:rsid w:val="00D64304"/>
    <w:rsid w:val="00D65C86"/>
    <w:rsid w:val="00D705BC"/>
    <w:rsid w:val="00D7120C"/>
    <w:rsid w:val="00D72F24"/>
    <w:rsid w:val="00DB244F"/>
    <w:rsid w:val="00DB5C7E"/>
    <w:rsid w:val="00DD2ACC"/>
    <w:rsid w:val="00DD727C"/>
    <w:rsid w:val="00DE0DB5"/>
    <w:rsid w:val="00DE2BD2"/>
    <w:rsid w:val="00DE35A7"/>
    <w:rsid w:val="00DE43E5"/>
    <w:rsid w:val="00DE6A63"/>
    <w:rsid w:val="00DE7B74"/>
    <w:rsid w:val="00DF2482"/>
    <w:rsid w:val="00DF7B37"/>
    <w:rsid w:val="00E0484A"/>
    <w:rsid w:val="00E0763F"/>
    <w:rsid w:val="00E15081"/>
    <w:rsid w:val="00E21A85"/>
    <w:rsid w:val="00E22D57"/>
    <w:rsid w:val="00E2452E"/>
    <w:rsid w:val="00E25C5E"/>
    <w:rsid w:val="00E2728F"/>
    <w:rsid w:val="00E403C0"/>
    <w:rsid w:val="00E62702"/>
    <w:rsid w:val="00E66D98"/>
    <w:rsid w:val="00E72F04"/>
    <w:rsid w:val="00E741C2"/>
    <w:rsid w:val="00E84D34"/>
    <w:rsid w:val="00E86AEF"/>
    <w:rsid w:val="00E94194"/>
    <w:rsid w:val="00E95DC1"/>
    <w:rsid w:val="00EA0052"/>
    <w:rsid w:val="00EB35A9"/>
    <w:rsid w:val="00EB3FFA"/>
    <w:rsid w:val="00EC0379"/>
    <w:rsid w:val="00EC4AA6"/>
    <w:rsid w:val="00ED038D"/>
    <w:rsid w:val="00ED3B6A"/>
    <w:rsid w:val="00ED629A"/>
    <w:rsid w:val="00EE154A"/>
    <w:rsid w:val="00EE35D5"/>
    <w:rsid w:val="00EF77D9"/>
    <w:rsid w:val="00F14345"/>
    <w:rsid w:val="00F221F6"/>
    <w:rsid w:val="00F22B16"/>
    <w:rsid w:val="00F23ED5"/>
    <w:rsid w:val="00F4383C"/>
    <w:rsid w:val="00F506C2"/>
    <w:rsid w:val="00F548BC"/>
    <w:rsid w:val="00F57BE5"/>
    <w:rsid w:val="00F82A06"/>
    <w:rsid w:val="00F90297"/>
    <w:rsid w:val="00F92966"/>
    <w:rsid w:val="00FA03A7"/>
    <w:rsid w:val="00FA3DF4"/>
    <w:rsid w:val="00FA452D"/>
    <w:rsid w:val="00FA7D5B"/>
    <w:rsid w:val="00FB01C4"/>
    <w:rsid w:val="00FB2D5E"/>
    <w:rsid w:val="00FB7A3C"/>
    <w:rsid w:val="00FC25FB"/>
    <w:rsid w:val="00FC7A1E"/>
    <w:rsid w:val="00FD6376"/>
    <w:rsid w:val="00FE1A38"/>
    <w:rsid w:val="00FE7453"/>
    <w:rsid w:val="00FF045C"/>
    <w:rsid w:val="00FF1277"/>
    <w:rsid w:val="00FF65E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70F9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Note Level 1" w:semiHidden="0" w:uiPriority="62" w:unhideWhenUsed="0"/>
    <w:lsdException w:name="Note Level 2" w:semiHidden="0" w:uiPriority="63" w:unhideWhenUsed="0"/>
    <w:lsdException w:name="Note Level 3" w:semiHidden="0" w:uiPriority="64" w:unhideWhenUsed="0"/>
    <w:lsdException w:name="Note Level 4" w:semiHidden="0" w:uiPriority="65" w:unhideWhenUsed="0"/>
    <w:lsdException w:name="Note Level 5" w:unhideWhenUsed="0"/>
    <w:lsdException w:name="Note Level 6" w:semiHidden="0" w:uiPriority="34" w:unhideWhenUsed="0" w:qFormat="1"/>
    <w:lsdException w:name="Note Level 7" w:semiHidden="0" w:uiPriority="29" w:unhideWhenUsed="0" w:qFormat="1"/>
    <w:lsdException w:name="Note Level 8" w:semiHidden="0" w:uiPriority="30" w:unhideWhenUsed="0" w:qFormat="1"/>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66" w:unhideWhenUsed="0"/>
    <w:lsdException w:name="Colorful List" w:semiHidden="0" w:uiPriority="67" w:unhideWhenUsed="0"/>
    <w:lsdException w:name="Colorful Grid" w:semiHidden="0" w:uiPriority="68" w:unhideWhenUsed="0"/>
    <w:lsdException w:name="Light Shading Accent 1" w:semiHidden="0" w:uiPriority="69" w:unhideWhenUsed="0"/>
    <w:lsdException w:name="Light List Accent 1" w:semiHidden="0" w:uiPriority="70" w:unhideWhenUsed="0"/>
    <w:lsdException w:name="Light Grid Accent 1" w:semiHidden="0" w:uiPriority="71" w:unhideWhenUsed="0"/>
    <w:lsdException w:name="Medium Shading 1 Accent 1" w:semiHidden="0" w:uiPriority="72" w:unhideWhenUsed="0"/>
    <w:lsdException w:name="Medium Shading 2 Accent 1" w:semiHidden="0" w:uiPriority="73" w:unhideWhenUsed="0"/>
    <w:lsdException w:name="Medium List 1 Accent 1" w:semiHidden="0" w:uiPriority="60" w:unhideWhenUsed="0"/>
    <w:lsdException w:name="Revision" w:semiHidden="0" w:uiPriority="61" w:unhideWhenUsed="0"/>
    <w:lsdException w:name="List Paragraph" w:semiHidden="0" w:uiPriority="62" w:unhideWhenUsed="0"/>
    <w:lsdException w:name="Quote" w:semiHidden="0" w:uiPriority="63" w:unhideWhenUsed="0"/>
    <w:lsdException w:name="Intense Quote" w:semiHidden="0" w:uiPriority="64" w:unhideWhenUsed="0"/>
    <w:lsdException w:name="Medium List 2 Accent 1" w:semiHidden="0" w:uiPriority="65" w:unhideWhenUsed="0"/>
    <w:lsdException w:name="Medium Grid 1 Accent 1" w:semiHidden="0" w:uiPriority="66" w:unhideWhenUsed="0"/>
    <w:lsdException w:name="Medium Grid 2 Accent 1" w:semiHidden="0" w:uiPriority="67" w:unhideWhenUsed="0"/>
    <w:lsdException w:name="Medium Grid 3 Accent 1" w:semiHidden="0" w:uiPriority="68" w:unhideWhenUsed="0"/>
    <w:lsdException w:name="Dark List Accent 1" w:semiHidden="0" w:uiPriority="69" w:unhideWhenUsed="0"/>
    <w:lsdException w:name="Colorful Shading Accent 1" w:semiHidden="0" w:uiPriority="70" w:unhideWhenUsed="0"/>
    <w:lsdException w:name="Colorful List Accent 1" w:semiHidden="0" w:uiPriority="71" w:unhideWhenUsed="0"/>
    <w:lsdException w:name="Colorful Grid Accent 1" w:semiHidden="0" w:uiPriority="72" w:unhideWhenUsed="0"/>
    <w:lsdException w:name="Light Shading Accent 2" w:semiHidden="0" w:uiPriority="73" w:unhideWhenUsed="0"/>
    <w:lsdException w:name="Light List Accent 2" w:semiHidden="0" w:uiPriority="60" w:unhideWhenUsed="0"/>
    <w:lsdException w:name="Light Grid Accent 2" w:semiHidden="0" w:uiPriority="61" w:unhideWhenUsed="0"/>
    <w:lsdException w:name="Medium Shading 1 Accent 2" w:semiHidden="0" w:uiPriority="62" w:unhideWhenUsed="0"/>
    <w:lsdException w:name="Medium Shading 2 Accent 2" w:semiHidden="0" w:uiPriority="63" w:unhideWhenUsed="0"/>
    <w:lsdException w:name="Medium List 1 Accent 2" w:semiHidden="0" w:uiPriority="64" w:unhideWhenUsed="0"/>
    <w:lsdException w:name="Medium List 2 Accent 2" w:semiHidden="0" w:uiPriority="65" w:unhideWhenUsed="0"/>
    <w:lsdException w:name="Medium Grid 1 Accent 2" w:semiHidden="0" w:uiPriority="66" w:unhideWhenUsed="0"/>
    <w:lsdException w:name="Medium Grid 2 Accent 2" w:semiHidden="0" w:uiPriority="67" w:unhideWhenUsed="0"/>
    <w:lsdException w:name="Medium Grid 3 Accent 2" w:semiHidden="0" w:uiPriority="68" w:unhideWhenUsed="0"/>
    <w:lsdException w:name="Dark List Accent 2" w:semiHidden="0" w:uiPriority="69" w:unhideWhenUsed="0"/>
    <w:lsdException w:name="Colorful Shading Accent 2" w:semiHidden="0" w:uiPriority="70" w:unhideWhenUsed="0"/>
    <w:lsdException w:name="Colorful List Accent 2" w:semiHidden="0" w:uiPriority="71" w:unhideWhenUsed="0"/>
    <w:lsdException w:name="Colorful Grid Accent 2" w:semiHidden="0" w:uiPriority="72" w:unhideWhenUsed="0"/>
    <w:lsdException w:name="Light Shading Accent 3" w:semiHidden="0" w:uiPriority="73" w:unhideWhenUsed="0"/>
    <w:lsdException w:name="Light List Accent 3" w:semiHidden="0" w:uiPriority="60" w:unhideWhenUsed="0"/>
    <w:lsdException w:name="Light Grid Accent 3" w:semiHidden="0" w:uiPriority="61" w:unhideWhenUsed="0"/>
    <w:lsdException w:name="Medium Shading 1 Accent 3" w:semiHidden="0" w:uiPriority="62" w:unhideWhenUsed="0"/>
    <w:lsdException w:name="Medium Shading 2 Accent 3" w:semiHidden="0" w:uiPriority="63" w:unhideWhenUsed="0"/>
    <w:lsdException w:name="Medium List 1 Accent 3" w:semiHidden="0" w:uiPriority="64" w:unhideWhenUsed="0"/>
    <w:lsdException w:name="Medium List 2 Accent 3" w:semiHidden="0" w:uiPriority="65" w:unhideWhenUsed="0"/>
    <w:lsdException w:name="Medium Grid 1 Accent 3" w:semiHidden="0" w:uiPriority="66" w:unhideWhenUsed="0"/>
    <w:lsdException w:name="Medium Grid 2 Accent 3" w:semiHidden="0" w:uiPriority="67" w:unhideWhenUsed="0"/>
    <w:lsdException w:name="Medium Grid 3 Accent 3" w:semiHidden="0" w:uiPriority="68" w:unhideWhenUsed="0"/>
    <w:lsdException w:name="Dark List Accent 3" w:semiHidden="0" w:uiPriority="69" w:unhideWhenUsed="0"/>
    <w:lsdException w:name="Colorful Shading Accent 3" w:semiHidden="0" w:uiPriority="70" w:unhideWhenUsed="0"/>
    <w:lsdException w:name="Colorful List Accent 3" w:semiHidden="0" w:uiPriority="71" w:unhideWhenUsed="0"/>
    <w:lsdException w:name="Colorful Grid Accent 3" w:semiHidden="0" w:uiPriority="72" w:unhideWhenUsed="0"/>
    <w:lsdException w:name="Light Shading Accent 4" w:semiHidden="0" w:uiPriority="73" w:unhideWhenUsed="0"/>
    <w:lsdException w:name="Light List Accent 4" w:semiHidden="0" w:uiPriority="60" w:unhideWhenUsed="0"/>
    <w:lsdException w:name="Light Grid Accent 4" w:semiHidden="0" w:uiPriority="61" w:unhideWhenUsed="0"/>
    <w:lsdException w:name="Medium Shading 1 Accent 4" w:semiHidden="0" w:uiPriority="62" w:unhideWhenUsed="0"/>
    <w:lsdException w:name="Medium Shading 2 Accent 4" w:semiHidden="0" w:uiPriority="63" w:unhideWhenUsed="0"/>
    <w:lsdException w:name="Medium List 1 Accent 4" w:semiHidden="0" w:uiPriority="64" w:unhideWhenUsed="0"/>
    <w:lsdException w:name="Medium List 2 Accent 4" w:semiHidden="0" w:uiPriority="65" w:unhideWhenUsed="0"/>
    <w:lsdException w:name="Medium Grid 1 Accent 4" w:semiHidden="0" w:uiPriority="66" w:unhideWhenUsed="0"/>
    <w:lsdException w:name="Medium Grid 2 Accent 4" w:semiHidden="0" w:uiPriority="67" w:unhideWhenUsed="0"/>
    <w:lsdException w:name="Medium Grid 3 Accent 4" w:semiHidden="0" w:uiPriority="68" w:unhideWhenUsed="0"/>
    <w:lsdException w:name="Dark List Accent 4" w:semiHidden="0" w:uiPriority="69" w:unhideWhenUsed="0"/>
    <w:lsdException w:name="Colorful Shading Accent 4" w:semiHidden="0" w:uiPriority="70" w:unhideWhenUsed="0"/>
    <w:lsdException w:name="Colorful List Accent 4" w:semiHidden="0" w:uiPriority="71" w:unhideWhenUsed="0"/>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uiPriority="37"/>
    <w:lsdException w:name="Medium Grid 1 Accent 5" w:uiPriority="39"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F0D"/>
    <w:pPr>
      <w:ind w:left="720"/>
      <w:contextualSpacing/>
    </w:pPr>
  </w:style>
  <w:style w:type="paragraph" w:styleId="FootnoteText">
    <w:name w:val="footnote text"/>
    <w:basedOn w:val="Normal"/>
    <w:link w:val="FootnoteTextChar"/>
    <w:autoRedefine/>
    <w:uiPriority w:val="99"/>
    <w:rsid w:val="004A687E"/>
    <w:pPr>
      <w:widowControl w:val="0"/>
      <w:autoSpaceDE w:val="0"/>
      <w:autoSpaceDN w:val="0"/>
      <w:adjustRightInd w:val="0"/>
      <w:jc w:val="both"/>
    </w:pPr>
    <w:rPr>
      <w:rFonts w:ascii="Times New Roman" w:eastAsia="Times New Roman" w:hAnsi="Times New Roman"/>
      <w:bCs/>
      <w:sz w:val="20"/>
      <w:szCs w:val="20"/>
    </w:rPr>
  </w:style>
  <w:style w:type="character" w:customStyle="1" w:styleId="FootnoteTextChar">
    <w:name w:val="Footnote Text Char"/>
    <w:link w:val="FootnoteText"/>
    <w:uiPriority w:val="99"/>
    <w:rsid w:val="004A687E"/>
    <w:rPr>
      <w:rFonts w:ascii="Times New Roman" w:eastAsia="Times New Roman" w:hAnsi="Times New Roman"/>
      <w:bCs/>
    </w:rPr>
  </w:style>
  <w:style w:type="character" w:styleId="FootnoteReference">
    <w:name w:val="footnote reference"/>
    <w:uiPriority w:val="99"/>
    <w:rsid w:val="006173BA"/>
    <w:rPr>
      <w:vertAlign w:val="superscript"/>
    </w:rPr>
  </w:style>
  <w:style w:type="paragraph" w:customStyle="1" w:styleId="Default">
    <w:name w:val="Default"/>
    <w:uiPriority w:val="99"/>
    <w:rsid w:val="00C63E19"/>
    <w:pPr>
      <w:autoSpaceDE w:val="0"/>
      <w:autoSpaceDN w:val="0"/>
      <w:adjustRightInd w:val="0"/>
    </w:pPr>
    <w:rPr>
      <w:rFonts w:ascii="Arial" w:eastAsia="Times New Roman" w:hAnsi="Arial" w:cs="Arial"/>
      <w:noProof/>
      <w:color w:val="000000"/>
      <w:sz w:val="24"/>
      <w:szCs w:val="24"/>
    </w:rPr>
  </w:style>
  <w:style w:type="character" w:styleId="Strong">
    <w:name w:val="Strong"/>
    <w:qFormat/>
    <w:rsid w:val="00424FEA"/>
    <w:rPr>
      <w:b/>
      <w:bCs/>
    </w:rPr>
  </w:style>
  <w:style w:type="character" w:customStyle="1" w:styleId="FontStyle129">
    <w:name w:val="Font Style129"/>
    <w:rsid w:val="002375C1"/>
    <w:rPr>
      <w:rFonts w:ascii="Times New Roman" w:hAnsi="Times New Roman" w:cs="Times New Roman"/>
      <w:sz w:val="24"/>
      <w:szCs w:val="24"/>
    </w:rPr>
  </w:style>
  <w:style w:type="paragraph" w:customStyle="1" w:styleId="Style18">
    <w:name w:val="Style18"/>
    <w:basedOn w:val="Normal"/>
    <w:rsid w:val="002375C1"/>
    <w:pPr>
      <w:widowControl w:val="0"/>
      <w:autoSpaceDE w:val="0"/>
      <w:autoSpaceDN w:val="0"/>
      <w:adjustRightInd w:val="0"/>
      <w:spacing w:line="448" w:lineRule="exact"/>
      <w:ind w:firstLine="845"/>
      <w:jc w:val="both"/>
    </w:pPr>
    <w:rPr>
      <w:rFonts w:ascii="Times New Roman" w:eastAsia="Times New Roman" w:hAnsi="Times New Roman"/>
      <w:noProof/>
    </w:rPr>
  </w:style>
  <w:style w:type="paragraph" w:customStyle="1" w:styleId="western">
    <w:name w:val="western"/>
    <w:basedOn w:val="Normal"/>
    <w:rsid w:val="002375C1"/>
    <w:pPr>
      <w:spacing w:before="100" w:beforeAutospacing="1" w:after="119"/>
    </w:pPr>
    <w:rPr>
      <w:rFonts w:ascii="Arial Unicode MS" w:eastAsia="Arial Unicode MS" w:hAnsi="Arial Unicode MS" w:cs="Arial Unicode MS"/>
      <w:noProof/>
    </w:rPr>
  </w:style>
  <w:style w:type="character" w:customStyle="1" w:styleId="apple-converted-space">
    <w:name w:val="apple-converted-space"/>
    <w:rsid w:val="009355B6"/>
  </w:style>
  <w:style w:type="character" w:styleId="Hyperlink">
    <w:name w:val="Hyperlink"/>
    <w:unhideWhenUsed/>
    <w:rsid w:val="002E22C6"/>
    <w:rPr>
      <w:color w:val="0000FF"/>
      <w:u w:val="single"/>
    </w:rPr>
  </w:style>
  <w:style w:type="character" w:styleId="CommentReference">
    <w:name w:val="annotation reference"/>
    <w:uiPriority w:val="99"/>
    <w:semiHidden/>
    <w:unhideWhenUsed/>
    <w:rsid w:val="0021382A"/>
    <w:rPr>
      <w:sz w:val="18"/>
      <w:szCs w:val="18"/>
    </w:rPr>
  </w:style>
  <w:style w:type="paragraph" w:styleId="CommentText">
    <w:name w:val="annotation text"/>
    <w:basedOn w:val="Normal"/>
    <w:link w:val="CommentTextChar"/>
    <w:uiPriority w:val="99"/>
    <w:semiHidden/>
    <w:unhideWhenUsed/>
    <w:rsid w:val="0021382A"/>
  </w:style>
  <w:style w:type="character" w:customStyle="1" w:styleId="CommentTextChar">
    <w:name w:val="Comment Text Char"/>
    <w:link w:val="CommentText"/>
    <w:uiPriority w:val="99"/>
    <w:semiHidden/>
    <w:rsid w:val="0021382A"/>
    <w:rPr>
      <w:sz w:val="24"/>
      <w:szCs w:val="24"/>
    </w:rPr>
  </w:style>
  <w:style w:type="paragraph" w:styleId="CommentSubject">
    <w:name w:val="annotation subject"/>
    <w:basedOn w:val="CommentText"/>
    <w:next w:val="CommentText"/>
    <w:link w:val="CommentSubjectChar"/>
    <w:uiPriority w:val="99"/>
    <w:semiHidden/>
    <w:unhideWhenUsed/>
    <w:rsid w:val="0021382A"/>
    <w:rPr>
      <w:b/>
      <w:bCs/>
      <w:sz w:val="20"/>
      <w:szCs w:val="20"/>
    </w:rPr>
  </w:style>
  <w:style w:type="character" w:customStyle="1" w:styleId="CommentSubjectChar">
    <w:name w:val="Comment Subject Char"/>
    <w:link w:val="CommentSubject"/>
    <w:uiPriority w:val="99"/>
    <w:semiHidden/>
    <w:rsid w:val="0021382A"/>
    <w:rPr>
      <w:b/>
      <w:bCs/>
      <w:sz w:val="24"/>
      <w:szCs w:val="24"/>
    </w:rPr>
  </w:style>
  <w:style w:type="paragraph" w:styleId="BalloonText">
    <w:name w:val="Balloon Text"/>
    <w:basedOn w:val="Normal"/>
    <w:link w:val="BalloonTextChar"/>
    <w:uiPriority w:val="99"/>
    <w:semiHidden/>
    <w:unhideWhenUsed/>
    <w:rsid w:val="0021382A"/>
    <w:rPr>
      <w:rFonts w:ascii="Lucida Grande" w:hAnsi="Lucida Grande" w:cs="Lucida Grande"/>
      <w:sz w:val="18"/>
      <w:szCs w:val="18"/>
    </w:rPr>
  </w:style>
  <w:style w:type="character" w:customStyle="1" w:styleId="BalloonTextChar">
    <w:name w:val="Balloon Text Char"/>
    <w:link w:val="BalloonText"/>
    <w:uiPriority w:val="99"/>
    <w:semiHidden/>
    <w:rsid w:val="0021382A"/>
    <w:rPr>
      <w:rFonts w:ascii="Lucida Grande" w:hAnsi="Lucida Grande" w:cs="Lucida Grande"/>
      <w:sz w:val="18"/>
      <w:szCs w:val="18"/>
    </w:rPr>
  </w:style>
  <w:style w:type="paragraph" w:styleId="Revision">
    <w:name w:val="Revision"/>
    <w:hidden/>
    <w:uiPriority w:val="66"/>
    <w:rsid w:val="00781EA7"/>
    <w:rPr>
      <w:sz w:val="24"/>
      <w:szCs w:val="24"/>
    </w:rPr>
  </w:style>
  <w:style w:type="paragraph" w:styleId="Header">
    <w:name w:val="header"/>
    <w:basedOn w:val="Normal"/>
    <w:link w:val="HeaderChar"/>
    <w:uiPriority w:val="99"/>
    <w:unhideWhenUsed/>
    <w:rsid w:val="00AF6461"/>
    <w:pPr>
      <w:tabs>
        <w:tab w:val="center" w:pos="4252"/>
        <w:tab w:val="right" w:pos="8504"/>
      </w:tabs>
    </w:pPr>
  </w:style>
  <w:style w:type="character" w:customStyle="1" w:styleId="HeaderChar">
    <w:name w:val="Header Char"/>
    <w:link w:val="Header"/>
    <w:uiPriority w:val="99"/>
    <w:rsid w:val="00AF6461"/>
    <w:rPr>
      <w:sz w:val="24"/>
      <w:szCs w:val="24"/>
      <w:lang w:eastAsia="en-US"/>
    </w:rPr>
  </w:style>
  <w:style w:type="paragraph" w:styleId="Footer">
    <w:name w:val="footer"/>
    <w:basedOn w:val="Normal"/>
    <w:link w:val="FooterChar"/>
    <w:uiPriority w:val="99"/>
    <w:unhideWhenUsed/>
    <w:rsid w:val="00AF6461"/>
    <w:pPr>
      <w:tabs>
        <w:tab w:val="center" w:pos="4252"/>
        <w:tab w:val="right" w:pos="8504"/>
      </w:tabs>
    </w:pPr>
  </w:style>
  <w:style w:type="character" w:customStyle="1" w:styleId="FooterChar">
    <w:name w:val="Footer Char"/>
    <w:link w:val="Footer"/>
    <w:uiPriority w:val="99"/>
    <w:rsid w:val="00AF6461"/>
    <w:rPr>
      <w:sz w:val="24"/>
      <w:szCs w:val="24"/>
      <w:lang w:eastAsia="en-US"/>
    </w:rPr>
  </w:style>
  <w:style w:type="paragraph" w:styleId="EndnoteText">
    <w:name w:val="endnote text"/>
    <w:basedOn w:val="Normal"/>
    <w:link w:val="EndnoteTextChar"/>
    <w:uiPriority w:val="99"/>
    <w:unhideWhenUsed/>
    <w:rsid w:val="0030331E"/>
  </w:style>
  <w:style w:type="character" w:customStyle="1" w:styleId="EndnoteTextChar">
    <w:name w:val="Endnote Text Char"/>
    <w:link w:val="EndnoteText"/>
    <w:uiPriority w:val="99"/>
    <w:rsid w:val="0030331E"/>
    <w:rPr>
      <w:sz w:val="24"/>
      <w:szCs w:val="24"/>
    </w:rPr>
  </w:style>
  <w:style w:type="character" w:styleId="EndnoteReference">
    <w:name w:val="endnote reference"/>
    <w:uiPriority w:val="99"/>
    <w:unhideWhenUsed/>
    <w:rsid w:val="0030331E"/>
    <w:rPr>
      <w:vertAlign w:val="superscript"/>
    </w:rPr>
  </w:style>
  <w:style w:type="character" w:styleId="FollowedHyperlink">
    <w:name w:val="FollowedHyperlink"/>
    <w:uiPriority w:val="99"/>
    <w:semiHidden/>
    <w:unhideWhenUsed/>
    <w:rsid w:val="009D03C4"/>
    <w:rPr>
      <w:color w:val="800080"/>
      <w:u w:val="single"/>
    </w:rPr>
  </w:style>
  <w:style w:type="table" w:styleId="TableGrid">
    <w:name w:val="Table Grid"/>
    <w:basedOn w:val="TableNormal"/>
    <w:uiPriority w:val="59"/>
    <w:rsid w:val="00455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19"/>
    <w:qFormat/>
    <w:rsid w:val="0089583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Shading-Accent5">
    <w:name w:val="Colorful Shading Accent 5"/>
    <w:basedOn w:val="TableNormal"/>
    <w:uiPriority w:val="21"/>
    <w:qFormat/>
    <w:rsid w:val="00895831"/>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List-Accent5">
    <w:name w:val="Colorful List Accent 5"/>
    <w:basedOn w:val="TableNormal"/>
    <w:uiPriority w:val="31"/>
    <w:qFormat/>
    <w:rsid w:val="00895831"/>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ghtGrid-Accent5">
    <w:name w:val="Light Grid Accent 5"/>
    <w:basedOn w:val="TableNormal"/>
    <w:uiPriority w:val="21"/>
    <w:qFormat/>
    <w:rsid w:val="00895831"/>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ＭＳ ゴシック"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ＭＳ ゴシック"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ＭＳ ゴシック" w:hAnsi="Calibri" w:cs="Times New Roman"/>
        <w:b/>
        <w:bCs/>
      </w:rPr>
    </w:tblStylePr>
    <w:tblStylePr w:type="lastCol">
      <w:rPr>
        <w:rFonts w:ascii="Calibri" w:eastAsia="ＭＳ ゴシック"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2-Accent5">
    <w:name w:val="Medium Shading 2 Accent 5"/>
    <w:basedOn w:val="TableNormal"/>
    <w:uiPriority w:val="32"/>
    <w:qFormat/>
    <w:rsid w:val="0089583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1"/>
    <w:rsid w:val="00895831"/>
    <w:rPr>
      <w:rFonts w:ascii="Calibri"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Grid3">
    <w:name w:val="Medium Grid 3"/>
    <w:basedOn w:val="TableNormal"/>
    <w:uiPriority w:val="64"/>
    <w:rsid w:val="0089583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LightShading">
    <w:name w:val="Light Shading"/>
    <w:basedOn w:val="TableNormal"/>
    <w:uiPriority w:val="69"/>
    <w:rsid w:val="0089583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TableNormal"/>
    <w:uiPriority w:val="60"/>
    <w:rsid w:val="004759D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ＭＳ ゴシック"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NormalWeb">
    <w:name w:val="Normal (Web)"/>
    <w:basedOn w:val="Normal"/>
    <w:uiPriority w:val="99"/>
    <w:semiHidden/>
    <w:unhideWhenUsed/>
    <w:rsid w:val="00516E3B"/>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Note Level 1" w:semiHidden="0" w:uiPriority="62" w:unhideWhenUsed="0"/>
    <w:lsdException w:name="Note Level 2" w:semiHidden="0" w:uiPriority="63" w:unhideWhenUsed="0"/>
    <w:lsdException w:name="Note Level 3" w:semiHidden="0" w:uiPriority="64" w:unhideWhenUsed="0"/>
    <w:lsdException w:name="Note Level 4" w:semiHidden="0" w:uiPriority="65" w:unhideWhenUsed="0"/>
    <w:lsdException w:name="Note Level 5" w:unhideWhenUsed="0"/>
    <w:lsdException w:name="Note Level 6" w:semiHidden="0" w:uiPriority="34" w:unhideWhenUsed="0" w:qFormat="1"/>
    <w:lsdException w:name="Note Level 7" w:semiHidden="0" w:uiPriority="29" w:unhideWhenUsed="0" w:qFormat="1"/>
    <w:lsdException w:name="Note Level 8" w:semiHidden="0" w:uiPriority="30" w:unhideWhenUsed="0" w:qFormat="1"/>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66" w:unhideWhenUsed="0"/>
    <w:lsdException w:name="Colorful List" w:semiHidden="0" w:uiPriority="67" w:unhideWhenUsed="0"/>
    <w:lsdException w:name="Colorful Grid" w:semiHidden="0" w:uiPriority="68" w:unhideWhenUsed="0"/>
    <w:lsdException w:name="Light Shading Accent 1" w:semiHidden="0" w:uiPriority="69" w:unhideWhenUsed="0"/>
    <w:lsdException w:name="Light List Accent 1" w:semiHidden="0" w:uiPriority="70" w:unhideWhenUsed="0"/>
    <w:lsdException w:name="Light Grid Accent 1" w:semiHidden="0" w:uiPriority="71" w:unhideWhenUsed="0"/>
    <w:lsdException w:name="Medium Shading 1 Accent 1" w:semiHidden="0" w:uiPriority="72" w:unhideWhenUsed="0"/>
    <w:lsdException w:name="Medium Shading 2 Accent 1" w:semiHidden="0" w:uiPriority="73" w:unhideWhenUsed="0"/>
    <w:lsdException w:name="Medium List 1 Accent 1" w:semiHidden="0" w:uiPriority="60" w:unhideWhenUsed="0"/>
    <w:lsdException w:name="Revision" w:semiHidden="0" w:uiPriority="61" w:unhideWhenUsed="0"/>
    <w:lsdException w:name="List Paragraph" w:semiHidden="0" w:uiPriority="62" w:unhideWhenUsed="0"/>
    <w:lsdException w:name="Quote" w:semiHidden="0" w:uiPriority="63" w:unhideWhenUsed="0"/>
    <w:lsdException w:name="Intense Quote" w:semiHidden="0" w:uiPriority="64" w:unhideWhenUsed="0"/>
    <w:lsdException w:name="Medium List 2 Accent 1" w:semiHidden="0" w:uiPriority="65" w:unhideWhenUsed="0"/>
    <w:lsdException w:name="Medium Grid 1 Accent 1" w:semiHidden="0" w:uiPriority="66" w:unhideWhenUsed="0"/>
    <w:lsdException w:name="Medium Grid 2 Accent 1" w:semiHidden="0" w:uiPriority="67" w:unhideWhenUsed="0"/>
    <w:lsdException w:name="Medium Grid 3 Accent 1" w:semiHidden="0" w:uiPriority="68" w:unhideWhenUsed="0"/>
    <w:lsdException w:name="Dark List Accent 1" w:semiHidden="0" w:uiPriority="69" w:unhideWhenUsed="0"/>
    <w:lsdException w:name="Colorful Shading Accent 1" w:semiHidden="0" w:uiPriority="70" w:unhideWhenUsed="0"/>
    <w:lsdException w:name="Colorful List Accent 1" w:semiHidden="0" w:uiPriority="71" w:unhideWhenUsed="0"/>
    <w:lsdException w:name="Colorful Grid Accent 1" w:semiHidden="0" w:uiPriority="72" w:unhideWhenUsed="0"/>
    <w:lsdException w:name="Light Shading Accent 2" w:semiHidden="0" w:uiPriority="73" w:unhideWhenUsed="0"/>
    <w:lsdException w:name="Light List Accent 2" w:semiHidden="0" w:uiPriority="60" w:unhideWhenUsed="0"/>
    <w:lsdException w:name="Light Grid Accent 2" w:semiHidden="0" w:uiPriority="61" w:unhideWhenUsed="0"/>
    <w:lsdException w:name="Medium Shading 1 Accent 2" w:semiHidden="0" w:uiPriority="62" w:unhideWhenUsed="0"/>
    <w:lsdException w:name="Medium Shading 2 Accent 2" w:semiHidden="0" w:uiPriority="63" w:unhideWhenUsed="0"/>
    <w:lsdException w:name="Medium List 1 Accent 2" w:semiHidden="0" w:uiPriority="64" w:unhideWhenUsed="0"/>
    <w:lsdException w:name="Medium List 2 Accent 2" w:semiHidden="0" w:uiPriority="65" w:unhideWhenUsed="0"/>
    <w:lsdException w:name="Medium Grid 1 Accent 2" w:semiHidden="0" w:uiPriority="66" w:unhideWhenUsed="0"/>
    <w:lsdException w:name="Medium Grid 2 Accent 2" w:semiHidden="0" w:uiPriority="67" w:unhideWhenUsed="0"/>
    <w:lsdException w:name="Medium Grid 3 Accent 2" w:semiHidden="0" w:uiPriority="68" w:unhideWhenUsed="0"/>
    <w:lsdException w:name="Dark List Accent 2" w:semiHidden="0" w:uiPriority="69" w:unhideWhenUsed="0"/>
    <w:lsdException w:name="Colorful Shading Accent 2" w:semiHidden="0" w:uiPriority="70" w:unhideWhenUsed="0"/>
    <w:lsdException w:name="Colorful List Accent 2" w:semiHidden="0" w:uiPriority="71" w:unhideWhenUsed="0"/>
    <w:lsdException w:name="Colorful Grid Accent 2" w:semiHidden="0" w:uiPriority="72" w:unhideWhenUsed="0"/>
    <w:lsdException w:name="Light Shading Accent 3" w:semiHidden="0" w:uiPriority="73" w:unhideWhenUsed="0"/>
    <w:lsdException w:name="Light List Accent 3" w:semiHidden="0" w:uiPriority="60" w:unhideWhenUsed="0"/>
    <w:lsdException w:name="Light Grid Accent 3" w:semiHidden="0" w:uiPriority="61" w:unhideWhenUsed="0"/>
    <w:lsdException w:name="Medium Shading 1 Accent 3" w:semiHidden="0" w:uiPriority="62" w:unhideWhenUsed="0"/>
    <w:lsdException w:name="Medium Shading 2 Accent 3" w:semiHidden="0" w:uiPriority="63" w:unhideWhenUsed="0"/>
    <w:lsdException w:name="Medium List 1 Accent 3" w:semiHidden="0" w:uiPriority="64" w:unhideWhenUsed="0"/>
    <w:lsdException w:name="Medium List 2 Accent 3" w:semiHidden="0" w:uiPriority="65" w:unhideWhenUsed="0"/>
    <w:lsdException w:name="Medium Grid 1 Accent 3" w:semiHidden="0" w:uiPriority="66" w:unhideWhenUsed="0"/>
    <w:lsdException w:name="Medium Grid 2 Accent 3" w:semiHidden="0" w:uiPriority="67" w:unhideWhenUsed="0"/>
    <w:lsdException w:name="Medium Grid 3 Accent 3" w:semiHidden="0" w:uiPriority="68" w:unhideWhenUsed="0"/>
    <w:lsdException w:name="Dark List Accent 3" w:semiHidden="0" w:uiPriority="69" w:unhideWhenUsed="0"/>
    <w:lsdException w:name="Colorful Shading Accent 3" w:semiHidden="0" w:uiPriority="70" w:unhideWhenUsed="0"/>
    <w:lsdException w:name="Colorful List Accent 3" w:semiHidden="0" w:uiPriority="71" w:unhideWhenUsed="0"/>
    <w:lsdException w:name="Colorful Grid Accent 3" w:semiHidden="0" w:uiPriority="72" w:unhideWhenUsed="0"/>
    <w:lsdException w:name="Light Shading Accent 4" w:semiHidden="0" w:uiPriority="73" w:unhideWhenUsed="0"/>
    <w:lsdException w:name="Light List Accent 4" w:semiHidden="0" w:uiPriority="60" w:unhideWhenUsed="0"/>
    <w:lsdException w:name="Light Grid Accent 4" w:semiHidden="0" w:uiPriority="61" w:unhideWhenUsed="0"/>
    <w:lsdException w:name="Medium Shading 1 Accent 4" w:semiHidden="0" w:uiPriority="62" w:unhideWhenUsed="0"/>
    <w:lsdException w:name="Medium Shading 2 Accent 4" w:semiHidden="0" w:uiPriority="63" w:unhideWhenUsed="0"/>
    <w:lsdException w:name="Medium List 1 Accent 4" w:semiHidden="0" w:uiPriority="64" w:unhideWhenUsed="0"/>
    <w:lsdException w:name="Medium List 2 Accent 4" w:semiHidden="0" w:uiPriority="65" w:unhideWhenUsed="0"/>
    <w:lsdException w:name="Medium Grid 1 Accent 4" w:semiHidden="0" w:uiPriority="66" w:unhideWhenUsed="0"/>
    <w:lsdException w:name="Medium Grid 2 Accent 4" w:semiHidden="0" w:uiPriority="67" w:unhideWhenUsed="0"/>
    <w:lsdException w:name="Medium Grid 3 Accent 4" w:semiHidden="0" w:uiPriority="68" w:unhideWhenUsed="0"/>
    <w:lsdException w:name="Dark List Accent 4" w:semiHidden="0" w:uiPriority="69" w:unhideWhenUsed="0"/>
    <w:lsdException w:name="Colorful Shading Accent 4" w:semiHidden="0" w:uiPriority="70" w:unhideWhenUsed="0"/>
    <w:lsdException w:name="Colorful List Accent 4" w:semiHidden="0" w:uiPriority="71" w:unhideWhenUsed="0"/>
    <w:lsdException w:name="Colorful Grid Accent 4" w:semiHidden="0" w:uiPriority="72" w:unhideWhenUsed="0"/>
    <w:lsdException w:name="Light Shading Accent 5" w:semiHidden="0" w:uiPriority="73" w:unhideWhenUsed="0"/>
    <w:lsdException w:name="Light List Accent 5" w:semiHidden="0" w:uiPriority="19" w:unhideWhenUsed="0" w:qFormat="1"/>
    <w:lsdException w:name="Light Grid Accent 5" w:semiHidden="0" w:uiPriority="21" w:unhideWhenUsed="0" w:qFormat="1"/>
    <w:lsdException w:name="Medium Shading 1 Accent 5" w:semiHidden="0" w:uiPriority="31" w:unhideWhenUsed="0" w:qFormat="1"/>
    <w:lsdException w:name="Medium Shading 2 Accent 5" w:semiHidden="0" w:uiPriority="32" w:unhideWhenUsed="0" w:qFormat="1"/>
    <w:lsdException w:name="Medium List 1 Accent 5" w:semiHidden="0" w:uiPriority="33" w:unhideWhenUsed="0" w:qFormat="1"/>
    <w:lsdException w:name="Medium List 2 Accent 5" w:uiPriority="37"/>
    <w:lsdException w:name="Medium Grid 1 Accent 5" w:uiPriority="39" w:qFormat="1"/>
    <w:lsdException w:name="Medium Grid 2 Accent 5" w:semiHidden="0" w:uiPriority="72" w:unhideWhenUsed="0"/>
    <w:lsdException w:name="Medium Grid 3 Accent 5" w:semiHidden="0" w:uiPriority="73" w:unhideWhenUsed="0"/>
    <w:lsdException w:name="Dark List Accent 5" w:semiHidden="0" w:uiPriority="19" w:unhideWhenUsed="0" w:qFormat="1"/>
    <w:lsdException w:name="Colorful Shading Accent 5" w:semiHidden="0" w:uiPriority="21" w:unhideWhenUsed="0" w:qFormat="1"/>
    <w:lsdException w:name="Colorful List Accent 5" w:semiHidden="0" w:uiPriority="31" w:unhideWhenUsed="0" w:qFormat="1"/>
    <w:lsdException w:name="Colorful Grid Accent 5" w:semiHidden="0" w:uiPriority="32" w:unhideWhenUsed="0" w:qFormat="1"/>
    <w:lsdException w:name="Light Shading Accent 6" w:semiHidden="0" w:uiPriority="33" w:unhideWhenUsed="0" w:qFormat="1"/>
    <w:lsdException w:name="Light List Accent 6" w:uiPriority="37"/>
    <w:lsdException w:name="Light Grid Accent 6" w:uiPriority="39" w:qFormat="1"/>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F0D"/>
    <w:pPr>
      <w:ind w:left="720"/>
      <w:contextualSpacing/>
    </w:pPr>
  </w:style>
  <w:style w:type="paragraph" w:styleId="FootnoteText">
    <w:name w:val="footnote text"/>
    <w:basedOn w:val="Normal"/>
    <w:link w:val="FootnoteTextChar"/>
    <w:autoRedefine/>
    <w:uiPriority w:val="99"/>
    <w:rsid w:val="004A687E"/>
    <w:pPr>
      <w:widowControl w:val="0"/>
      <w:autoSpaceDE w:val="0"/>
      <w:autoSpaceDN w:val="0"/>
      <w:adjustRightInd w:val="0"/>
      <w:jc w:val="both"/>
    </w:pPr>
    <w:rPr>
      <w:rFonts w:ascii="Times New Roman" w:eastAsia="Times New Roman" w:hAnsi="Times New Roman"/>
      <w:bCs/>
      <w:sz w:val="20"/>
      <w:szCs w:val="20"/>
    </w:rPr>
  </w:style>
  <w:style w:type="character" w:customStyle="1" w:styleId="FootnoteTextChar">
    <w:name w:val="Footnote Text Char"/>
    <w:link w:val="FootnoteText"/>
    <w:uiPriority w:val="99"/>
    <w:rsid w:val="004A687E"/>
    <w:rPr>
      <w:rFonts w:ascii="Times New Roman" w:eastAsia="Times New Roman" w:hAnsi="Times New Roman"/>
      <w:bCs/>
    </w:rPr>
  </w:style>
  <w:style w:type="character" w:styleId="FootnoteReference">
    <w:name w:val="footnote reference"/>
    <w:uiPriority w:val="99"/>
    <w:rsid w:val="006173BA"/>
    <w:rPr>
      <w:vertAlign w:val="superscript"/>
    </w:rPr>
  </w:style>
  <w:style w:type="paragraph" w:customStyle="1" w:styleId="Default">
    <w:name w:val="Default"/>
    <w:uiPriority w:val="99"/>
    <w:rsid w:val="00C63E19"/>
    <w:pPr>
      <w:autoSpaceDE w:val="0"/>
      <w:autoSpaceDN w:val="0"/>
      <w:adjustRightInd w:val="0"/>
    </w:pPr>
    <w:rPr>
      <w:rFonts w:ascii="Arial" w:eastAsia="Times New Roman" w:hAnsi="Arial" w:cs="Arial"/>
      <w:noProof/>
      <w:color w:val="000000"/>
      <w:sz w:val="24"/>
      <w:szCs w:val="24"/>
    </w:rPr>
  </w:style>
  <w:style w:type="character" w:styleId="Strong">
    <w:name w:val="Strong"/>
    <w:qFormat/>
    <w:rsid w:val="00424FEA"/>
    <w:rPr>
      <w:b/>
      <w:bCs/>
    </w:rPr>
  </w:style>
  <w:style w:type="character" w:customStyle="1" w:styleId="FontStyle129">
    <w:name w:val="Font Style129"/>
    <w:rsid w:val="002375C1"/>
    <w:rPr>
      <w:rFonts w:ascii="Times New Roman" w:hAnsi="Times New Roman" w:cs="Times New Roman"/>
      <w:sz w:val="24"/>
      <w:szCs w:val="24"/>
    </w:rPr>
  </w:style>
  <w:style w:type="paragraph" w:customStyle="1" w:styleId="Style18">
    <w:name w:val="Style18"/>
    <w:basedOn w:val="Normal"/>
    <w:rsid w:val="002375C1"/>
    <w:pPr>
      <w:widowControl w:val="0"/>
      <w:autoSpaceDE w:val="0"/>
      <w:autoSpaceDN w:val="0"/>
      <w:adjustRightInd w:val="0"/>
      <w:spacing w:line="448" w:lineRule="exact"/>
      <w:ind w:firstLine="845"/>
      <w:jc w:val="both"/>
    </w:pPr>
    <w:rPr>
      <w:rFonts w:ascii="Times New Roman" w:eastAsia="Times New Roman" w:hAnsi="Times New Roman"/>
      <w:noProof/>
    </w:rPr>
  </w:style>
  <w:style w:type="paragraph" w:customStyle="1" w:styleId="western">
    <w:name w:val="western"/>
    <w:basedOn w:val="Normal"/>
    <w:rsid w:val="002375C1"/>
    <w:pPr>
      <w:spacing w:before="100" w:beforeAutospacing="1" w:after="119"/>
    </w:pPr>
    <w:rPr>
      <w:rFonts w:ascii="Arial Unicode MS" w:eastAsia="Arial Unicode MS" w:hAnsi="Arial Unicode MS" w:cs="Arial Unicode MS"/>
      <w:noProof/>
    </w:rPr>
  </w:style>
  <w:style w:type="character" w:customStyle="1" w:styleId="apple-converted-space">
    <w:name w:val="apple-converted-space"/>
    <w:rsid w:val="009355B6"/>
  </w:style>
  <w:style w:type="character" w:styleId="Hyperlink">
    <w:name w:val="Hyperlink"/>
    <w:unhideWhenUsed/>
    <w:rsid w:val="002E22C6"/>
    <w:rPr>
      <w:color w:val="0000FF"/>
      <w:u w:val="single"/>
    </w:rPr>
  </w:style>
  <w:style w:type="character" w:styleId="CommentReference">
    <w:name w:val="annotation reference"/>
    <w:uiPriority w:val="99"/>
    <w:semiHidden/>
    <w:unhideWhenUsed/>
    <w:rsid w:val="0021382A"/>
    <w:rPr>
      <w:sz w:val="18"/>
      <w:szCs w:val="18"/>
    </w:rPr>
  </w:style>
  <w:style w:type="paragraph" w:styleId="CommentText">
    <w:name w:val="annotation text"/>
    <w:basedOn w:val="Normal"/>
    <w:link w:val="CommentTextChar"/>
    <w:uiPriority w:val="99"/>
    <w:semiHidden/>
    <w:unhideWhenUsed/>
    <w:rsid w:val="0021382A"/>
  </w:style>
  <w:style w:type="character" w:customStyle="1" w:styleId="CommentTextChar">
    <w:name w:val="Comment Text Char"/>
    <w:link w:val="CommentText"/>
    <w:uiPriority w:val="99"/>
    <w:semiHidden/>
    <w:rsid w:val="0021382A"/>
    <w:rPr>
      <w:sz w:val="24"/>
      <w:szCs w:val="24"/>
    </w:rPr>
  </w:style>
  <w:style w:type="paragraph" w:styleId="CommentSubject">
    <w:name w:val="annotation subject"/>
    <w:basedOn w:val="CommentText"/>
    <w:next w:val="CommentText"/>
    <w:link w:val="CommentSubjectChar"/>
    <w:uiPriority w:val="99"/>
    <w:semiHidden/>
    <w:unhideWhenUsed/>
    <w:rsid w:val="0021382A"/>
    <w:rPr>
      <w:b/>
      <w:bCs/>
      <w:sz w:val="20"/>
      <w:szCs w:val="20"/>
    </w:rPr>
  </w:style>
  <w:style w:type="character" w:customStyle="1" w:styleId="CommentSubjectChar">
    <w:name w:val="Comment Subject Char"/>
    <w:link w:val="CommentSubject"/>
    <w:uiPriority w:val="99"/>
    <w:semiHidden/>
    <w:rsid w:val="0021382A"/>
    <w:rPr>
      <w:b/>
      <w:bCs/>
      <w:sz w:val="24"/>
      <w:szCs w:val="24"/>
    </w:rPr>
  </w:style>
  <w:style w:type="paragraph" w:styleId="BalloonText">
    <w:name w:val="Balloon Text"/>
    <w:basedOn w:val="Normal"/>
    <w:link w:val="BalloonTextChar"/>
    <w:uiPriority w:val="99"/>
    <w:semiHidden/>
    <w:unhideWhenUsed/>
    <w:rsid w:val="0021382A"/>
    <w:rPr>
      <w:rFonts w:ascii="Lucida Grande" w:hAnsi="Lucida Grande" w:cs="Lucida Grande"/>
      <w:sz w:val="18"/>
      <w:szCs w:val="18"/>
    </w:rPr>
  </w:style>
  <w:style w:type="character" w:customStyle="1" w:styleId="BalloonTextChar">
    <w:name w:val="Balloon Text Char"/>
    <w:link w:val="BalloonText"/>
    <w:uiPriority w:val="99"/>
    <w:semiHidden/>
    <w:rsid w:val="0021382A"/>
    <w:rPr>
      <w:rFonts w:ascii="Lucida Grande" w:hAnsi="Lucida Grande" w:cs="Lucida Grande"/>
      <w:sz w:val="18"/>
      <w:szCs w:val="18"/>
    </w:rPr>
  </w:style>
  <w:style w:type="paragraph" w:styleId="Revision">
    <w:name w:val="Revision"/>
    <w:hidden/>
    <w:uiPriority w:val="66"/>
    <w:rsid w:val="00781EA7"/>
    <w:rPr>
      <w:sz w:val="24"/>
      <w:szCs w:val="24"/>
    </w:rPr>
  </w:style>
  <w:style w:type="paragraph" w:styleId="Header">
    <w:name w:val="header"/>
    <w:basedOn w:val="Normal"/>
    <w:link w:val="HeaderChar"/>
    <w:uiPriority w:val="99"/>
    <w:unhideWhenUsed/>
    <w:rsid w:val="00AF6461"/>
    <w:pPr>
      <w:tabs>
        <w:tab w:val="center" w:pos="4252"/>
        <w:tab w:val="right" w:pos="8504"/>
      </w:tabs>
    </w:pPr>
  </w:style>
  <w:style w:type="character" w:customStyle="1" w:styleId="HeaderChar">
    <w:name w:val="Header Char"/>
    <w:link w:val="Header"/>
    <w:uiPriority w:val="99"/>
    <w:rsid w:val="00AF6461"/>
    <w:rPr>
      <w:sz w:val="24"/>
      <w:szCs w:val="24"/>
      <w:lang w:eastAsia="en-US"/>
    </w:rPr>
  </w:style>
  <w:style w:type="paragraph" w:styleId="Footer">
    <w:name w:val="footer"/>
    <w:basedOn w:val="Normal"/>
    <w:link w:val="FooterChar"/>
    <w:uiPriority w:val="99"/>
    <w:unhideWhenUsed/>
    <w:rsid w:val="00AF6461"/>
    <w:pPr>
      <w:tabs>
        <w:tab w:val="center" w:pos="4252"/>
        <w:tab w:val="right" w:pos="8504"/>
      </w:tabs>
    </w:pPr>
  </w:style>
  <w:style w:type="character" w:customStyle="1" w:styleId="FooterChar">
    <w:name w:val="Footer Char"/>
    <w:link w:val="Footer"/>
    <w:uiPriority w:val="99"/>
    <w:rsid w:val="00AF6461"/>
    <w:rPr>
      <w:sz w:val="24"/>
      <w:szCs w:val="24"/>
      <w:lang w:eastAsia="en-US"/>
    </w:rPr>
  </w:style>
  <w:style w:type="paragraph" w:styleId="EndnoteText">
    <w:name w:val="endnote text"/>
    <w:basedOn w:val="Normal"/>
    <w:link w:val="EndnoteTextChar"/>
    <w:uiPriority w:val="99"/>
    <w:unhideWhenUsed/>
    <w:rsid w:val="0030331E"/>
  </w:style>
  <w:style w:type="character" w:customStyle="1" w:styleId="EndnoteTextChar">
    <w:name w:val="Endnote Text Char"/>
    <w:link w:val="EndnoteText"/>
    <w:uiPriority w:val="99"/>
    <w:rsid w:val="0030331E"/>
    <w:rPr>
      <w:sz w:val="24"/>
      <w:szCs w:val="24"/>
    </w:rPr>
  </w:style>
  <w:style w:type="character" w:styleId="EndnoteReference">
    <w:name w:val="endnote reference"/>
    <w:uiPriority w:val="99"/>
    <w:unhideWhenUsed/>
    <w:rsid w:val="0030331E"/>
    <w:rPr>
      <w:vertAlign w:val="superscript"/>
    </w:rPr>
  </w:style>
  <w:style w:type="character" w:styleId="FollowedHyperlink">
    <w:name w:val="FollowedHyperlink"/>
    <w:uiPriority w:val="99"/>
    <w:semiHidden/>
    <w:unhideWhenUsed/>
    <w:rsid w:val="009D03C4"/>
    <w:rPr>
      <w:color w:val="800080"/>
      <w:u w:val="single"/>
    </w:rPr>
  </w:style>
  <w:style w:type="table" w:styleId="TableGrid">
    <w:name w:val="Table Grid"/>
    <w:basedOn w:val="TableNormal"/>
    <w:uiPriority w:val="59"/>
    <w:rsid w:val="00455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19"/>
    <w:qFormat/>
    <w:rsid w:val="00895831"/>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Shading-Accent5">
    <w:name w:val="Colorful Shading Accent 5"/>
    <w:basedOn w:val="TableNormal"/>
    <w:uiPriority w:val="21"/>
    <w:qFormat/>
    <w:rsid w:val="00895831"/>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List-Accent5">
    <w:name w:val="Colorful List Accent 5"/>
    <w:basedOn w:val="TableNormal"/>
    <w:uiPriority w:val="31"/>
    <w:qFormat/>
    <w:rsid w:val="00895831"/>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ghtGrid-Accent5">
    <w:name w:val="Light Grid Accent 5"/>
    <w:basedOn w:val="TableNormal"/>
    <w:uiPriority w:val="21"/>
    <w:qFormat/>
    <w:rsid w:val="00895831"/>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ＭＳ ゴシック"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ＭＳ ゴシック"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ＭＳ ゴシック" w:hAnsi="Calibri" w:cs="Times New Roman"/>
        <w:b/>
        <w:bCs/>
      </w:rPr>
    </w:tblStylePr>
    <w:tblStylePr w:type="lastCol">
      <w:rPr>
        <w:rFonts w:ascii="Calibri" w:eastAsia="ＭＳ ゴシック"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Shading2-Accent5">
    <w:name w:val="Medium Shading 2 Accent 5"/>
    <w:basedOn w:val="TableNormal"/>
    <w:uiPriority w:val="32"/>
    <w:qFormat/>
    <w:rsid w:val="0089583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
    <w:name w:val="Medium List 2"/>
    <w:basedOn w:val="TableNormal"/>
    <w:uiPriority w:val="61"/>
    <w:rsid w:val="00895831"/>
    <w:rPr>
      <w:rFonts w:ascii="Calibri"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Grid3">
    <w:name w:val="Medium Grid 3"/>
    <w:basedOn w:val="TableNormal"/>
    <w:uiPriority w:val="64"/>
    <w:rsid w:val="00895831"/>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LightShading">
    <w:name w:val="Light Shading"/>
    <w:basedOn w:val="TableNormal"/>
    <w:uiPriority w:val="69"/>
    <w:rsid w:val="0089583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
    <w:name w:val="Medium List 1"/>
    <w:basedOn w:val="TableNormal"/>
    <w:uiPriority w:val="60"/>
    <w:rsid w:val="004759D3"/>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ＭＳ ゴシック"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NormalWeb">
    <w:name w:val="Normal (Web)"/>
    <w:basedOn w:val="Normal"/>
    <w:uiPriority w:val="99"/>
    <w:semiHidden/>
    <w:unhideWhenUsed/>
    <w:rsid w:val="00516E3B"/>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503333">
      <w:bodyDiv w:val="1"/>
      <w:marLeft w:val="0"/>
      <w:marRight w:val="0"/>
      <w:marTop w:val="0"/>
      <w:marBottom w:val="0"/>
      <w:divBdr>
        <w:top w:val="none" w:sz="0" w:space="0" w:color="auto"/>
        <w:left w:val="none" w:sz="0" w:space="0" w:color="auto"/>
        <w:bottom w:val="none" w:sz="0" w:space="0" w:color="auto"/>
        <w:right w:val="none" w:sz="0" w:space="0" w:color="auto"/>
      </w:divBdr>
    </w:div>
    <w:div w:id="1740588861">
      <w:bodyDiv w:val="1"/>
      <w:marLeft w:val="0"/>
      <w:marRight w:val="0"/>
      <w:marTop w:val="0"/>
      <w:marBottom w:val="0"/>
      <w:divBdr>
        <w:top w:val="none" w:sz="0" w:space="0" w:color="auto"/>
        <w:left w:val="none" w:sz="0" w:space="0" w:color="auto"/>
        <w:bottom w:val="none" w:sz="0" w:space="0" w:color="auto"/>
        <w:right w:val="none" w:sz="0" w:space="0" w:color="auto"/>
      </w:divBdr>
      <w:divsChild>
        <w:div w:id="249974535">
          <w:marLeft w:val="0"/>
          <w:marRight w:val="0"/>
          <w:marTop w:val="0"/>
          <w:marBottom w:val="0"/>
          <w:divBdr>
            <w:top w:val="none" w:sz="0" w:space="0" w:color="auto"/>
            <w:left w:val="none" w:sz="0" w:space="0" w:color="auto"/>
            <w:bottom w:val="none" w:sz="0" w:space="0" w:color="auto"/>
            <w:right w:val="none" w:sz="0" w:space="0" w:color="auto"/>
          </w:divBdr>
          <w:divsChild>
            <w:div w:id="1755735621">
              <w:marLeft w:val="0"/>
              <w:marRight w:val="0"/>
              <w:marTop w:val="0"/>
              <w:marBottom w:val="0"/>
              <w:divBdr>
                <w:top w:val="none" w:sz="0" w:space="0" w:color="auto"/>
                <w:left w:val="none" w:sz="0" w:space="0" w:color="auto"/>
                <w:bottom w:val="none" w:sz="0" w:space="0" w:color="auto"/>
                <w:right w:val="none" w:sz="0" w:space="0" w:color="auto"/>
              </w:divBdr>
              <w:divsChild>
                <w:div w:id="13234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0582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saladeimprensa.ibge.gov.br/noticias?view=noticia&amp;id=1&amp;idnoticia=2265&amp;busca=1&amp;t=regiao-norte-aumenta-participacao-pib-nac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2D41C-F449-DF47-AE14-CF6C0BFF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5617</Words>
  <Characters>32020</Characters>
  <Application>Microsoft Macintosh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37562</CharactersWithSpaces>
  <SharedDoc>false</SharedDoc>
  <HyperlinkBase/>
  <HLinks>
    <vt:vector size="6" baseType="variant">
      <vt:variant>
        <vt:i4>2031621</vt:i4>
      </vt:variant>
      <vt:variant>
        <vt:i4>0</vt:i4>
      </vt:variant>
      <vt:variant>
        <vt:i4>0</vt:i4>
      </vt:variant>
      <vt:variant>
        <vt:i4>5</vt:i4>
      </vt:variant>
      <vt:variant>
        <vt:lpwstr>http://saladeimprensa.ibge.gov.br/noticias?view=noticia&amp;id=1&amp;idnoticia=2265&amp;busca=1&amp;t=regiao-norte-aumenta-participacao-pib-nacional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Folloni</dc:creator>
  <cp:keywords/>
  <dc:description/>
  <cp:lastModifiedBy>André Folloni</cp:lastModifiedBy>
  <cp:revision>2</cp:revision>
  <cp:lastPrinted>2014-08-05T17:53:00Z</cp:lastPrinted>
  <dcterms:created xsi:type="dcterms:W3CDTF">2015-07-31T13:32:00Z</dcterms:created>
  <dcterms:modified xsi:type="dcterms:W3CDTF">2015-07-31T13:32:00Z</dcterms:modified>
  <cp:category/>
</cp:coreProperties>
</file>