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0211C" w14:textId="6736E176" w:rsidR="00E31011" w:rsidRPr="009E2740" w:rsidRDefault="00E31011" w:rsidP="009E2740">
      <w:pPr>
        <w:spacing w:line="240" w:lineRule="auto"/>
        <w:jc w:val="center"/>
        <w:rPr>
          <w:rFonts w:ascii="Times New Roman" w:hAnsi="Times New Roman" w:cs="Times New Roman"/>
          <w:b/>
          <w:lang w:val="pt-BR"/>
        </w:rPr>
      </w:pPr>
      <w:r w:rsidRPr="009E2740">
        <w:rPr>
          <w:rFonts w:ascii="Times New Roman" w:hAnsi="Times New Roman" w:cs="Times New Roman"/>
          <w:b/>
          <w:lang w:val="pt-BR"/>
        </w:rPr>
        <w:t xml:space="preserve">A carga tributária brasileira está além de seu nível ótimo? </w:t>
      </w:r>
      <w:r w:rsidR="008C4FAA" w:rsidRPr="009E2740">
        <w:rPr>
          <w:rFonts w:ascii="Times New Roman" w:hAnsi="Times New Roman" w:cs="Times New Roman"/>
          <w:b/>
          <w:lang w:val="pt-BR"/>
        </w:rPr>
        <w:t>Medindo o Excesso de governo no Brasil</w:t>
      </w:r>
    </w:p>
    <w:p w14:paraId="7A5C6B30" w14:textId="77777777" w:rsidR="001E32BF" w:rsidRDefault="001E32BF" w:rsidP="009E2740">
      <w:pPr>
        <w:spacing w:line="240" w:lineRule="auto"/>
        <w:jc w:val="center"/>
        <w:rPr>
          <w:rFonts w:ascii="Times New Roman" w:hAnsi="Times New Roman" w:cs="Times New Roman"/>
          <w:b/>
          <w:lang w:val="pt-BR"/>
        </w:rPr>
      </w:pPr>
    </w:p>
    <w:p w14:paraId="4BDA7A21" w14:textId="77777777" w:rsidR="00E31011" w:rsidRPr="009E2740" w:rsidRDefault="00E31011" w:rsidP="009E2740">
      <w:pPr>
        <w:spacing w:line="240" w:lineRule="auto"/>
        <w:jc w:val="center"/>
        <w:rPr>
          <w:rFonts w:ascii="Times New Roman" w:hAnsi="Times New Roman" w:cs="Times New Roman"/>
          <w:b/>
          <w:lang w:val="pt-BR"/>
        </w:rPr>
      </w:pPr>
      <w:r w:rsidRPr="009E2740">
        <w:rPr>
          <w:rFonts w:ascii="Times New Roman" w:hAnsi="Times New Roman" w:cs="Times New Roman"/>
          <w:b/>
          <w:lang w:val="pt-BR"/>
        </w:rPr>
        <w:t>Resumo</w:t>
      </w:r>
    </w:p>
    <w:p w14:paraId="178C2420" w14:textId="0FC5B5C7" w:rsidR="00EF1A38" w:rsidRPr="009E2740" w:rsidRDefault="00A250CE" w:rsidP="009E2740">
      <w:pPr>
        <w:spacing w:line="240" w:lineRule="auto"/>
        <w:jc w:val="both"/>
        <w:rPr>
          <w:rFonts w:ascii="Times New Roman" w:hAnsi="Times New Roman" w:cs="Times New Roman"/>
          <w:lang w:val="pt-BR"/>
        </w:rPr>
      </w:pPr>
      <w:r w:rsidRPr="009E2740">
        <w:rPr>
          <w:rFonts w:ascii="Times New Roman" w:hAnsi="Times New Roman" w:cs="Times New Roman"/>
          <w:lang w:val="pt-BR"/>
        </w:rPr>
        <w:t xml:space="preserve">Este trabalho investiga a relação entre gasto do governo e crescimento econômico para o Brasil. Especificamente, o objetivo é estimar o tamanho ótimo do governo que maximiza o crescimento econômico. Teoricamente a relação entre gasto do governo e crescimento econômico é conhecida como “Curva BARS”. Utilizou-se a metodologia </w:t>
      </w:r>
      <w:r w:rsidRPr="009E2740">
        <w:rPr>
          <w:rFonts w:ascii="Times New Roman" w:eastAsia="Times New Roman" w:hAnsi="Times New Roman" w:cs="Times New Roman"/>
          <w:lang w:val="pt-BR"/>
        </w:rPr>
        <w:t>ARDL (</w:t>
      </w:r>
      <w:r w:rsidRPr="009E2740">
        <w:rPr>
          <w:rFonts w:ascii="Times New Roman" w:eastAsia="Times New Roman" w:hAnsi="Times New Roman" w:cs="Times New Roman"/>
          <w:i/>
          <w:lang w:val="pt-BR"/>
        </w:rPr>
        <w:t>Autoregressive with Distributed Lags</w:t>
      </w:r>
      <w:r w:rsidRPr="009E2740">
        <w:rPr>
          <w:rFonts w:ascii="Times New Roman" w:eastAsia="Times New Roman" w:hAnsi="Times New Roman" w:cs="Times New Roman"/>
          <w:lang w:val="pt-BR"/>
        </w:rPr>
        <w:t>) com testes de limites (</w:t>
      </w:r>
      <w:r w:rsidRPr="009E2740">
        <w:rPr>
          <w:rFonts w:ascii="Times New Roman" w:eastAsia="Times New Roman" w:hAnsi="Times New Roman" w:cs="Times New Roman"/>
          <w:i/>
          <w:lang w:val="pt-BR"/>
        </w:rPr>
        <w:t>bounds test</w:t>
      </w:r>
      <w:r w:rsidRPr="009E2740">
        <w:rPr>
          <w:rFonts w:ascii="Times New Roman" w:eastAsia="Times New Roman" w:hAnsi="Times New Roman" w:cs="Times New Roman"/>
          <w:lang w:val="pt-BR"/>
        </w:rPr>
        <w:t>). Uma das vantagens desta metodologia é de ser menos sensível ao problema de pequenas amostras</w:t>
      </w:r>
      <w:r w:rsidRPr="009E2740">
        <w:rPr>
          <w:rFonts w:ascii="Times New Roman" w:hAnsi="Times New Roman" w:cs="Times New Roman"/>
          <w:lang w:val="pt-BR"/>
        </w:rPr>
        <w:t>. Essa metodologia foi aplicada para dados de PIB e carga tributária do Brasil no período de 1947 a 2013. O resultado obtido indica uma carga tributária ótima de 28,38% do PIB e a evidência que a Lei de Responsabilidade Fiscal teve impacto positivo para o crescimento econômico.</w:t>
      </w:r>
    </w:p>
    <w:p w14:paraId="765294D2" w14:textId="77777777" w:rsidR="00E31011" w:rsidRPr="009E2740" w:rsidRDefault="00E31011" w:rsidP="009E2740">
      <w:pPr>
        <w:spacing w:line="240" w:lineRule="auto"/>
        <w:rPr>
          <w:rFonts w:ascii="Times New Roman" w:hAnsi="Times New Roman" w:cs="Times New Roman"/>
          <w:lang w:val="pt-BR"/>
        </w:rPr>
      </w:pPr>
      <w:r w:rsidRPr="009E2740">
        <w:rPr>
          <w:rFonts w:ascii="Times New Roman" w:hAnsi="Times New Roman" w:cs="Times New Roman"/>
          <w:lang w:val="pt-BR"/>
        </w:rPr>
        <w:t>Palavras-chave: Carga tributária, Escolha Pública, Economia Brasileira</w:t>
      </w:r>
    </w:p>
    <w:p w14:paraId="6C703C93" w14:textId="478848FB" w:rsidR="00380DF3" w:rsidRDefault="00E31011" w:rsidP="009E2740">
      <w:pPr>
        <w:spacing w:line="240" w:lineRule="auto"/>
        <w:rPr>
          <w:rFonts w:ascii="Times New Roman" w:hAnsi="Times New Roman" w:cs="Times New Roman"/>
          <w:lang w:val="pt-BR"/>
        </w:rPr>
      </w:pPr>
      <w:r w:rsidRPr="009E2740">
        <w:rPr>
          <w:rFonts w:ascii="Times New Roman" w:hAnsi="Times New Roman" w:cs="Times New Roman"/>
          <w:lang w:val="pt-BR"/>
        </w:rPr>
        <w:t xml:space="preserve">Classificação JEL: </w:t>
      </w:r>
      <w:r w:rsidR="00485E2A">
        <w:rPr>
          <w:rFonts w:ascii="Times New Roman" w:hAnsi="Times New Roman" w:cs="Times New Roman"/>
          <w:lang w:val="pt-BR"/>
        </w:rPr>
        <w:t>H21, H50, C22</w:t>
      </w:r>
    </w:p>
    <w:p w14:paraId="4BB89453" w14:textId="77777777" w:rsidR="00380DF3" w:rsidRPr="008C4FAA" w:rsidRDefault="00380DF3" w:rsidP="00380DF3">
      <w:pPr>
        <w:spacing w:line="360" w:lineRule="auto"/>
        <w:jc w:val="center"/>
        <w:rPr>
          <w:b/>
          <w:lang w:val="pt-BR"/>
        </w:rPr>
      </w:pPr>
      <w:r>
        <w:rPr>
          <w:b/>
          <w:lang w:val="pt-BR"/>
        </w:rPr>
        <w:t>Abstract</w:t>
      </w:r>
    </w:p>
    <w:p w14:paraId="031F1E7B" w14:textId="77777777" w:rsidR="00380DF3" w:rsidRPr="00380DF3" w:rsidRDefault="00380DF3" w:rsidP="001E32BF">
      <w:pPr>
        <w:spacing w:after="0" w:line="240" w:lineRule="auto"/>
        <w:jc w:val="both"/>
        <w:rPr>
          <w:rFonts w:ascii="Times New Roman" w:hAnsi="Times New Roman" w:cs="Times New Roman"/>
        </w:rPr>
      </w:pPr>
      <w:r w:rsidRPr="00380DF3">
        <w:rPr>
          <w:rFonts w:ascii="Times New Roman" w:hAnsi="Times New Roman" w:cs="Times New Roman"/>
        </w:rPr>
        <w:t xml:space="preserve">This article studies the relationship between the tax burden and the economic growth in Brazil. Specifically, the main objective is to estimate the optimal size of the government that maximizes the economic growth. The </w:t>
      </w:r>
      <w:r w:rsidRPr="00380DF3">
        <w:rPr>
          <w:rFonts w:ascii="Times New Roman" w:eastAsia="Times New Roman" w:hAnsi="Times New Roman" w:cs="Times New Roman"/>
        </w:rPr>
        <w:t>ARDL (</w:t>
      </w:r>
      <w:r w:rsidRPr="00380DF3">
        <w:rPr>
          <w:rFonts w:ascii="Times New Roman" w:eastAsia="Times New Roman" w:hAnsi="Times New Roman" w:cs="Times New Roman"/>
          <w:i/>
        </w:rPr>
        <w:t>Autoregressive with Distributed Lags</w:t>
      </w:r>
      <w:r w:rsidRPr="00380DF3">
        <w:rPr>
          <w:rFonts w:ascii="Times New Roman" w:eastAsia="Times New Roman" w:hAnsi="Times New Roman" w:cs="Times New Roman"/>
        </w:rPr>
        <w:t>) method was used with bounds test. One of the advantages of this methodology is to be less sensitive to the problem of small samples. Our sample has the GDP and the tax burden in Brazil, for years 1947 to 2013. Our results are that the optimal tax burden is 28.38% of the GDP and also that the “Lei de Responsabilidade Fiscal” (Fiscal Responsability Law) had a positive effect in the economic growth</w:t>
      </w:r>
      <w:r w:rsidRPr="00380DF3">
        <w:rPr>
          <w:rFonts w:ascii="Times New Roman" w:hAnsi="Times New Roman" w:cs="Times New Roman"/>
        </w:rPr>
        <w:t>.</w:t>
      </w:r>
    </w:p>
    <w:p w14:paraId="5BE0FE7E" w14:textId="77777777" w:rsidR="00380DF3" w:rsidRPr="00380DF3" w:rsidRDefault="00380DF3" w:rsidP="00380DF3">
      <w:pPr>
        <w:rPr>
          <w:rFonts w:ascii="Times New Roman" w:hAnsi="Times New Roman" w:cs="Times New Roman"/>
          <w:lang w:val="pt-BR"/>
        </w:rPr>
      </w:pPr>
      <w:r w:rsidRPr="00380DF3">
        <w:rPr>
          <w:rFonts w:ascii="Times New Roman" w:hAnsi="Times New Roman" w:cs="Times New Roman"/>
          <w:lang w:val="pt-BR"/>
        </w:rPr>
        <w:t>Keywords: Tax Burden , Public Choice, Brazilian Economy</w:t>
      </w:r>
    </w:p>
    <w:p w14:paraId="7BC7BD3C" w14:textId="77777777" w:rsidR="00485E2A" w:rsidRDefault="00380DF3" w:rsidP="00485E2A">
      <w:pPr>
        <w:spacing w:line="240" w:lineRule="auto"/>
        <w:rPr>
          <w:rFonts w:ascii="Times New Roman" w:hAnsi="Times New Roman" w:cs="Times New Roman"/>
          <w:lang w:val="pt-BR"/>
        </w:rPr>
      </w:pPr>
      <w:r>
        <w:rPr>
          <w:rFonts w:ascii="Times New Roman" w:hAnsi="Times New Roman" w:cs="Times New Roman"/>
          <w:lang w:val="pt-BR"/>
        </w:rPr>
        <w:t xml:space="preserve">Code JEL: </w:t>
      </w:r>
      <w:r w:rsidR="00485E2A">
        <w:rPr>
          <w:rFonts w:ascii="Times New Roman" w:hAnsi="Times New Roman" w:cs="Times New Roman"/>
          <w:lang w:val="pt-BR"/>
        </w:rPr>
        <w:t>H21, H50, C22</w:t>
      </w:r>
    </w:p>
    <w:p w14:paraId="2EB84A42" w14:textId="0C721F9B" w:rsidR="001E32BF" w:rsidRDefault="001E32BF">
      <w:pPr>
        <w:rPr>
          <w:rFonts w:ascii="Times New Roman" w:hAnsi="Times New Roman" w:cs="Times New Roman"/>
          <w:lang w:val="pt-BR"/>
        </w:rPr>
      </w:pPr>
      <w:r>
        <w:rPr>
          <w:rFonts w:ascii="Times New Roman" w:hAnsi="Times New Roman" w:cs="Times New Roman"/>
          <w:lang w:val="pt-BR"/>
        </w:rPr>
        <w:br w:type="page"/>
      </w:r>
    </w:p>
    <w:p w14:paraId="6B027FA4" w14:textId="77777777" w:rsidR="00C913AB" w:rsidRPr="009E2740" w:rsidRDefault="00C913AB" w:rsidP="009E2740">
      <w:pPr>
        <w:pStyle w:val="ListParagraph"/>
        <w:numPr>
          <w:ilvl w:val="0"/>
          <w:numId w:val="1"/>
        </w:numPr>
        <w:spacing w:after="0" w:line="240" w:lineRule="auto"/>
        <w:rPr>
          <w:rFonts w:ascii="Times New Roman" w:hAnsi="Times New Roman" w:cs="Times New Roman"/>
          <w:b/>
          <w:lang w:val="pt-BR"/>
        </w:rPr>
      </w:pPr>
      <w:r w:rsidRPr="009E2740">
        <w:rPr>
          <w:rFonts w:ascii="Times New Roman" w:hAnsi="Times New Roman" w:cs="Times New Roman"/>
          <w:b/>
          <w:lang w:val="pt-BR"/>
        </w:rPr>
        <w:lastRenderedPageBreak/>
        <w:t>Introdução</w:t>
      </w:r>
    </w:p>
    <w:p w14:paraId="64163553" w14:textId="5079B9D4" w:rsidR="00617EF9" w:rsidRPr="009E2740" w:rsidRDefault="00617EF9" w:rsidP="009E2740">
      <w:pPr>
        <w:spacing w:after="0" w:line="240" w:lineRule="auto"/>
        <w:ind w:firstLine="709"/>
        <w:jc w:val="right"/>
        <w:rPr>
          <w:rFonts w:ascii="Times New Roman" w:hAnsi="Times New Roman" w:cs="Times New Roman"/>
          <w:i/>
          <w:sz w:val="20"/>
          <w:szCs w:val="20"/>
          <w:lang w:val="pt-BR"/>
        </w:rPr>
      </w:pPr>
      <w:r w:rsidRPr="009E2740">
        <w:rPr>
          <w:rFonts w:ascii="Times New Roman" w:hAnsi="Times New Roman" w:cs="Times New Roman"/>
          <w:i/>
          <w:sz w:val="20"/>
          <w:szCs w:val="20"/>
          <w:lang w:val="pt-BR"/>
        </w:rPr>
        <w:t>A avareza do fisco e a sua sem-ceremonia, atropellando até os proprios regulamentos, quando trata de receber, correspondem perfeitamente á sua insupportavel  lentidão quando trata de pagar. (</w:t>
      </w:r>
      <w:r w:rsidRPr="009E2740">
        <w:rPr>
          <w:rFonts w:ascii="Times New Roman" w:hAnsi="Times New Roman" w:cs="Times New Roman"/>
          <w:i/>
          <w:sz w:val="20"/>
          <w:szCs w:val="20"/>
          <w:lang w:val="pt-BR"/>
        </w:rPr>
        <w:fldChar w:fldCharType="begin" w:fldLock="1"/>
      </w:r>
      <w:r w:rsidR="00265BDE" w:rsidRPr="009E2740">
        <w:rPr>
          <w:rFonts w:ascii="Times New Roman" w:hAnsi="Times New Roman" w:cs="Times New Roman"/>
          <w:i/>
          <w:sz w:val="20"/>
          <w:szCs w:val="20"/>
          <w:lang w:val="pt-BR"/>
        </w:rPr>
        <w:instrText>ADDIN CSL_CITATION { "citationItems" : [ { "id" : "ITEM-1", "itemData" : { "author" : [ { "dropping-particle" : "", "family" : "Tavares Bastos", "given" : "Aureliano C\u00e2ndido", "non-dropping-particle" : "", "parse-names" : false, "suffix" : "" } ], "edition" : "2", "id" : "ITEM-1", "issued" : { "date-parts" : [ [ "1863" ] ] }, "number-of-pages" : "433", "publisher" : "Typgrafia da Actualidade", "publisher-place" : "Rio de Janeiro", "title" : "Cartas do Solit\u00e1rio", "type" : "book" }, "uris" : [ "http://www.mendeley.com/documents/?uuid=ac9704e1-69e2-4c61-95a8-6ec99412aad0" ] } ], "mendeley" : { "formattedCitation" : "(Tavares Bastos, 1863)", "plainTextFormattedCitation" : "(Tavares Bastos, 1863)", "previouslyFormattedCitation" : "(Tavares Bastos, 1863)" }, "properties" : { "noteIndex" : 0 }, "schema" : "https://github.com/citation-style-language/schema/raw/master/csl-citation.json" }</w:instrText>
      </w:r>
      <w:r w:rsidRPr="009E2740">
        <w:rPr>
          <w:rFonts w:ascii="Times New Roman" w:hAnsi="Times New Roman" w:cs="Times New Roman"/>
          <w:i/>
          <w:sz w:val="20"/>
          <w:szCs w:val="20"/>
          <w:lang w:val="pt-BR"/>
        </w:rPr>
        <w:fldChar w:fldCharType="separate"/>
      </w:r>
      <w:r w:rsidR="00265BDE" w:rsidRPr="009E2740">
        <w:rPr>
          <w:rFonts w:ascii="Times New Roman" w:hAnsi="Times New Roman" w:cs="Times New Roman"/>
          <w:noProof/>
          <w:sz w:val="20"/>
          <w:szCs w:val="20"/>
          <w:lang w:val="pt-BR"/>
        </w:rPr>
        <w:t>(Tavares Bastos, 1863)</w:t>
      </w:r>
      <w:r w:rsidRPr="009E2740">
        <w:rPr>
          <w:rFonts w:ascii="Times New Roman" w:hAnsi="Times New Roman" w:cs="Times New Roman"/>
          <w:i/>
          <w:sz w:val="20"/>
          <w:szCs w:val="20"/>
          <w:lang w:val="pt-BR"/>
        </w:rPr>
        <w:fldChar w:fldCharType="end"/>
      </w:r>
      <w:r w:rsidRPr="009E2740">
        <w:rPr>
          <w:rFonts w:ascii="Times New Roman" w:hAnsi="Times New Roman" w:cs="Times New Roman"/>
          <w:i/>
          <w:sz w:val="20"/>
          <w:szCs w:val="20"/>
          <w:lang w:val="pt-BR"/>
        </w:rPr>
        <w:t>, p.6-7)</w:t>
      </w:r>
    </w:p>
    <w:p w14:paraId="0B6B8095" w14:textId="382E74D0" w:rsidR="0037260F" w:rsidRPr="009E2740" w:rsidRDefault="00C913AB"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A carga tributária é sempre um tema polêmico nas discussões acerca da economia brasileira</w:t>
      </w:r>
      <w:r w:rsidR="000920FB" w:rsidRPr="009E2740">
        <w:rPr>
          <w:rFonts w:ascii="Times New Roman" w:hAnsi="Times New Roman" w:cs="Times New Roman"/>
          <w:lang w:val="pt-BR"/>
        </w:rPr>
        <w:t xml:space="preserve">, geralmente associada </w:t>
      </w:r>
      <w:r w:rsidR="00817BB0" w:rsidRPr="009E2740">
        <w:rPr>
          <w:rFonts w:ascii="Times New Roman" w:hAnsi="Times New Roman" w:cs="Times New Roman"/>
          <w:lang w:val="pt-BR"/>
        </w:rPr>
        <w:t>ao estudo do</w:t>
      </w:r>
      <w:r w:rsidR="000920FB" w:rsidRPr="009E2740">
        <w:rPr>
          <w:rFonts w:ascii="Times New Roman" w:hAnsi="Times New Roman" w:cs="Times New Roman"/>
          <w:lang w:val="pt-BR"/>
        </w:rPr>
        <w:t xml:space="preserve"> custo social </w:t>
      </w:r>
      <w:r w:rsidR="00817BB0" w:rsidRPr="009E2740">
        <w:rPr>
          <w:rFonts w:ascii="Times New Roman" w:hAnsi="Times New Roman" w:cs="Times New Roman"/>
          <w:lang w:val="pt-BR"/>
        </w:rPr>
        <w:t xml:space="preserve">relacionados </w:t>
      </w:r>
      <w:r w:rsidR="000920FB" w:rsidRPr="009E2740">
        <w:rPr>
          <w:rFonts w:ascii="Times New Roman" w:hAnsi="Times New Roman" w:cs="Times New Roman"/>
          <w:lang w:val="pt-BR"/>
        </w:rPr>
        <w:t>às falhas de governo</w:t>
      </w:r>
      <w:r w:rsidRPr="009E2740">
        <w:rPr>
          <w:rFonts w:ascii="Times New Roman" w:hAnsi="Times New Roman" w:cs="Times New Roman"/>
          <w:lang w:val="pt-BR"/>
        </w:rPr>
        <w:t>. Conforme destacado por</w:t>
      </w:r>
      <w:r w:rsidR="00A250CE" w:rsidRPr="009E2740">
        <w:rPr>
          <w:rFonts w:ascii="Times New Roman" w:hAnsi="Times New Roman" w:cs="Times New Roman"/>
          <w:lang w:val="pt-BR"/>
        </w:rPr>
        <w:t xml:space="preserve"> </w:t>
      </w:r>
      <w:r w:rsidR="00A250CE"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"10.1017/CBO9781107415324.004", "ISBN" : "9788578110796", "ISSN" : "1098-6596", "PMID" : "25246403", "author" : [ { "dropping-particle" : "", "family" : "Peltzman", "given" : "Sam", "non-dropping-particle" : "", "parse-names" : false, "suffix" : "" } ], "container-title" : "Journal of Law and Economics", "id" : "ITEM-1", "issue" : "2", "issued" : { "date-parts" : [ [ "1980" ] ] }, "page" : "209-287", "title" : "The Growth of Government", "type" : "article-journal", "volume" : "23" }, "uris" : [ "http://www.mendeley.com/documents/?uuid=706c0ced-1e97-4c3e-98f6-9adc3acae53c" ] } ], "mendeley" : { "formattedCitation" : "(Peltzman, 1980)", "plainTextFormattedCitation" : "(Peltzman, 1980)", "previouslyFormattedCitation" : "(Peltzman, 1980)" }, "properties" : { "noteIndex" : 0 }, "schema" : "https://github.com/citation-style-language/schema/raw/master/csl-citation.json" }</w:instrText>
      </w:r>
      <w:r w:rsidR="00A250CE"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(Peltzman, 1980)</w:t>
      </w:r>
      <w:r w:rsidR="00A250CE" w:rsidRPr="009E2740">
        <w:rPr>
          <w:rFonts w:ascii="Times New Roman" w:hAnsi="Times New Roman" w:cs="Times New Roman"/>
          <w:lang w:val="pt-BR"/>
        </w:rPr>
        <w:fldChar w:fldCharType="end"/>
      </w:r>
      <w:r w:rsidR="00A250CE" w:rsidRPr="009E2740">
        <w:rPr>
          <w:rFonts w:ascii="Times New Roman" w:hAnsi="Times New Roman" w:cs="Times New Roman"/>
          <w:lang w:val="pt-BR"/>
        </w:rPr>
        <w:t xml:space="preserve"> e </w:t>
      </w:r>
      <w:r w:rsidR="00A250CE"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"Mueller", "given" : "Dennis C.", "non-dropping-particle" : "", "parse-names" : false, "suffix" : "" } ], "id" : "ITEM-1", "issued" : { "date-parts" : [ [ "2003" ] ] }, "number-of-pages" : "790", "publisher" : "Cambridge University Press", "publisher-place" : "Cambridge", "title" : "Public Choice III", "type" : "book" }, "uris" : [ "http://www.mendeley.com/documents/?uuid=0546ac5e-b6ee-4dc0-bb62-fafb134aa300" ] } ], "mendeley" : { "formattedCitation" : "(Mueller, 2003)", "plainTextFormattedCitation" : "(Mueller, 2003)", "previouslyFormattedCitation" : "(Mueller, 2003)" }, "properties" : { "noteIndex" : 0 }, "schema" : "https://github.com/citation-style-language/schema/raw/master/csl-citation.json" }</w:instrText>
      </w:r>
      <w:r w:rsidR="00A250CE"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(Mueller, 2003)</w:t>
      </w:r>
      <w:r w:rsidR="00A250CE" w:rsidRPr="009E2740">
        <w:rPr>
          <w:rFonts w:ascii="Times New Roman" w:hAnsi="Times New Roman" w:cs="Times New Roman"/>
          <w:lang w:val="pt-BR"/>
        </w:rPr>
        <w:fldChar w:fldCharType="end"/>
      </w:r>
      <w:r w:rsidRPr="009E2740">
        <w:rPr>
          <w:rFonts w:ascii="Times New Roman" w:hAnsi="Times New Roman" w:cs="Times New Roman"/>
          <w:lang w:val="pt-BR"/>
        </w:rPr>
        <w:t xml:space="preserve">, o </w:t>
      </w:r>
      <w:r w:rsidR="006C6DBA" w:rsidRPr="009E2740">
        <w:rPr>
          <w:rFonts w:ascii="Times New Roman" w:hAnsi="Times New Roman" w:cs="Times New Roman"/>
          <w:lang w:val="pt-BR"/>
        </w:rPr>
        <w:t>fenômeno do crescimento do governo é multifacetado, env</w:t>
      </w:r>
      <w:r w:rsidR="00007F11">
        <w:rPr>
          <w:rFonts w:ascii="Times New Roman" w:hAnsi="Times New Roman" w:cs="Times New Roman"/>
          <w:lang w:val="pt-BR"/>
        </w:rPr>
        <w:t xml:space="preserve">olvendo aspectos que podem ser </w:t>
      </w:r>
      <w:r w:rsidR="006C6DBA" w:rsidRPr="009E2740">
        <w:rPr>
          <w:rFonts w:ascii="Times New Roman" w:hAnsi="Times New Roman" w:cs="Times New Roman"/>
          <w:lang w:val="pt-BR"/>
        </w:rPr>
        <w:t>agrupar</w:t>
      </w:r>
      <w:r w:rsidR="00A01EB7" w:rsidRPr="009E2740">
        <w:rPr>
          <w:rFonts w:ascii="Times New Roman" w:hAnsi="Times New Roman" w:cs="Times New Roman"/>
          <w:lang w:val="pt-BR"/>
        </w:rPr>
        <w:t>, para fins didáticos,</w:t>
      </w:r>
      <w:r w:rsidR="006C6DBA" w:rsidRPr="009E2740">
        <w:rPr>
          <w:rFonts w:ascii="Times New Roman" w:hAnsi="Times New Roman" w:cs="Times New Roman"/>
          <w:lang w:val="pt-BR"/>
        </w:rPr>
        <w:t xml:space="preserve"> em três grandes categorias: (a) econômico, (b) político e (c) ideológico.</w:t>
      </w:r>
      <w:r w:rsidR="00656D81" w:rsidRPr="009E2740">
        <w:rPr>
          <w:rFonts w:ascii="Times New Roman" w:hAnsi="Times New Roman" w:cs="Times New Roman"/>
          <w:lang w:val="pt-BR"/>
        </w:rPr>
        <w:t xml:space="preserve"> Todos eles podem fazer com que a carga tributária esteja em um ponto distante de seu nível ótimo em termos de geração de bem-estar. </w:t>
      </w:r>
    </w:p>
    <w:p w14:paraId="6AB6C355" w14:textId="0476E66D" w:rsidR="001979A9" w:rsidRPr="009E2740" w:rsidRDefault="00A01EB7" w:rsidP="009E2740">
      <w:pPr>
        <w:spacing w:after="0" w:line="240" w:lineRule="auto"/>
        <w:ind w:firstLine="709"/>
        <w:jc w:val="both"/>
        <w:rPr>
          <w:rFonts w:ascii="Times New Roman" w:hAnsi="Times New Roman" w:cs="Times New Roman"/>
        </w:rPr>
      </w:pPr>
      <w:r w:rsidRPr="009E2740">
        <w:rPr>
          <w:rFonts w:ascii="Times New Roman" w:hAnsi="Times New Roman" w:cs="Times New Roman"/>
          <w:lang w:val="pt-BR"/>
        </w:rPr>
        <w:t xml:space="preserve">De certa forma, o tamanho da carga tributária </w:t>
      </w:r>
      <w:r w:rsidR="00D062C7" w:rsidRPr="009E2740">
        <w:rPr>
          <w:rFonts w:ascii="Times New Roman" w:hAnsi="Times New Roman" w:cs="Times New Roman"/>
          <w:lang w:val="pt-BR"/>
        </w:rPr>
        <w:t xml:space="preserve">situa-se em um problema mais amplo, talvez o mais importante dos </w:t>
      </w:r>
      <w:r w:rsidRPr="009E2740">
        <w:rPr>
          <w:rFonts w:ascii="Times New Roman" w:hAnsi="Times New Roman" w:cs="Times New Roman"/>
          <w:lang w:val="pt-BR"/>
        </w:rPr>
        <w:t>problemas de</w:t>
      </w:r>
      <w:r w:rsidR="00F013C2" w:rsidRPr="009E2740">
        <w:rPr>
          <w:rFonts w:ascii="Times New Roman" w:hAnsi="Times New Roman" w:cs="Times New Roman"/>
          <w:lang w:val="pt-BR"/>
        </w:rPr>
        <w:t xml:space="preserve"> ação coletiva. </w:t>
      </w:r>
      <w:r w:rsidR="001979A9"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"abstract" : "This paper addresses the following question: Does characterizing the state to be an agent of its citizens provide a useful \u201cas if\u201d framework for positive analysis of economic policy? Or, can we understand economic policy only by explicitly characterizing the state as proprietary, the instrument of the ruling elite?", "author" : [ { "dropping-particle" : "", "family" : "Grossman", "given" : "Herschel I.", "non-dropping-particle" : "", "parse-names" : false, "suffix" : "" } ], "container-title" : "Economics of Governance", "id" : "ITEM-1", "issue" : "1", "issued" : { "date-parts" : [ [ "2000" ] ] }, "page" : "3-11", "title" : "The state: Agent or proprietor?", "type" : "article-journal", "volume" : "1" }, "uris" : [ "http://www.mendeley.com/documents/?uuid=7e03f163-e766-4f58-9a18-e3365e194026" ] } ], "mendeley" : { "formattedCitation" : "(H. I. Grossman, 2000)", "plainTextFormattedCitation" : "(H. I. Grossman, 2000)", "previouslyFormattedCitation" : "(H. I. Grossman, 2000)" }, "properties" : { "noteIndex" : 0 }, "schema" : "https://github.com/citation-style-language/schema/raw/master/csl-citation.json" }</w:instrText>
      </w:r>
      <w:r w:rsidR="001979A9" w:rsidRPr="009E2740">
        <w:rPr>
          <w:rFonts w:ascii="Times New Roman" w:hAnsi="Times New Roman" w:cs="Times New Roman"/>
          <w:lang w:val="pt-BR"/>
        </w:rPr>
        <w:fldChar w:fldCharType="separate"/>
      </w:r>
      <w:r w:rsidR="00265BDE" w:rsidRPr="009E2740">
        <w:rPr>
          <w:rFonts w:ascii="Times New Roman" w:hAnsi="Times New Roman" w:cs="Times New Roman"/>
          <w:noProof/>
        </w:rPr>
        <w:t>(H. I. Grossman, 2000)</w:t>
      </w:r>
      <w:r w:rsidR="001979A9" w:rsidRPr="009E2740">
        <w:rPr>
          <w:rFonts w:ascii="Times New Roman" w:hAnsi="Times New Roman" w:cs="Times New Roman"/>
          <w:lang w:val="pt-BR"/>
        </w:rPr>
        <w:fldChar w:fldCharType="end"/>
      </w:r>
      <w:r w:rsidR="00574785" w:rsidRPr="009E2740">
        <w:rPr>
          <w:rFonts w:ascii="Times New Roman" w:hAnsi="Times New Roman" w:cs="Times New Roman"/>
        </w:rPr>
        <w:t xml:space="preserve"> é esclarecedor:</w:t>
      </w:r>
    </w:p>
    <w:p w14:paraId="74D51847" w14:textId="77777777" w:rsidR="001979A9" w:rsidRPr="009E2740" w:rsidRDefault="001979A9" w:rsidP="009E2740">
      <w:pPr>
        <w:spacing w:after="0" w:line="240" w:lineRule="auto"/>
        <w:ind w:firstLine="709"/>
        <w:jc w:val="both"/>
        <w:rPr>
          <w:rFonts w:ascii="Times New Roman" w:hAnsi="Times New Roman" w:cs="Times New Roman"/>
        </w:rPr>
      </w:pPr>
    </w:p>
    <w:p w14:paraId="259B48D8" w14:textId="013B91DE" w:rsidR="001979A9" w:rsidRPr="009E2740" w:rsidRDefault="001979A9" w:rsidP="009E2740">
      <w:pPr>
        <w:spacing w:after="0" w:line="240" w:lineRule="auto"/>
        <w:ind w:left="990"/>
        <w:jc w:val="both"/>
        <w:rPr>
          <w:rFonts w:ascii="Times New Roman" w:hAnsi="Times New Roman" w:cs="Times New Roman"/>
          <w:i/>
          <w:lang w:val="pt-BR"/>
        </w:rPr>
      </w:pPr>
      <w:r w:rsidRPr="009E2740">
        <w:rPr>
          <w:rFonts w:ascii="Times New Roman" w:hAnsi="Times New Roman" w:cs="Times New Roman"/>
          <w:i/>
        </w:rPr>
        <w:t xml:space="preserve">In order for the state to enforce collective choices about resource allocation and income distribution, the citizenry must subject itself to the state’s power to tax and to spend. The paradox is that with these sovereign powers in hand the state can exploit its citizens by taxing and spending for its own purposes. </w:t>
      </w:r>
      <w:r w:rsidRPr="009E2740">
        <w:rPr>
          <w:rFonts w:ascii="Times New Roman" w:hAnsi="Times New Roman" w:cs="Times New Roman"/>
          <w:i/>
          <w:lang w:val="pt-BR"/>
        </w:rPr>
        <w:t>[</w:t>
      </w:r>
      <w:r w:rsidRPr="009E2740">
        <w:rPr>
          <w:rFonts w:ascii="Times New Roman" w:hAnsi="Times New Roman" w:cs="Times New Roman"/>
          <w:i/>
        </w:rPr>
        <w:fldChar w:fldCharType="begin" w:fldLock="1"/>
      </w:r>
      <w:r w:rsidR="00265BDE" w:rsidRPr="009E2740">
        <w:rPr>
          <w:rFonts w:ascii="Times New Roman" w:hAnsi="Times New Roman" w:cs="Times New Roman"/>
          <w:i/>
          <w:lang w:val="pt-BR"/>
        </w:rPr>
        <w:instrText>ADDIN CSL_CITATION { "citationItems" : [ { "id" : "ITEM-1", "itemData" : { "abstract" : "This paper addresses the following question: Does characterizing the state to be an agent of its citizens provide a useful \u201cas if\u201d framework for positive analysis of economic policy? Or, can we understand economic policy only by explicitly characterizing the state as proprietary, the instrument of the ruling elite?", "author" : [ { "dropping-particle" : "", "family" : "Grossman", "given" : "Herschel I.", "non-dropping-particle" : "", "parse-names" : false, "suffix" : "" } ], "container-title" : "Economics of Governance", "id" : "ITEM-1", "issue" : "1", "issued" : { "date-parts" : [ [ "2000" ] ] }, "page" : "3-11", "title" : "The state: Agent or proprietor?", "type" : "article-journal", "volume" : "1" }, "uris" : [ "http://www.mendeley.com/documents/?uuid=7e03f163-e766-4f58-9a18-e3365e194026" ] } ], "mendeley" : { "formattedCitation" : "(H. I. Grossman, 2000)", "plainTextFormattedCitation" : "(H. I. Grossman, 2000)", "previouslyFormattedCitation" : "(H. I. Grossman, 2000)" }, "properties" : { "noteIndex" : 0 }, "schema" : "https://github.com/citation-style-language/schema/raw/master/csl-citation.json" }</w:instrText>
      </w:r>
      <w:r w:rsidRPr="009E2740">
        <w:rPr>
          <w:rFonts w:ascii="Times New Roman" w:hAnsi="Times New Roman" w:cs="Times New Roman"/>
          <w:i/>
        </w:rPr>
        <w:fldChar w:fldCharType="separate"/>
      </w:r>
      <w:r w:rsidR="00265BDE" w:rsidRPr="009E2740">
        <w:rPr>
          <w:rFonts w:ascii="Times New Roman" w:hAnsi="Times New Roman" w:cs="Times New Roman"/>
          <w:noProof/>
          <w:lang w:val="pt-BR"/>
        </w:rPr>
        <w:t>(H. I. Grossman, 2000)</w:t>
      </w:r>
      <w:r w:rsidRPr="009E2740">
        <w:rPr>
          <w:rFonts w:ascii="Times New Roman" w:hAnsi="Times New Roman" w:cs="Times New Roman"/>
          <w:i/>
        </w:rPr>
        <w:fldChar w:fldCharType="end"/>
      </w:r>
      <w:r w:rsidRPr="009E2740">
        <w:rPr>
          <w:rFonts w:ascii="Times New Roman" w:hAnsi="Times New Roman" w:cs="Times New Roman"/>
          <w:i/>
          <w:lang w:val="pt-BR"/>
        </w:rPr>
        <w:t>, p.4]</w:t>
      </w:r>
    </w:p>
    <w:p w14:paraId="4E7FD5FD" w14:textId="77777777" w:rsidR="001979A9" w:rsidRPr="009E2740" w:rsidRDefault="001979A9" w:rsidP="009E2740">
      <w:pPr>
        <w:spacing w:after="0" w:line="240" w:lineRule="auto"/>
        <w:ind w:firstLine="709"/>
        <w:jc w:val="both"/>
        <w:rPr>
          <w:rFonts w:ascii="Times New Roman" w:hAnsi="Times New Roman" w:cs="Times New Roman"/>
          <w:lang w:val="pt-BR"/>
        </w:rPr>
      </w:pPr>
    </w:p>
    <w:p w14:paraId="5600D717" w14:textId="5600D9C4" w:rsidR="00D471F7" w:rsidRPr="009E2740" w:rsidRDefault="00F013C2"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O paradoxo </w:t>
      </w:r>
      <w:r w:rsidR="00D471F7" w:rsidRPr="009E2740">
        <w:rPr>
          <w:rFonts w:ascii="Times New Roman" w:hAnsi="Times New Roman" w:cs="Times New Roman"/>
          <w:lang w:val="pt-BR"/>
        </w:rPr>
        <w:t>mostra como a busca de explicações pelo tamanho do governo (e sua variação)</w:t>
      </w:r>
      <w:r w:rsidR="00510E06" w:rsidRPr="009E2740">
        <w:rPr>
          <w:rStyle w:val="FootnoteReference"/>
          <w:rFonts w:ascii="Times New Roman" w:hAnsi="Times New Roman" w:cs="Times New Roman"/>
          <w:lang w:val="pt-BR"/>
        </w:rPr>
        <w:footnoteReference w:id="1"/>
      </w:r>
      <w:r w:rsidR="00D471F7" w:rsidRPr="009E2740">
        <w:rPr>
          <w:rFonts w:ascii="Times New Roman" w:hAnsi="Times New Roman" w:cs="Times New Roman"/>
          <w:lang w:val="pt-BR"/>
        </w:rPr>
        <w:t xml:space="preserve"> não é uma questão trivial.</w:t>
      </w:r>
      <w:r w:rsidR="00A01EB7" w:rsidRPr="009E2740">
        <w:rPr>
          <w:rFonts w:ascii="Times New Roman" w:hAnsi="Times New Roman" w:cs="Times New Roman"/>
          <w:lang w:val="pt-BR"/>
        </w:rPr>
        <w:t xml:space="preserve"> A literatura é abundante nest</w:t>
      </w:r>
      <w:r w:rsidR="00817BB0" w:rsidRPr="009E2740">
        <w:rPr>
          <w:rFonts w:ascii="Times New Roman" w:hAnsi="Times New Roman" w:cs="Times New Roman"/>
          <w:lang w:val="pt-BR"/>
        </w:rPr>
        <w:t>e ponto</w:t>
      </w:r>
      <w:r w:rsidR="00A01EB7" w:rsidRPr="009E2740">
        <w:rPr>
          <w:rFonts w:ascii="Times New Roman" w:hAnsi="Times New Roman" w:cs="Times New Roman"/>
          <w:lang w:val="pt-BR"/>
        </w:rPr>
        <w:t xml:space="preserve">. </w:t>
      </w:r>
      <w:r w:rsidR="00D471F7" w:rsidRPr="009E2740">
        <w:rPr>
          <w:rFonts w:ascii="Times New Roman" w:hAnsi="Times New Roman" w:cs="Times New Roman"/>
          <w:lang w:val="pt-BR"/>
        </w:rPr>
        <w:t xml:space="preserve">Por exemplo, </w:t>
      </w:r>
      <w:r w:rsidR="00D471F7"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"ISBN" : "0022-3808", "author" : [ { "dropping-particle" : "", "family" : "Weingast", "given" : "Barry R", "non-dropping-particle" : "", "parse-names" : false, "suffix" : "" }, { "dropping-particle" : "", "family" : "Shepsle", "given" : "Kenneth A", "non-dropping-particle" : "", "parse-names" : false, "suffix" : "" }, { "dropping-particle" : "", "family" : "Johnsen", "given" : "Christopher", "non-dropping-particle" : "", "parse-names" : false, "suffix" : "" } ], "container-title" : "Journal of Political Economy", "id" : "ITEM-1", "issue" : "4", "issued" : { "date-parts" : [ [ "1981" ] ] }, "page" : "642-664", "title" : "The Political-Economy of Benefits and Costs - a Neoclassical Approach to Distributive Politics", "type" : "article-journal", "volume" : "89" }, "uris" : [ "http://www.mendeley.com/documents/?uuid=1247dbdc-a9cf-425c-9246-42cf9c06e498" ] } ], "mendeley" : { "formattedCitation" : "(Weingast, Shepsle, &amp; Johnsen, 1981)", "plainTextFormattedCitation" : "(Weingast, Shepsle, &amp; Johnsen, 1981)", "previouslyFormattedCitation" : "(Weingast, Shepsle, &amp; Johnsen, 1981)" }, "properties" : { "noteIndex" : 0 }, "schema" : "https://github.com/citation-style-language/schema/raw/master/csl-citation.json" }</w:instrText>
      </w:r>
      <w:r w:rsidR="00D471F7"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(Weingast, Shepsle, &amp; Johnsen, 1981)</w:t>
      </w:r>
      <w:r w:rsidR="00D471F7" w:rsidRPr="009E2740">
        <w:rPr>
          <w:rFonts w:ascii="Times New Roman" w:hAnsi="Times New Roman" w:cs="Times New Roman"/>
          <w:lang w:val="pt-BR"/>
        </w:rPr>
        <w:fldChar w:fldCharType="end"/>
      </w:r>
      <w:r w:rsidR="00D471F7" w:rsidRPr="009E2740">
        <w:rPr>
          <w:rFonts w:ascii="Times New Roman" w:hAnsi="Times New Roman" w:cs="Times New Roman"/>
          <w:lang w:val="pt-BR"/>
        </w:rPr>
        <w:t xml:space="preserve"> mostram que o governo pode ser maior do que o socialmente ótimo quando os incentivos políticos e econômicos não são os mesmos.  Evidências de que grupos de interesse poderiam fazer a diferença aparecem em </w:t>
      </w:r>
      <w:r w:rsidR="00D471F7"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"Olson", "given" : "Mancur", "non-dropping-particle" : "", "parse-names" : false, "suffix" : "" } ], "id" : "ITEM-1", "issued" : { "date-parts" : [ [ "1984" ] ] }, "number-of-pages" : "276", "publisher" : "Yale University Press", "title" : "The Rise and Decline of Nations: Economic Growth, Stagflation, and Social Rigidities: Mancur Olson: 9780300030792: Amazon.com: Books", "type" : "book" }, "uris" : [ "http://www.mendeley.com/documents/?uuid=4f893ea1-45ff-3d10-b0c3-c7071cba6805" ] } ], "mendeley" : { "formattedCitation" : "(Olson, 1984)", "plainTextFormattedCitation" : "(Olson, 1984)", "previouslyFormattedCitation" : "(Olson, 1984)" }, "properties" : { "noteIndex" : 0 }, "schema" : "https://github.com/citation-style-language/schema/raw/master/csl-citation.json" }</w:instrText>
      </w:r>
      <w:r w:rsidR="00D471F7"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(Olson, 1984)</w:t>
      </w:r>
      <w:r w:rsidR="00D471F7" w:rsidRPr="009E2740">
        <w:rPr>
          <w:rFonts w:ascii="Times New Roman" w:hAnsi="Times New Roman" w:cs="Times New Roman"/>
          <w:lang w:val="pt-BR"/>
        </w:rPr>
        <w:fldChar w:fldCharType="end"/>
      </w:r>
      <w:r w:rsidR="00D471F7" w:rsidRPr="009E2740">
        <w:rPr>
          <w:rFonts w:ascii="Times New Roman" w:hAnsi="Times New Roman" w:cs="Times New Roman"/>
          <w:lang w:val="pt-BR"/>
        </w:rPr>
        <w:t xml:space="preserve"> em sua discussão do </w:t>
      </w:r>
      <w:r w:rsidR="00D471F7" w:rsidRPr="009E2740">
        <w:rPr>
          <w:rFonts w:ascii="Times New Roman" w:hAnsi="Times New Roman" w:cs="Times New Roman"/>
          <w:i/>
          <w:lang w:val="pt-BR"/>
        </w:rPr>
        <w:t>efeito esclerose</w:t>
      </w:r>
      <w:r w:rsidR="00D471F7" w:rsidRPr="009E2740">
        <w:rPr>
          <w:rFonts w:ascii="Times New Roman" w:hAnsi="Times New Roman" w:cs="Times New Roman"/>
          <w:lang w:val="pt-BR"/>
        </w:rPr>
        <w:t xml:space="preserve"> que seria causado pela ação destes grupos em seu esforço de redistribuição de recursos</w:t>
      </w:r>
      <w:r w:rsidR="00D471F7" w:rsidRPr="009E2740">
        <w:rPr>
          <w:rStyle w:val="FootnoteReference"/>
          <w:rFonts w:ascii="Times New Roman" w:hAnsi="Times New Roman" w:cs="Times New Roman"/>
          <w:lang w:val="pt-BR"/>
        </w:rPr>
        <w:footnoteReference w:id="2"/>
      </w:r>
      <w:r w:rsidR="005B4A95" w:rsidRPr="009E2740">
        <w:rPr>
          <w:rFonts w:ascii="Times New Roman" w:hAnsi="Times New Roman" w:cs="Times New Roman"/>
          <w:lang w:val="pt-BR"/>
        </w:rPr>
        <w:t xml:space="preserve">. </w:t>
      </w:r>
      <w:r w:rsidR="00A01EB7" w:rsidRPr="009E2740">
        <w:rPr>
          <w:rFonts w:ascii="Times New Roman" w:hAnsi="Times New Roman" w:cs="Times New Roman"/>
          <w:lang w:val="pt-BR"/>
        </w:rPr>
        <w:t xml:space="preserve">Outro exemplo é </w:t>
      </w:r>
      <w:r w:rsidR="00A01EB7"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"10.1016/j.jue.2008.12.005", "ISBN" : "0094-1190 1095-9068", "ISSN" : "00941190", "abstract" : "First generation fiscal federalism (FGFF) studies the performance of decentralized systems under the assumption of benevolent social planners. Second generation fiscal federalism (SGFF) studies performance based on the fiscal and political incentives facing subnational officials. The paper focuses on three aspects of SGFF. First, it considers the design of intergovernmental transfers. While FGFF emphasizes correcting vertical and horizontal equity, SGFF emphasizes the importance of fiscal incentives for producing local economic prosperity. SGFF extends FGFF approaches by showing how non-linear transfer systems can produce both equalization and high marginal fiscal incentives to produce local economic growth. Second, the paper raises the fiscal incentive approach, showing how different tax systems produce different fiscal incentives for political officials to choose policies. Third, the paper discusses the interaction of democracy and fiscal federalism. ?? 2008 Elsevier Inc. All rights reserved.", "author" : [ { "dropping-particle" : "", "family" : "Weingast", "given" : "Barry R.", "non-dropping-particle" : "", "parse-names" : false, "suffix" : "" } ], "container-title" : "Journal of Urban Economics", "id" : "ITEM-1", "issue" : "3", "issued" : { "date-parts" : [ [ "2009" ] ] }, "page" : "279-293", "publisher" : "Elsevier Inc.", "title" : "Second generation fiscal federalism: The implications of fiscal incentives", "type" : "article-journal", "volume" : "65" }, "uris" : [ "http://www.mendeley.com/documents/?uuid=3e5e9ad2-d064-4864-ac68-a960c33307bc" ] }, { "id" : "ITEM-2", "itemData" : { "DOI" : "10.1016/j.worlddev.2013.01.003", "ISBN" : "0305750X", "ISSN" : "0305750X", "abstract" : "This essay contributes to second generation fiscal federalism (SGFF), which traces the implications of incentives created by political and fiscal institutions. The approach explores how various forms of fiscal federalism work in the presence of political officials who, rather than being benevolent social planners, face various forms of political incentives. The paper focuses on three sets of positive models: First, it explores self-enforcing federalism; that is, how federal systems are held together given various tendencies for federal systems to become centralized or fall apart. Second, it considers how specific political institutions, such as democracy, interact with decentralization. Finally, it studies various political impediments to economic growth, again highlighting the interaction with decentralization. ?? 2013 Elsevier Ltd.", "author" : [ { "dropping-particle" : "", "family" : "Weingast", "given" : "Barry R.", "non-dropping-particle" : "", "parse-names" : false, "suffix" : "" } ], "container-title" : "World Development", "id" : "ITEM-2", "issued" : { "date-parts" : [ [ "2014" ] ] }, "page" : "14-25", "publisher" : "Elsevier Ltd", "title" : "Second Generation Fiscal Federalism: Political Aspects of Decentralization and Economic Development", "type" : "article-journal", "volume" : "53" }, "uris" : [ "http://www.mendeley.com/documents/?uuid=047bc0fa-7115-4aff-9d0a-458ce53d5467" ] } ], "mendeley" : { "formattedCitation" : "(Weingast, 2009, 2014)", "plainTextFormattedCitation" : "(Weingast, 2009, 2014)", "previouslyFormattedCitation" : "(Weingast, 2009, 2014)" }, "properties" : { "noteIndex" : 0 }, "schema" : "https://github.com/citation-style-language/schema/raw/master/csl-citation.json" }</w:instrText>
      </w:r>
      <w:r w:rsidR="00A01EB7"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(Weingast, 2009, 2014)</w:t>
      </w:r>
      <w:r w:rsidR="00A01EB7" w:rsidRPr="009E2740">
        <w:rPr>
          <w:rFonts w:ascii="Times New Roman" w:hAnsi="Times New Roman" w:cs="Times New Roman"/>
          <w:lang w:val="pt-BR"/>
        </w:rPr>
        <w:fldChar w:fldCharType="end"/>
      </w:r>
      <w:r w:rsidR="00A01EB7" w:rsidRPr="009E2740">
        <w:rPr>
          <w:rFonts w:ascii="Times New Roman" w:hAnsi="Times New Roman" w:cs="Times New Roman"/>
          <w:lang w:val="pt-BR"/>
        </w:rPr>
        <w:t xml:space="preserve"> que mostra que o poder de tributar e o tamanho do governo são relacionados com a forma institucional em que a sociedade concebe a relação entre descentralização política e federalismo fiscal.</w:t>
      </w:r>
    </w:p>
    <w:p w14:paraId="14C63A3F" w14:textId="06ACA362" w:rsidR="00E04952" w:rsidRPr="009E2740" w:rsidRDefault="00A01EB7"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Para evidências histórica</w:t>
      </w:r>
      <w:r w:rsidR="00510E06" w:rsidRPr="009E2740">
        <w:rPr>
          <w:rFonts w:ascii="Times New Roman" w:hAnsi="Times New Roman" w:cs="Times New Roman"/>
          <w:lang w:val="pt-BR"/>
        </w:rPr>
        <w:t>s</w:t>
      </w:r>
      <w:r w:rsidR="00817BB0" w:rsidRPr="009E2740">
        <w:rPr>
          <w:rFonts w:ascii="Times New Roman" w:hAnsi="Times New Roman" w:cs="Times New Roman"/>
          <w:lang w:val="pt-BR"/>
        </w:rPr>
        <w:t xml:space="preserve"> sobre política tributária</w:t>
      </w:r>
      <w:r w:rsidRPr="009E2740">
        <w:rPr>
          <w:rFonts w:ascii="Times New Roman" w:hAnsi="Times New Roman" w:cs="Times New Roman"/>
          <w:lang w:val="pt-BR"/>
        </w:rPr>
        <w:t xml:space="preserve">, um dos artigos seminais </w:t>
      </w:r>
      <w:r w:rsidR="005B4A95" w:rsidRPr="009E2740">
        <w:rPr>
          <w:rFonts w:ascii="Times New Roman" w:hAnsi="Times New Roman" w:cs="Times New Roman"/>
          <w:lang w:val="pt-BR"/>
        </w:rPr>
        <w:t xml:space="preserve">é </w:t>
      </w:r>
      <w:r w:rsidR="005B4A95"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"Long", "given" : "J. Bradford", "non-dropping-particle" : "De", "parse-names" : false, "suffix" : "" }, { "dropping-particle" : "", "family" : "Shleifer", "given" : "Andrei", "non-dropping-particle" : "", "parse-names" : false, "suffix" : "" } ], "container-title" : "Journal of Law and Economics", "id" : "ITEM-1", "issued" : { "date-parts" : [ [ "1993" ] ] }, "page" : "673-702", "title" : "Princes and Merchants: European City Growth Before The Industrial Revolution", "type" : "article-journal", "volume" : "36" }, "uris" : [ "http://www.mendeley.com/documents/?uuid=316328e0-c628-4057-a848-40240c05f6fa" ] } ], "mendeley" : { "formattedCitation" : "(De Long &amp; Shleifer, 1993)", "plainTextFormattedCitation" : "(De Long &amp; Shleifer, 1993)", "previouslyFormattedCitation" : "(De Long &amp; Shleifer, 1993)" }, "properties" : { "noteIndex" : 0 }, "schema" : "https://github.com/citation-style-language/schema/raw/master/csl-citation.json" }</w:instrText>
      </w:r>
      <w:r w:rsidR="005B4A95"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(De Long &amp; Shleifer, 1993)</w:t>
      </w:r>
      <w:r w:rsidR="005B4A95" w:rsidRPr="009E2740">
        <w:rPr>
          <w:rFonts w:ascii="Times New Roman" w:hAnsi="Times New Roman" w:cs="Times New Roman"/>
          <w:lang w:val="pt-BR"/>
        </w:rPr>
        <w:fldChar w:fldCharType="end"/>
      </w:r>
      <w:r w:rsidR="005B4A95" w:rsidRPr="009E2740">
        <w:rPr>
          <w:rFonts w:ascii="Times New Roman" w:hAnsi="Times New Roman" w:cs="Times New Roman"/>
          <w:lang w:val="pt-BR"/>
        </w:rPr>
        <w:t xml:space="preserve"> que mostraram que governos absolutistas geraram baixo crescimento econômico na Europa pré-Revolução Industrial. </w:t>
      </w:r>
      <w:r w:rsidR="00E04952" w:rsidRPr="009E2740">
        <w:rPr>
          <w:rFonts w:ascii="Times New Roman" w:hAnsi="Times New Roman" w:cs="Times New Roman"/>
          <w:lang w:val="pt-BR"/>
        </w:rPr>
        <w:t xml:space="preserve">Mais recentemente, em um artigo provocativo, </w:t>
      </w:r>
      <w:r w:rsidR="00E04952"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"10.1016/j.jce.2007.10.001", "ISBN" : "0147-5967", "ISSN" : "01475967", "abstract" : "Could anarchy be good for Somalia's development? If state predation goes unchecked government may not only fail to add to social welfare, but can actually reduce welfare below its level under statelessness. Such was the case with Somalia's government, which did more harm to its citizens than good. The government's collapse and subsequent emergence of statelessness opened the opportunity for Somali progress. This paper investigates the impact of anarchy on Somali development. The data suggest that while the state of this development remains low, on nearly all of 18 key indicators that allow pre- and post-stateless welfare comparisons, Somalis are better off under anarchy than they were under government. Renewed vibrancy in critical sectors of Somalia's economy and public goods in the absence of a predatory state are responsible for this improvement. Journal of Comparative Economics 35 (4) (2007) 689-710. ?? 2007 Association for Comparative Economic Studies.", "author" : [ { "dropping-particle" : "", "family" : "Leeson", "given" : "Peter T.", "non-dropping-particle" : "", "parse-names" : false, "suffix" : "" } ], "container-title" : "Journal of Comparative Economics", "id" : "ITEM-1", "issue" : "4", "issued" : { "date-parts" : [ [ "2007" ] ] }, "page" : "689-710", "title" : "Better off stateless: Somalia before and after government collapse", "type" : "article-journal", "volume" : "35" }, "uris" : [ "http://www.mendeley.com/documents/?uuid=4b779d85-38c6-4c96-8e9b-45daec5e3306" ] } ], "mendeley" : { "formattedCitation" : "(Leeson, 2007)", "plainTextFormattedCitation" : "(Leeson, 2007)", "previouslyFormattedCitation" : "(Leeson, 2007)" }, "properties" : { "noteIndex" : 0 }, "schema" : "https://github.com/citation-style-language/schema/raw/master/csl-citation.json" }</w:instrText>
      </w:r>
      <w:r w:rsidR="00E04952"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(Leeson, 2007)</w:t>
      </w:r>
      <w:r w:rsidR="00E04952" w:rsidRPr="009E2740">
        <w:rPr>
          <w:rFonts w:ascii="Times New Roman" w:hAnsi="Times New Roman" w:cs="Times New Roman"/>
          <w:lang w:val="pt-BR"/>
        </w:rPr>
        <w:fldChar w:fldCharType="end"/>
      </w:r>
      <w:r w:rsidR="00E04952" w:rsidRPr="009E2740">
        <w:rPr>
          <w:rFonts w:ascii="Times New Roman" w:hAnsi="Times New Roman" w:cs="Times New Roman"/>
          <w:lang w:val="pt-BR"/>
        </w:rPr>
        <w:t xml:space="preserve"> </w:t>
      </w:r>
      <w:r w:rsidR="001A71C9" w:rsidRPr="009E2740">
        <w:rPr>
          <w:rFonts w:ascii="Times New Roman" w:hAnsi="Times New Roman" w:cs="Times New Roman"/>
          <w:lang w:val="pt-BR"/>
        </w:rPr>
        <w:t>apresenta</w:t>
      </w:r>
      <w:r w:rsidR="00E04952" w:rsidRPr="009E2740">
        <w:rPr>
          <w:rFonts w:ascii="Times New Roman" w:hAnsi="Times New Roman" w:cs="Times New Roman"/>
          <w:lang w:val="pt-BR"/>
        </w:rPr>
        <w:t xml:space="preserve"> evidências de que a ausência do governo poderia ser melhor do que a presença de um governo despótico ao estudar a história recente da Somália.</w:t>
      </w:r>
    </w:p>
    <w:p w14:paraId="75F97D3B" w14:textId="16C1A794" w:rsidR="005B4A95" w:rsidRPr="009E2740" w:rsidRDefault="00A01EB7"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A interrelação entre fatores históricos, econômicos e políticos gerou abordagens inovadoras para se entender não apenas o tamanho do governo, mas toda a dinâmica de mudanças institucionais, como é o caso da teoria das </w:t>
      </w:r>
      <w:r w:rsidRPr="009E2740">
        <w:rPr>
          <w:rFonts w:ascii="Times New Roman" w:hAnsi="Times New Roman" w:cs="Times New Roman"/>
          <w:i/>
          <w:lang w:val="pt-BR"/>
        </w:rPr>
        <w:t xml:space="preserve">ordens de acesso aberto </w:t>
      </w:r>
      <w:r w:rsidRPr="009E2740">
        <w:rPr>
          <w:rFonts w:ascii="Times New Roman" w:hAnsi="Times New Roman" w:cs="Times New Roman"/>
          <w:lang w:val="pt-BR"/>
        </w:rPr>
        <w:t xml:space="preserve">de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"North", "given" : "Douglass C", "non-dropping-particle" : "", "parse-names" : false, "suffix" : "" }, { "dropping-particle" : "", "family" : "Wallis", "given" : "John Joseph", "non-dropping-particle" : "", "parse-names" : false, "suffix" : "" }, { "dropping-particle" : "", "family" : "Weingast", "given" : "Barry R", "non-dropping-particle" : "", "parse-names" : false, "suffix" : "" } ], "id" : "ITEM-1", "issued" : { "date-parts" : [ [ "2009" ] ] }, "number-of-pages" : "308", "publisher" : "Cambridge University Press", "publisher-place" : "New York", "title" : "Violence and Social Orders", "type" : "book" }, "uris" : [ "http://www.mendeley.com/documents/?uuid=67cb4a03-74b3-407a-8d11-5ec269f8492c" ] } ], "mendeley" : { "formattedCitation" : "(North, Wallis, &amp; Weingast, 2009)", "plainTextFormattedCitation" : "(North, Wallis, &amp; Weingast, 2009)", "previouslyFormattedCitation" : "(North, Wallis, &amp; Weingast, 2009)"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(North, Wallis, &amp; Weingast, 2009)</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e, para o Brasil recente, a abordagem similar de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"ISBN" : "9780691162911", "author" : [ { "dropping-particle" : "", "family" : "Alston", "given" : "Lee J.", "non-dropping-particle" : "", "parse-names" : false, "suffix" : "" }, { "dropping-particle" : "", "family" : "Melo", "given" : "Marcus Andr\u00e9", "non-dropping-particle" : "", "parse-names" : false, "suffix" : "" }, { "dropping-particle" : "", "family" : "Mueller", "given" : "Bernardo", "non-dropping-particle" : "", "parse-names" : false, "suffix" : "" }, { "dropping-particle" : "", "family" : "Pereira", "given" : "Carlos", "non-dropping-particle" : "", "parse-names" : false, "suffix" : "" } ], "id" : "ITEM-1", "issued" : { "date-parts" : [ [ "2016" ] ] }, "number-of-pages" : "280", "publisher" : "Princeton University Press", "publisher-place" : "Princeton", "title" : "Brazil in transition: beliefs, leadership, and institutional change", "type" : "book" }, "uris" : [ "http://www.mendeley.com/documents/?uuid=44daa548-1349-3ba9-8ead-07e61fc0c1df" ] } ], "mendeley" : { "formattedCitation" : "(Alston, Melo, Mueller, &amp; Pereira, 2016)", "plainTextFormattedCitation" : "(Alston, Melo, Mueller, &amp; Pereira, 2016)", "previouslyFormattedCitation" : "(Alston, Melo, Mueller, &amp; Pereira, 2016)"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(Alston, Melo, Mueller, &amp; Pereira, 2016)</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w:t>
      </w:r>
    </w:p>
    <w:p w14:paraId="51ED4F1B" w14:textId="6615279B" w:rsidR="00510E06" w:rsidRPr="009E2740" w:rsidRDefault="00510E06"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A citação destes artigos não pretende, certamente, representar uma resenha abrangente acerca da literatura, mas apenas mostrar a interrelação entre os três fatores citados inicialmente como possíveis explicações para o tamanho do governo</w:t>
      </w:r>
      <w:r w:rsidR="00DF5E38" w:rsidRPr="009E2740">
        <w:rPr>
          <w:rFonts w:ascii="Times New Roman" w:hAnsi="Times New Roman" w:cs="Times New Roman"/>
          <w:lang w:val="pt-BR"/>
        </w:rPr>
        <w:t xml:space="preserve">. Além disso, esta visão ampla </w:t>
      </w:r>
      <w:r w:rsidR="00F70D95" w:rsidRPr="009E2740">
        <w:rPr>
          <w:rFonts w:ascii="Times New Roman" w:hAnsi="Times New Roman" w:cs="Times New Roman"/>
          <w:lang w:val="pt-BR"/>
        </w:rPr>
        <w:t xml:space="preserve">é </w:t>
      </w:r>
      <w:r w:rsidR="00F70D95" w:rsidRPr="009E2740">
        <w:rPr>
          <w:rFonts w:ascii="Times New Roman" w:hAnsi="Times New Roman" w:cs="Times New Roman"/>
          <w:lang w:val="pt-BR"/>
        </w:rPr>
        <w:lastRenderedPageBreak/>
        <w:t xml:space="preserve">adequada ao caso em questão, já que no período em análise – 1947-2013 – mudanças diversas ocorreram no país, tanto de ordem econômica, </w:t>
      </w:r>
      <w:r w:rsidR="00981E5B" w:rsidRPr="009E2740">
        <w:rPr>
          <w:rFonts w:ascii="Times New Roman" w:hAnsi="Times New Roman" w:cs="Times New Roman"/>
          <w:lang w:val="pt-BR"/>
        </w:rPr>
        <w:t>política</w:t>
      </w:r>
      <w:r w:rsidR="00F70D95" w:rsidRPr="009E2740">
        <w:rPr>
          <w:rFonts w:ascii="Times New Roman" w:hAnsi="Times New Roman" w:cs="Times New Roman"/>
          <w:lang w:val="pt-BR"/>
        </w:rPr>
        <w:t xml:space="preserve"> ou mesmo ideológica</w:t>
      </w:r>
      <w:r w:rsidR="00F70D95" w:rsidRPr="009E2740">
        <w:rPr>
          <w:rStyle w:val="FootnoteReference"/>
          <w:rFonts w:ascii="Times New Roman" w:hAnsi="Times New Roman" w:cs="Times New Roman"/>
          <w:lang w:val="pt-BR"/>
        </w:rPr>
        <w:footnoteReference w:id="3"/>
      </w:r>
      <w:r w:rsidR="0019313A" w:rsidRPr="009E2740">
        <w:rPr>
          <w:rFonts w:ascii="Times New Roman" w:hAnsi="Times New Roman" w:cs="Times New Roman"/>
          <w:lang w:val="pt-BR"/>
        </w:rPr>
        <w:t xml:space="preserve">. </w:t>
      </w:r>
    </w:p>
    <w:p w14:paraId="0E1A65F2" w14:textId="4BDB2702" w:rsidR="00FE6470" w:rsidRPr="009E2740" w:rsidRDefault="00FE6470"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A literatura internacional tem buscado evidências do tamanho ótimo do governo.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"10.1007/BF00125845", "ISSN" : "0048-5829", "author" : [ { "dropping-particle" : "", "family" : "Grossman", "given" : "Philip J.", "non-dropping-particle" : "", "parse-names" : false, "suffix" : "" } ], "container-title" : "Public Choice", "id" : "ITEM-1", "issue" : "2", "issued" : { "date-parts" : [ [ "1987" ] ] }, "page" : "131-147", "publisher" : "Kluwer Academic Publishers", "title" : "The optimal size of government", "type" : "article-journal", "volume" : "53" }, "uris" : [ "http://www.mendeley.com/documents/?uuid=96caa380-6f67-38e7-8e47-17df8e326f33" ] } ], "mendeley" : { "formattedCitation" : "(P. J. Grossman, 1987)", "plainTextFormattedCitation" : "(P. J. Grossman, 1987)", "previouslyFormattedCitation" : "(P. J. Grossman, 1987)"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rPr>
        <w:t>(P. J. Grossman, 1987)</w:t>
      </w:r>
      <w:r w:rsidRPr="009E2740">
        <w:rPr>
          <w:rFonts w:ascii="Times New Roman" w:hAnsi="Times New Roman" w:cs="Times New Roman"/>
          <w:lang w:val="pt-BR"/>
        </w:rPr>
        <w:fldChar w:fldCharType="end"/>
      </w:r>
      <w:r w:rsidRPr="009E2740">
        <w:rPr>
          <w:rFonts w:ascii="Times New Roman" w:hAnsi="Times New Roman" w:cs="Times New Roman"/>
        </w:rPr>
        <w:t xml:space="preserve">, </w:t>
      </w:r>
      <w:r w:rsidRPr="009E2740">
        <w:rPr>
          <w:rFonts w:ascii="Times New Roman" w:hAnsi="Times New Roman" w:cs="Times New Roman"/>
          <w:lang w:val="pt-BR"/>
        </w:rPr>
        <w:fldChar w:fldCharType="begin" w:fldLock="1"/>
      </w:r>
      <w:r w:rsidR="00265BDE" w:rsidRPr="009E2740">
        <w:rPr>
          <w:rFonts w:ascii="Times New Roman" w:hAnsi="Times New Roman" w:cs="Times New Roman"/>
        </w:rPr>
        <w:instrText>ADDIN CSL_CITATION { "citationItems" : [ { "id" : "ITEM-1", "itemData" : { "DOI" : "10.1007/BF00123845", "author" : [ { "dropping-particle" : "", "family" : "Peden", "given" : "Edgar A.", "non-dropping-particle" : "", "parse-names" : false, "suffix" : "" } ], "container-title" : "Public Choice", "id" : "ITEM-1", "issue" : "2", "issued" : { "date-parts" : [ [ "1991", "2" ] ] }, "page" : "153-173", "publisher" : "Kluwer Academic Publishers", "title" : "Productivity in the United States and its relationship to government activity: An analysis of 57 years, 1929-1986", "type" : "article-journal", "volume" : "69" }, "uris" : [ "http://www.mendeley.com/documents/?uuid=12e29f44-4c0b-3c97-ab97-0197a6c3e62a" ] } ], "mendeley" : { "formattedCitation" : "(Peden, 1991)", "plainTextFormattedCitation" : "(Peden, 1991)", "previouslyFormattedCitation" : "(Peden, 1991)"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rPr>
        <w:t>(Peden, 1991)</w:t>
      </w:r>
      <w:r w:rsidRPr="009E2740">
        <w:rPr>
          <w:rFonts w:ascii="Times New Roman" w:hAnsi="Times New Roman" w:cs="Times New Roman"/>
          <w:lang w:val="pt-BR"/>
        </w:rPr>
        <w:fldChar w:fldCharType="end"/>
      </w:r>
      <w:r w:rsidRPr="009E2740">
        <w:rPr>
          <w:rFonts w:ascii="Times New Roman" w:hAnsi="Times New Roman" w:cs="Times New Roman"/>
        </w:rPr>
        <w:t xml:space="preserve">, </w:t>
      </w:r>
      <w:r w:rsidRPr="009E2740">
        <w:rPr>
          <w:rFonts w:ascii="Times New Roman" w:hAnsi="Times New Roman" w:cs="Times New Roman"/>
          <w:lang w:val="pt-BR"/>
        </w:rPr>
        <w:fldChar w:fldCharType="begin" w:fldLock="1"/>
      </w:r>
      <w:r w:rsidR="00265BDE" w:rsidRPr="009E2740">
        <w:rPr>
          <w:rFonts w:ascii="Times New Roman" w:hAnsi="Times New Roman" w:cs="Times New Roman"/>
        </w:rPr>
        <w:instrText>ADDIN CSL_CITATION { "citationItems" : [ { "id" : "ITEM-1", "itemData" : { "DOI" : "10.1007/BF01047902", "author" : [ { "dropping-particle" : "", "family" : "Scully", "given" : "Gerald W.", "non-dropping-particle" : "", "parse-names" : false, "suffix" : "" } ], "container-title" : "Public Choice", "id" : "ITEM-1", "issue" : "1-2", "issued" : { "date-parts" : [ [ "1995", "10" ] ] }, "page" : "71-80", "publisher" : "Kluwer Academic Publishers", "title" : "The 'growth tax' in the United States", "type" : "article-journal", "volume" : "85" }, "uris" : [ "http://www.mendeley.com/documents/?uuid=66c56a89-44a7-3a00-ab06-5a653734c24f" ] } ], "mendeley" : { "formattedCitation" : "(Scully, 1995)", "plainTextFormattedCitation" : "(Scully, 1995)", "previouslyFormattedCitation" : "(Scully, 1995)"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rPr>
        <w:t>(Scully, 1995)</w:t>
      </w:r>
      <w:r w:rsidRPr="009E2740">
        <w:rPr>
          <w:rFonts w:ascii="Times New Roman" w:hAnsi="Times New Roman" w:cs="Times New Roman"/>
          <w:lang w:val="pt-BR"/>
        </w:rPr>
        <w:fldChar w:fldCharType="end"/>
      </w:r>
      <w:r w:rsidRPr="009E2740">
        <w:rPr>
          <w:rFonts w:ascii="Times New Roman" w:hAnsi="Times New Roman" w:cs="Times New Roman"/>
        </w:rPr>
        <w:t xml:space="preserve"> e </w:t>
      </w:r>
      <w:r w:rsidRPr="009E2740">
        <w:rPr>
          <w:rFonts w:ascii="Times New Roman" w:hAnsi="Times New Roman" w:cs="Times New Roman"/>
          <w:lang w:val="pt-BR"/>
        </w:rPr>
        <w:fldChar w:fldCharType="begin" w:fldLock="1"/>
      </w:r>
      <w:r w:rsidR="00265BDE" w:rsidRPr="009E2740">
        <w:rPr>
          <w:rFonts w:ascii="Times New Roman" w:hAnsi="Times New Roman" w:cs="Times New Roman"/>
        </w:rPr>
        <w:instrText>ADDIN CSL_CITATION { "citationItems" : [ { "id" : "ITEM-1", "itemData" : { "author" : [ { "dropping-particle" : "", "family" : "Vedder", "given" : "Richard", "non-dropping-particle" : "", "parse-names" : false, "suffix" : "" }, { "dropping-particle" : "", "family" : "Gallaway", "given" : "Lowell", "non-dropping-particle" : "", "parse-names" : false, "suffix" : "" } ], "container-title" : "Public Choice", "id" : "ITEM-1", "issued" : { "date-parts" : [ [ "1991" ] ] }, "page" : "283-289", "title" : "The war between the rent seekers", "type" : "article-journal", "volume" : "68" }, "uris" : [ "http://www.mendeley.com/documents/?uuid=d7433ef9-ee71-4f2f-948d-7d906fc84c5e" ] }, { "id" : "ITEM-2", "itemData" : { "author" : [ { "dropping-particle" : "", "family" : "Vedder", "given" : "R.K.", "non-dropping-particle" : "", "parse-names" : false, "suffix" : "" }, { "dropping-particle" : "", "family" : "Gallaway", "given" : "Lowell E.", "non-dropping-particle" : "", "parse-names" : false, "suffix" : "" } ], "id" : "ITEM-2", "issued" : { "date-parts" : [ [ "1998" ] ] }, "title" : "Government Size and Economic Growth", "type" : "article" }, "uris" : [ "http://www.mendeley.com/documents/?uuid=de6751cf-7caf-44c6-9f51-4d430fe8c15d" ] } ], "mendeley" : { "formattedCitation" : "(R. Vedder &amp; Gallaway, 1991; R. K. Vedder &amp; Gallaway, 1998)", "plainTextFormattedCitation" : "(R. Vedder &amp; Gallaway, 1991; R. K. Vedder &amp; Gallaway, 1998)", "previouslyFormattedCitation" : "(R. Vedder &amp; Gallaway, 1991; R. K. Vedder &amp; Gallaway, 1998)"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rPr>
        <w:t>(R. Vedder &amp; Gallaway, 1991; R. K. Vedder &amp; Gallaway, 1998)</w:t>
      </w:r>
      <w:r w:rsidRPr="009E2740">
        <w:rPr>
          <w:rFonts w:ascii="Times New Roman" w:hAnsi="Times New Roman" w:cs="Times New Roman"/>
          <w:lang w:val="pt-BR"/>
        </w:rPr>
        <w:fldChar w:fldCharType="end"/>
      </w:r>
      <w:r w:rsidRPr="009E2740">
        <w:rPr>
          <w:rFonts w:ascii="Times New Roman" w:hAnsi="Times New Roman" w:cs="Times New Roman"/>
        </w:rPr>
        <w:t xml:space="preserve"> estimam para a economia dos Estados Unidos um tamanho ótimo do governo entre 17 a 22,9%. </w:t>
      </w:r>
      <w:r w:rsidRPr="009E2740">
        <w:rPr>
          <w:rFonts w:ascii="Times New Roman" w:hAnsi="Times New Roman" w:cs="Times New Roman"/>
          <w:lang w:val="pt-BR"/>
        </w:rPr>
        <w:t xml:space="preserve">Quando a amostra é específica a países europeus essa estimativa aumenta.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"Magazzino", "given" : "Cosimo", "non-dropping-particle" : "", "parse-names" : false, "suffix" : "" } ], "container-title" : "Notizie di Politeia", "id" : "ITEM-1", "issue" : "92", "issued" : { "date-parts" : [ [ "2008" ] ] }, "page" : "45-60", "title" : "Modelli interpretativi della dinamica della spesa pubblica e \u201ccurva di Armey\u201d: il caso italiano, 1862-2001", "type" : "article-journal", "volume" : "24" }, "uris" : [ "http://www.mendeley.com/documents/?uuid=d543bad2-3f53-4dd1-bb62-5a413e598b50" ] } ], "mendeley" : { "formattedCitation" : "(Magazzino, 2008)", "plainTextFormattedCitation" : "(Magazzino, 2008)", "previouslyFormattedCitation" : "(Magazzino, 2008)"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(Magazzino, 2008)</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estimou para a economia da Itália um tamanho ótimo do governo entre 23,06 a 32,83%, conforme o período analisado.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"Forte", "given" : "Francesco", "non-dropping-particle" : "", "parse-names" : false, "suffix" : "" }, { "dropping-particle" : "", "family" : "Magazzino", "given" : "Cosimo", "non-dropping-particle" : "", "parse-names" : false, "suffix" : "" } ], "id" : "ITEM-1", "issued" : { "date-parts" : [ [ "2010" ] ] }, "number" : "4/2010", "number-of-pages" : "1-47", "publisher-place" : "Roma", "title" : "Optimal Size of Government and economic growth in EU-27", "type" : "report" }, "uris" : [ "http://www.mendeley.com/documents/?uuid=d127bb49-3e18-419f-afac-7cbc424e694d" ] } ], "mendeley" : { "formattedCitation" : "(Forte &amp; Magazzino, 2010)", "plainTextFormattedCitation" : "(Forte &amp; Magazzino, 2010)", "previouslyFormattedCitation" : "(Forte &amp; Magazzino, 2010)"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(Forte &amp; Magazzino, 2010)</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e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"Chobanov", "given" : "Dimitar", "non-dropping-particle" : "", "parse-names" : false, "suffix" : "" }, { "dropping-particle" : "", "family" : "Mladenova", "given" : "Adriana", "non-dropping-particle" : "", "parse-names" : false, "suffix" : "" } ], "id" : "ITEM-1", "issued" : { "date-parts" : [ [ "2009" ] ] }, "page" : "1-47", "title" : "What is the optimum size of Government: A suggestion", "type" : "article" }, "uris" : [ "http://www.mendeley.com/documents/?uuid=c22ea248-99c9-43f4-8715-c32530476523" ] } ], "mendeley" : { "formattedCitation" : "(Chobanov &amp; Mladenova, 2009)", "plainTextFormattedCitation" : "(Chobanov &amp; Mladenova, 2009)", "previouslyFormattedCitation" : "(Chobanov &amp; Mladenova, 2009)"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(Chobanov &amp; Mladenova, 2009)</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estimaram, para os países da União Européia, um tamanho ótimo do governo entre 25 a 43,50%.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"10.1016/j.sbspro.2013.08.639", "ISBN" : "9054289910", "ISSN" : "18770428", "abstract" : "In this study the relationship between government expenditure and rate of economic growth will be analyzed for Turkey, Romania and Bulgaria by using the data for the period 1995-2011. The main purpose of this study is to test whether there is an \u201cinverted U\u201d shape relationship between public spending and economic growth or not, and to find the optimal level of public spending for Turkey, Romania and Bulgaria economies. Theoretically, the relationship between optimal government expenditure and economic growth has been associated with Armey curve. Armey Curve, propounded by Richard Armey, is one of the tools that developed to demonstrates the role of the state in the economic process. The basic logic behind the Armey Curve is that the relationship between public spending and gross domestic product (GDP) is positive up to a certain point, thereafter the relationship becomes negative. According to Friedman (1997), the government has an important role in a free and open society. It is emphasized that, average contribution of the public sector in the economy is positive, but as the public share of national income increases from 15% to 50% the marginal contribution of the public sector will be negative. Therefore, Friedman advocates that based on development level of countries, the optimal level of public spending should be between 15% and 50%. The econometric method using in this study is ARDL bound testing approach developed by Paseran et al. (2001). Empirical findings show that the share of present public expenditure in GDP exceeds optimal public expenditure for three countries. Based on the results of the study, an economic policy proposal may be that the share of public expenditure should be reduced and the effectiveness of public expenditure programs should be increased.", "author" : [ { "dropping-particle" : "", "family" : "Altunc", "given" : "O. Faruk", "non-dropping-particle" : "", "parse-names" : false, "suffix" : "" }, { "dropping-particle" : "", "family" : "Ayd\u0131n", "given" : "Celil", "non-dropping-particle" : "", "parse-names" : false, "suffix" : "" } ], "container-title" : "Procedia - Social and Behavioral Sciences", "id" : "ITEM-1", "issue" : "Lumen", "issued" : { "date-parts" : [ [ "2013" ] ] }, "page" : "66-75", "publisher" : "Elsevier B.V.", "title" : "The Relationship between Optimal Size of Government and Economic Growth: Empirical Evidence from Turkey, Romania and Bulgaria", "type" : "article-journal", "volume" : "92" }, "uris" : [ "http://www.mendeley.com/documents/?uuid=3603dd22-0c4a-4e1e-b85d-f640a661a53e" ] } ], "mendeley" : { "formattedCitation" : "(Altunc &amp; Ayd\u0131n, 2013)", "plainTextFormattedCitation" : "(Altunc &amp; Ayd\u0131n, 2013)", "previouslyFormattedCitation" : "(Altunc &amp; Ayd\u0131n, 2013)"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(Altunc &amp; Aydın, 2013)</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estimaram o nível ótimo do gasto público para a Turquia (25,21%), Bulgária (22,45%) e Romênia (20,44%)</w:t>
      </w:r>
    </w:p>
    <w:p w14:paraId="623E1C7F" w14:textId="08099C97" w:rsidR="00FE6470" w:rsidRPr="009E2740" w:rsidRDefault="00FE6470"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Para o Brasil existe pouca evidência empírica registrada na literatura. </w:t>
      </w:r>
      <w:r w:rsidRPr="009E2740">
        <w:rPr>
          <w:rFonts w:ascii="Times New Roman" w:hAnsi="Times New Roman" w:cs="Times New Roman"/>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"Shikida", "given" : "Claudio D", "non-dropping-particle" : "", "parse-names" : false, "suffix" : "" }, { "dropping-particle" : "de", "family" : "Araujo Jr.", "given" : "Ari Francisco", "non-dropping-particle" : "", "parse-names" : false, "suffix" : "" }, { "dropping-particle" : "", "family" : "Hillbrecht", "given" : "Ronald O.", "non-dropping-particle" : "", "parse-names" : false, "suffix" : "" } ], "container-title" : "RBEE. Revista Brasileira de Economia de Empresas", "id" : "ITEM-1", "issue" : "2", "issued" : { "date-parts" : [ [ "2005" ] ] }, "page" : "21-35", "title" : "Public Vices, Private Serfdom? Comments on the Optimal Size of the Brazilian State", "type" : "article-journal", "volume" : "5" }, "uris" : [ "http://www.mendeley.com/documents/?uuid=620da43b-4a20-4934-af01-84185ed4c78c" ] } ], "mendeley" : { "formattedCitation" : "(Shikida, Araujo Jr., &amp; Hillbrecht, 2005)", "plainTextFormattedCitation" : "(Shikida, Araujo Jr., &amp; Hillbrecht, 2005)", "previouslyFormattedCitation" : "(Shikida, Araujo Jr., &amp; Hillbrecht, 2005)" }, "properties" : { "noteIndex" : 0 }, "schema" : "https://github.com/citation-style-language/schema/raw/master/csl-citation.json" }</w:instrText>
      </w:r>
      <w:r w:rsidRPr="009E2740">
        <w:rPr>
          <w:rFonts w:ascii="Times New Roman" w:hAnsi="Times New Roman" w:cs="Times New Roman"/>
        </w:rPr>
        <w:fldChar w:fldCharType="separate"/>
      </w:r>
      <w:r w:rsidR="00265BDE" w:rsidRPr="009E2740">
        <w:rPr>
          <w:rFonts w:ascii="Times New Roman" w:hAnsi="Times New Roman" w:cs="Times New Roman"/>
          <w:noProof/>
          <w:lang w:val="pt-BR"/>
        </w:rPr>
        <w:t>(Shikida, Araujo Jr., &amp; Hillbrecht, 2005)</w:t>
      </w:r>
      <w:r w:rsidRPr="009E2740">
        <w:rPr>
          <w:rFonts w:ascii="Times New Roman" w:hAnsi="Times New Roman" w:cs="Times New Roman"/>
        </w:rPr>
        <w:fldChar w:fldCharType="end"/>
      </w:r>
      <w:r w:rsidRPr="009E2740">
        <w:rPr>
          <w:rFonts w:ascii="Times New Roman" w:hAnsi="Times New Roman" w:cs="Times New Roman"/>
          <w:lang w:val="pt-BR"/>
        </w:rPr>
        <w:t xml:space="preserve"> usando dados para o período 1947 a 2003 identificou um tamanho ótimo do gasto público de 32</w:t>
      </w:r>
      <w:r w:rsidR="009B7D30" w:rsidRPr="009E2740">
        <w:rPr>
          <w:rFonts w:ascii="Times New Roman" w:hAnsi="Times New Roman" w:cs="Times New Roman"/>
          <w:lang w:val="pt-BR"/>
        </w:rPr>
        <w:t>.36</w:t>
      </w:r>
      <w:r w:rsidRPr="009E2740">
        <w:rPr>
          <w:rFonts w:ascii="Times New Roman" w:hAnsi="Times New Roman" w:cs="Times New Roman"/>
          <w:lang w:val="pt-BR"/>
        </w:rPr>
        <w:t xml:space="preserve">% do PIB.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"10.1080/13504851.2014.987909", "ISSN" : "1350-4851", "abstract" : "This article provides empirical evidence regarding the effect of the size of government on economic growth in the Brazilian economy for the period from January 2000 to March 2013. In particular, an analysis is conducted to see whether the Armey curve fits well for the Brazilian case and the optimal government size is also estimated. The findings indicate that an increase in the size of government contributes to economic growth and that the optimal size for the Brazilian government would be approximately 22% of GDP. Brazil crossed over this limit in 2005.", "author" : [ { "dropping-particle" : "de", "family" : "Mendon\u00e7a", "given" : "Helder Ferreira", "non-dropping-particle" : "", "parse-names" : false, "suffix" : "" }, { "dropping-particle" : "", "family" : "Cacicedo", "given" : "Thiago", "non-dropping-particle" : "", "parse-names" : false, "suffix" : "" } ], "container-title" : "Applied Economics Letters", "id" : "ITEM-1", "issue" : "11", "issued" : { "date-parts" : [ [ "2015" ] ] }, "page" : "904-910", "title" : "Size of government and economic growth in the largest Latin American country", "type" : "article-journal", "volume" : "22" }, "uris" : [ "http://www.mendeley.com/documents/?uuid=10ca4753-035a-4740-83b6-d7357a9e93a1" ] } ], "mendeley" : { "formattedCitation" : "(Mendon\u00e7a &amp; Cacicedo, 2015)", "plainTextFormattedCitation" : "(Mendon\u00e7a &amp; Cacicedo, 2015)", "previouslyFormattedCitation" : "(Mendon\u00e7a &amp; Cacicedo, 2015)"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(Mendonça &amp; Cacicedo, 2015)</w:t>
      </w:r>
      <w:r w:rsidRPr="009E2740">
        <w:rPr>
          <w:rFonts w:ascii="Times New Roman" w:hAnsi="Times New Roman" w:cs="Times New Roman"/>
          <w:lang w:val="pt-BR"/>
        </w:rPr>
        <w:fldChar w:fldCharType="end"/>
      </w:r>
      <w:r w:rsidRPr="009E2740">
        <w:rPr>
          <w:rFonts w:ascii="Times New Roman" w:hAnsi="Times New Roman" w:cs="Times New Roman"/>
          <w:lang w:val="pt-BR"/>
        </w:rPr>
        <w:t>, usando dados mensais para o período de 2000 à 2013 estimou um tamanho ótimo do governo brasileiro em aproximadamente 22 % do PIB.</w:t>
      </w:r>
    </w:p>
    <w:p w14:paraId="2C12DEFC" w14:textId="0E540E6F" w:rsidR="00656D81" w:rsidRPr="009E2740" w:rsidRDefault="00656D81"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Neste artigo, o tema é revisitado com algumas i</w:t>
      </w:r>
      <w:r w:rsidR="00B9052C" w:rsidRPr="009E2740">
        <w:rPr>
          <w:rFonts w:ascii="Times New Roman" w:hAnsi="Times New Roman" w:cs="Times New Roman"/>
          <w:lang w:val="pt-BR"/>
        </w:rPr>
        <w:t>novaçõ</w:t>
      </w:r>
      <w:r w:rsidRPr="009E2740">
        <w:rPr>
          <w:rFonts w:ascii="Times New Roman" w:hAnsi="Times New Roman" w:cs="Times New Roman"/>
          <w:lang w:val="pt-BR"/>
        </w:rPr>
        <w:t>es: (a) a amostra é estendida até 2013, com revisão dos dados anteriores; (b) dado</w:t>
      </w:r>
      <w:r w:rsidR="00C86796" w:rsidRPr="009E2740">
        <w:rPr>
          <w:rFonts w:ascii="Times New Roman" w:hAnsi="Times New Roman" w:cs="Times New Roman"/>
          <w:lang w:val="pt-BR"/>
        </w:rPr>
        <w:t xml:space="preserve"> o</w:t>
      </w:r>
      <w:r w:rsidRPr="009E2740">
        <w:rPr>
          <w:rFonts w:ascii="Times New Roman" w:hAnsi="Times New Roman" w:cs="Times New Roman"/>
          <w:lang w:val="pt-BR"/>
        </w:rPr>
        <w:t xml:space="preserve"> tamanho</w:t>
      </w:r>
      <w:r w:rsidR="00981E5B" w:rsidRPr="009E2740">
        <w:rPr>
          <w:rFonts w:ascii="Times New Roman" w:hAnsi="Times New Roman" w:cs="Times New Roman"/>
          <w:lang w:val="pt-BR"/>
        </w:rPr>
        <w:t xml:space="preserve"> relativamente</w:t>
      </w:r>
      <w:r w:rsidRPr="009E2740">
        <w:rPr>
          <w:rFonts w:ascii="Times New Roman" w:hAnsi="Times New Roman" w:cs="Times New Roman"/>
          <w:lang w:val="pt-BR"/>
        </w:rPr>
        <w:t xml:space="preserve"> reduzido da amostra e a possibilidade de ocorrência de diferentes ordens de integração, utiliza-se </w:t>
      </w:r>
      <w:r w:rsidR="00FE6470" w:rsidRPr="009E2740">
        <w:rPr>
          <w:rFonts w:ascii="Times New Roman" w:hAnsi="Times New Roman" w:cs="Times New Roman"/>
          <w:lang w:val="pt-BR"/>
        </w:rPr>
        <w:t xml:space="preserve">o método de </w:t>
      </w:r>
      <w:r w:rsidR="00FE6470"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"10.1002/jae.616", "ISSN" : "0883-7252", "author" : [ { "dropping-particle" : "", "family" : "Pesaran", "given" : "M. Hashem", "non-dropping-particle" : "", "parse-names" : false, "suffix" : "" }, { "dropping-particle" : "", "family" : "Shin", "given" : "Yongcheol", "non-dropping-particle" : "", "parse-names" : false, "suffix" : "" }, { "dropping-particle" : "", "family" : "Smith", "given" : "Richard J.", "non-dropping-particle" : "", "parse-names" : false, "suffix" : "" } ], "container-title" : "Journal of Applied Econometrics", "id" : "ITEM-1", "issue" : "3", "issued" : { "date-parts" : [ [ "2001", "5" ] ] }, "page" : "289-326", "publisher" : "John Wiley &amp; Sons, Ltd.", "title" : "Bounds Testing Approaches to the Analysis of Level Relationships", "type" : "article-journal", "volume" : "16" }, "uris" : [ "http://www.mendeley.com/documents/?uuid=458c7183-7c97-4d76-bf8b-154b043f0211" ] } ], "mendeley" : { "formattedCitation" : "(Pesaran, Shin, &amp; Smith, 2001)", "plainTextFormattedCitation" : "(Pesaran, Shin, &amp; Smith, 2001)", "previouslyFormattedCitation" : "(Pesaran, Shin, &amp; Smith, 2001)" }, "properties" : { "noteIndex" : 0 }, "schema" : "https://github.com/citation-style-language/schema/raw/master/csl-citation.json" }</w:instrText>
      </w:r>
      <w:r w:rsidR="00FE6470"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(Pesaran, Shin, &amp; Smith, 2001)</w:t>
      </w:r>
      <w:r w:rsidR="00FE6470" w:rsidRPr="009E2740">
        <w:rPr>
          <w:rFonts w:ascii="Times New Roman" w:hAnsi="Times New Roman" w:cs="Times New Roman"/>
          <w:lang w:val="pt-BR"/>
        </w:rPr>
        <w:fldChar w:fldCharType="end"/>
      </w:r>
      <w:r w:rsidR="00FE6470" w:rsidRPr="009E2740">
        <w:rPr>
          <w:rFonts w:ascii="Times New Roman" w:hAnsi="Times New Roman" w:cs="Times New Roman"/>
          <w:lang w:val="pt-BR"/>
        </w:rPr>
        <w:t xml:space="preserve">, também conhecido como método ARDL com </w:t>
      </w:r>
      <w:r w:rsidR="00FE6470" w:rsidRPr="009E2740">
        <w:rPr>
          <w:rFonts w:ascii="Times New Roman" w:hAnsi="Times New Roman" w:cs="Times New Roman"/>
          <w:i/>
          <w:lang w:val="pt-BR"/>
        </w:rPr>
        <w:t>bounds test</w:t>
      </w:r>
      <w:r w:rsidR="006150EE" w:rsidRPr="009E2740">
        <w:rPr>
          <w:rFonts w:ascii="Times New Roman" w:hAnsi="Times New Roman" w:cs="Times New Roman"/>
          <w:lang w:val="pt-BR"/>
        </w:rPr>
        <w:t>. Em resumo, encontrou-se</w:t>
      </w:r>
      <w:r w:rsidRPr="009E2740">
        <w:rPr>
          <w:rFonts w:ascii="Times New Roman" w:hAnsi="Times New Roman" w:cs="Times New Roman"/>
          <w:lang w:val="pt-BR"/>
        </w:rPr>
        <w:t xml:space="preserve"> que a carga tributária ótima seria </w:t>
      </w:r>
      <w:r w:rsidR="006150EE" w:rsidRPr="009E2740">
        <w:rPr>
          <w:rFonts w:ascii="Times New Roman" w:hAnsi="Times New Roman" w:cs="Times New Roman"/>
          <w:lang w:val="pt-BR"/>
        </w:rPr>
        <w:t xml:space="preserve">de 28,38%, intermediária entre as estimações de </w:t>
      </w:r>
      <w:r w:rsidR="00047893"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"Shikida", "given" : "Claudio D", "non-dropping-particle" : "", "parse-names" : false, "suffix" : "" }, { "dropping-particle" : "de", "family" : "Araujo Jr.", "given" : "Ari Francisco", "non-dropping-particle" : "", "parse-names" : false, "suffix" : "" }, { "dropping-particle" : "", "family" : "Hillbrecht", "given" : "Ronald O.", "non-dropping-particle" : "", "parse-names" : false, "suffix" : "" } ], "container-title" : "RBEE. Revista Brasileira de Economia de Empresas", "id" : "ITEM-1", "issue" : "2", "issued" : { "date-parts" : [ [ "2005" ] ] }, "page" : "21-35", "title" : "Public Vices, Private Serfdom? Comments on the Optimal Size of the Brazilian State", "type" : "article-journal", "volume" : "5" }, "uris" : [ "http://www.mendeley.com/documents/?uuid=620da43b-4a20-4934-af01-84185ed4c78c" ] } ], "mendeley" : { "formattedCitation" : "(Shikida et al., 2005)", "plainTextFormattedCitation" : "(Shikida et al., 2005)", "previouslyFormattedCitation" : "(Shikida et al., 2005)" }, "properties" : { "noteIndex" : 0 }, "schema" : "https://github.com/citation-style-language/schema/raw/master/csl-citation.json" }</w:instrText>
      </w:r>
      <w:r w:rsidR="00047893"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(Shikida et al., 2005)</w:t>
      </w:r>
      <w:r w:rsidR="00047893" w:rsidRPr="009E2740">
        <w:rPr>
          <w:rFonts w:ascii="Times New Roman" w:hAnsi="Times New Roman" w:cs="Times New Roman"/>
          <w:lang w:val="pt-BR"/>
        </w:rPr>
        <w:fldChar w:fldCharType="end"/>
      </w:r>
      <w:r w:rsidR="006150EE" w:rsidRPr="009E2740">
        <w:rPr>
          <w:rFonts w:ascii="Times New Roman" w:hAnsi="Times New Roman" w:cs="Times New Roman"/>
          <w:noProof/>
          <w:lang w:val="pt-BR"/>
        </w:rPr>
        <w:t xml:space="preserve"> e </w:t>
      </w:r>
      <w:r w:rsidR="00047893" w:rsidRPr="009E2740">
        <w:rPr>
          <w:rFonts w:ascii="Times New Roman" w:hAnsi="Times New Roman" w:cs="Times New Roman"/>
          <w:noProof/>
          <w:lang w:val="pt-BR"/>
        </w:rPr>
        <w:fldChar w:fldCharType="begin" w:fldLock="1"/>
      </w:r>
      <w:r w:rsidR="00265BDE" w:rsidRPr="009E2740">
        <w:rPr>
          <w:rFonts w:ascii="Times New Roman" w:hAnsi="Times New Roman" w:cs="Times New Roman"/>
          <w:noProof/>
          <w:lang w:val="pt-BR"/>
        </w:rPr>
        <w:instrText>ADDIN CSL_CITATION { "citationItems" : [ { "id" : "ITEM-1", "itemData" : { "DOI" : "10.1080/13504851.2014.987909", "ISSN" : "1350-4851", "abstract" : "This article provides empirical evidence regarding the effect of the size of government on economic growth in the Brazilian economy for the period from January 2000 to March 2013. In particular, an analysis is conducted to see whether the Armey curve fits well for the Brazilian case and the optimal government size is also estimated. The findings indicate that an increase in the size of government contributes to economic growth and that the optimal size for the Brazilian government would be approximately 22% of GDP. Brazil crossed over this limit in 2005.", "author" : [ { "dropping-particle" : "de", "family" : "Mendon\u00e7a", "given" : "Helder Ferreira", "non-dropping-particle" : "", "parse-names" : false, "suffix" : "" }, { "dropping-particle" : "", "family" : "Cacicedo", "given" : "Thiago", "non-dropping-particle" : "", "parse-names" : false, "suffix" : "" } ], "container-title" : "Applied Economics Letters", "id" : "ITEM-1", "issue" : "11", "issued" : { "date-parts" : [ [ "2015" ] ] }, "page" : "904-910", "title" : "Size of government and economic growth in the largest Latin American country", "type" : "article-journal", "volume" : "22" }, "uris" : [ "http://www.mendeley.com/documents/?uuid=10ca4753-035a-4740-83b6-d7357a9e93a1" ] } ], "mendeley" : { "formattedCitation" : "(Mendon\u00e7a &amp; Cacicedo, 2015)", "plainTextFormattedCitation" : "(Mendon\u00e7a &amp; Cacicedo, 2015)", "previouslyFormattedCitation" : "(Mendon\u00e7a &amp; Cacicedo, 2015)" }, "properties" : { "noteIndex" : 0 }, "schema" : "https://github.com/citation-style-language/schema/raw/master/csl-citation.json" }</w:instrText>
      </w:r>
      <w:r w:rsidR="00047893" w:rsidRPr="009E2740">
        <w:rPr>
          <w:rFonts w:ascii="Times New Roman" w:hAnsi="Times New Roman" w:cs="Times New Roman"/>
          <w:noProof/>
          <w:lang w:val="pt-BR"/>
        </w:rPr>
        <w:fldChar w:fldCharType="separate"/>
      </w:r>
      <w:r w:rsidR="00265BDE" w:rsidRPr="009E2740">
        <w:rPr>
          <w:rFonts w:ascii="Times New Roman" w:hAnsi="Times New Roman" w:cs="Times New Roman"/>
          <w:noProof/>
          <w:lang w:val="pt-BR"/>
        </w:rPr>
        <w:t>(Mendonça &amp; Cacicedo, 2015)</w:t>
      </w:r>
      <w:r w:rsidR="00047893" w:rsidRPr="009E2740">
        <w:rPr>
          <w:rFonts w:ascii="Times New Roman" w:hAnsi="Times New Roman" w:cs="Times New Roman"/>
          <w:noProof/>
          <w:lang w:val="pt-BR"/>
        </w:rPr>
        <w:fldChar w:fldCharType="end"/>
      </w:r>
      <w:r w:rsidR="006150EE" w:rsidRPr="009E2740">
        <w:rPr>
          <w:rFonts w:ascii="Times New Roman" w:hAnsi="Times New Roman" w:cs="Times New Roman"/>
          <w:noProof/>
          <w:lang w:val="pt-BR"/>
        </w:rPr>
        <w:t>.</w:t>
      </w:r>
      <w:r w:rsidRPr="009E2740">
        <w:rPr>
          <w:rFonts w:ascii="Times New Roman" w:hAnsi="Times New Roman" w:cs="Times New Roman"/>
          <w:lang w:val="pt-BR"/>
        </w:rPr>
        <w:t xml:space="preserve"> </w:t>
      </w:r>
      <w:r w:rsidR="00117BF0" w:rsidRPr="009E2740">
        <w:rPr>
          <w:rFonts w:ascii="Times New Roman" w:hAnsi="Times New Roman" w:cs="Times New Roman"/>
          <w:lang w:val="pt-BR"/>
        </w:rPr>
        <w:t>Os testes também apontaram que a Lei de Responsabilidade Fiscal pode ter tido um efeito positivo sobre o PIB.</w:t>
      </w:r>
    </w:p>
    <w:p w14:paraId="6B01238A" w14:textId="0E429292" w:rsidR="00656D81" w:rsidRPr="009E2740" w:rsidRDefault="00384B54"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Para tanto, a seção seguinte revisa os trabalhos que relacionaram carga tributária e tamanho de governo. Em seguida, apresenta-se o modelo a ser estimado. A seção 4 apresenta os dados, o ferramental econométrico e os resultados. Finalmente, a seção 5 conclui.</w:t>
      </w:r>
    </w:p>
    <w:p w14:paraId="472EAE4B" w14:textId="77777777" w:rsidR="00384B54" w:rsidRPr="009E2740" w:rsidRDefault="00384B54" w:rsidP="009E2740">
      <w:pPr>
        <w:spacing w:after="0" w:line="240" w:lineRule="auto"/>
        <w:jc w:val="both"/>
        <w:rPr>
          <w:rFonts w:ascii="Times New Roman" w:hAnsi="Times New Roman" w:cs="Times New Roman"/>
          <w:lang w:val="pt-BR"/>
        </w:rPr>
      </w:pPr>
    </w:p>
    <w:p w14:paraId="6B89C125" w14:textId="4EACCD70" w:rsidR="00E039FD" w:rsidRPr="009E2740" w:rsidRDefault="00E039FD" w:rsidP="009E2740">
      <w:pPr>
        <w:pStyle w:val="ListParagraph"/>
        <w:numPr>
          <w:ilvl w:val="0"/>
          <w:numId w:val="1"/>
        </w:numPr>
        <w:spacing w:after="0" w:line="240" w:lineRule="auto"/>
        <w:rPr>
          <w:rFonts w:ascii="Times New Roman" w:hAnsi="Times New Roman" w:cs="Times New Roman"/>
          <w:b/>
          <w:lang w:val="pt-BR"/>
        </w:rPr>
      </w:pPr>
      <w:r w:rsidRPr="009E2740">
        <w:rPr>
          <w:rFonts w:ascii="Times New Roman" w:hAnsi="Times New Roman" w:cs="Times New Roman"/>
          <w:b/>
          <w:lang w:val="pt-BR"/>
        </w:rPr>
        <w:t>Modelo</w:t>
      </w:r>
    </w:p>
    <w:p w14:paraId="1420524E" w14:textId="78498966" w:rsidR="00D86210" w:rsidRPr="009E2740" w:rsidRDefault="00FE6470" w:rsidP="009E2740">
      <w:pPr>
        <w:spacing w:after="0" w:line="240" w:lineRule="auto"/>
        <w:ind w:firstLine="720"/>
        <w:jc w:val="both"/>
        <w:rPr>
          <w:rFonts w:ascii="Times New Roman" w:hAnsi="Times New Roman" w:cs="Times New Roman"/>
          <w:lang w:val="pt-BR"/>
        </w:rPr>
      </w:pPr>
      <w:r w:rsidRPr="009E2740">
        <w:rPr>
          <w:rFonts w:ascii="Times New Roman" w:hAnsi="Times New Roman" w:cs="Times New Roman"/>
          <w:lang w:val="pt-BR"/>
        </w:rPr>
        <w:t xml:space="preserve">A controvérsia entre crescimento econômico e tamanho do governo não é bem resolvida quando se utilizam os </w:t>
      </w:r>
      <w:r w:rsidR="00D86210" w:rsidRPr="009E2740">
        <w:rPr>
          <w:rFonts w:ascii="Times New Roman" w:hAnsi="Times New Roman" w:cs="Times New Roman"/>
          <w:lang w:val="pt-BR"/>
        </w:rPr>
        <w:t>modelos tradicionais de crescimento econômico. Basicamente, os modelos de tradição neoclássica indicam que o gasto do governo não deveria influenciar a trajetória de crescimento de um país. Estes modelos aceitam que o gasto público pode ter importância na transição entre um estado estacionário para outro, porém a taxa de crescimento no estado estacionário depende do progresso tecnológico exógeno ao modelo. Desta forma, o gasto público não possui efeito de longo prazo sobre o crescimento econômico.</w:t>
      </w:r>
    </w:p>
    <w:p w14:paraId="37024231" w14:textId="285623E7" w:rsidR="00D86210" w:rsidRPr="009E2740" w:rsidRDefault="00D86210" w:rsidP="009E2740">
      <w:pPr>
        <w:spacing w:after="0" w:line="240" w:lineRule="auto"/>
        <w:ind w:firstLine="720"/>
        <w:jc w:val="both"/>
        <w:rPr>
          <w:rFonts w:ascii="Times New Roman" w:hAnsi="Times New Roman" w:cs="Times New Roman"/>
          <w:lang w:val="pt-BR"/>
        </w:rPr>
      </w:pPr>
      <w:r w:rsidRPr="009E2740">
        <w:rPr>
          <w:rFonts w:ascii="Times New Roman" w:hAnsi="Times New Roman" w:cs="Times New Roman"/>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"Barro", "given" : "Robert J", "non-dropping-particle" : "", "parse-names" : false, "suffix" : "" } ], "collection-title" : "NBER Working Paper Series", "id" : "ITEM-1", "issued" : { "date-parts" : [ [ "1989" ] ] }, "number" : "2855", "title" : "A cross-country study of growth, saving, and government", "type" : "report" }, "uris" : [ "http://www.mendeley.com/documents/?uuid=e56c7374-7bb9-4605-9060-6b7a4f035c4c" ] } ], "mendeley" : { "formattedCitation" : "(Barro, 1989)", "plainTextFormattedCitation" : "(Barro, 1989)", "previouslyFormattedCitation" : "(Barro, 1989)" }, "properties" : { "noteIndex" : 0 }, "schema" : "https://github.com/citation-style-language/schema/raw/master/csl-citation.json" }</w:instrText>
      </w:r>
      <w:r w:rsidRPr="009E2740">
        <w:rPr>
          <w:rFonts w:ascii="Times New Roman" w:hAnsi="Times New Roman" w:cs="Times New Roman"/>
        </w:rPr>
        <w:fldChar w:fldCharType="separate"/>
      </w:r>
      <w:r w:rsidR="00265BDE" w:rsidRPr="009E2740">
        <w:rPr>
          <w:rFonts w:ascii="Times New Roman" w:hAnsi="Times New Roman" w:cs="Times New Roman"/>
          <w:noProof/>
          <w:lang w:val="pt-BR"/>
        </w:rPr>
        <w:t>(Barro, 1989)</w:t>
      </w:r>
      <w:r w:rsidRPr="009E2740">
        <w:rPr>
          <w:rFonts w:ascii="Times New Roman" w:hAnsi="Times New Roman" w:cs="Times New Roman"/>
        </w:rPr>
        <w:fldChar w:fldCharType="end"/>
      </w:r>
      <w:r w:rsidRPr="009E2740">
        <w:rPr>
          <w:rFonts w:ascii="Times New Roman" w:hAnsi="Times New Roman" w:cs="Times New Roman"/>
          <w:lang w:val="pt-BR"/>
        </w:rPr>
        <w:t xml:space="preserve">,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"Armey", "given" : "Dick", "non-dropping-particle" : "", "parse-names" : false, "suffix" : "" } ], "editor" : [ { "dropping-particle" : "", "family" : "Publishing", "given" : "Regnery", "non-dropping-particle" : "", "parse-names" : false, "suffix" : "" } ], "id" : "ITEM-1", "issued" : { "date-parts" : [ [ "1995" ] ] }, "publisher-place" : "Washington, D.C.", "title" : "The Freedom Revolution", "type" : "book" }, "uris" : [ "http://www.mendeley.com/documents/?uuid=11035240-fbfc-4e93-9d25-0f477a7d35f2" ] } ], "mendeley" : { "formattedCitation" : "(Armey, 1995)", "plainTextFormattedCitation" : "(Armey, 1995)", "previouslyFormattedCitation" : "(Armey, 1995)"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(Armey, 1995)</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"10.2307/1804790", "ISBN" : "00028282", "ISSN" : "00028282", "author" : [ { "dropping-particle" : "", "family" : "Ram", "given" : "Rati", "non-dropping-particle" : "", "parse-names" : false, "suffix" : "" } ], "container-title" : "American Economic Review", "id" : "ITEM-1", "issue" : "1", "issued" : { "date-parts" : [ [ "1986" ] ] }, "page" : "191-203", "title" : "Government size and economic growth: A new framework and some evidence from cross-section and time-series data", "type" : "article-journal", "volume" : "76" }, "uris" : [ "http://www.mendeley.com/documents/?uuid=35b057a1-fc23-468b-8a37-09d33c687b37" ] } ], "mendeley" : { "formattedCitation" : "(Ram, 1986)", "plainTextFormattedCitation" : "(Ram, 1986)", "previouslyFormattedCitation" : "(Ram, 1986)"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(Ram, 1986)</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e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"10.1007/BF01047902", "author" : [ { "dropping-particle" : "", "family" : "Scully", "given" : "Gerald W.", "non-dropping-particle" : "", "parse-names" : false, "suffix" : "" } ], "container-title" : "Public Choice", "id" : "ITEM-1", "issue" : "1-2", "issued" : { "date-parts" : [ [ "1995", "10" ] ] }, "page" : "71-80", "publisher" : "Kluwer Academic Publishers", "title" : "The 'growth tax' in the United States", "type" : "article-journal", "volume" : "85" }, "uris" : [ "http://www.mendeley.com/documents/?uuid=66c56a89-44a7-3a00-ab06-5a653734c24f" ] }, { "id" : "ITEM-2", "itemData" : { "author" : [ { "dropping-particle" : "", "family" : "Scully", "given" : "Gerald W", "non-dropping-particle" : "", "parse-names" : false, "suffix" : "" } ], "container-title" : "Pacific Economic Review", "id" : "ITEM-2", "issue" : "2", "issued" : { "date-parts" : [ [ "1996" ] ] }, "page" : "169-177", "title" : "Taxation and Economic Growth in New Zealand", "type" : "article-journal", "volume" : "1" }, "uris" : [ "http://www.mendeley.com/documents/?uuid=b6296ab7-a280-4374-a2d8-c0cdfa03612a" ] } ], "mendeley" : { "formattedCitation" : "(Scully, 1995, 1996)", "plainTextFormattedCitation" : "(Scully, 1995, 1996)", "previouslyFormattedCitation" : "(Scully, 1995, 1996)"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(Scully, 1995, 1996)</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desenvolveram uma abordagem teórica e iniciaram um</w:t>
      </w:r>
      <w:r w:rsidR="00FE6470" w:rsidRPr="009E2740">
        <w:rPr>
          <w:rFonts w:ascii="Times New Roman" w:hAnsi="Times New Roman" w:cs="Times New Roman"/>
          <w:lang w:val="pt-BR"/>
        </w:rPr>
        <w:t>a linha de</w:t>
      </w:r>
      <w:r w:rsidRPr="009E2740">
        <w:rPr>
          <w:rFonts w:ascii="Times New Roman" w:hAnsi="Times New Roman" w:cs="Times New Roman"/>
          <w:lang w:val="pt-BR"/>
        </w:rPr>
        <w:t xml:space="preserve"> pesquisa empírica </w:t>
      </w:r>
      <w:r w:rsidR="00FE6470" w:rsidRPr="009E2740">
        <w:rPr>
          <w:rFonts w:ascii="Times New Roman" w:hAnsi="Times New Roman" w:cs="Times New Roman"/>
          <w:lang w:val="pt-BR"/>
        </w:rPr>
        <w:t xml:space="preserve">na busca de evidências </w:t>
      </w:r>
      <w:r w:rsidRPr="009E2740">
        <w:rPr>
          <w:rFonts w:ascii="Times New Roman" w:hAnsi="Times New Roman" w:cs="Times New Roman"/>
          <w:lang w:val="pt-BR"/>
        </w:rPr>
        <w:t xml:space="preserve">de </w:t>
      </w:r>
      <w:r w:rsidR="00FE6470" w:rsidRPr="009E2740">
        <w:rPr>
          <w:rFonts w:ascii="Times New Roman" w:hAnsi="Times New Roman" w:cs="Times New Roman"/>
          <w:lang w:val="pt-BR"/>
        </w:rPr>
        <w:t>alguma relação entre o</w:t>
      </w:r>
      <w:r w:rsidRPr="009E2740">
        <w:rPr>
          <w:rFonts w:ascii="Times New Roman" w:hAnsi="Times New Roman" w:cs="Times New Roman"/>
          <w:lang w:val="pt-BR"/>
        </w:rPr>
        <w:t xml:space="preserve"> gasto público </w:t>
      </w:r>
      <w:r w:rsidR="00FE6470" w:rsidRPr="009E2740">
        <w:rPr>
          <w:rFonts w:ascii="Times New Roman" w:hAnsi="Times New Roman" w:cs="Times New Roman"/>
          <w:lang w:val="pt-BR"/>
        </w:rPr>
        <w:t xml:space="preserve">e o </w:t>
      </w:r>
      <w:r w:rsidRPr="009E2740">
        <w:rPr>
          <w:rFonts w:ascii="Times New Roman" w:hAnsi="Times New Roman" w:cs="Times New Roman"/>
          <w:lang w:val="pt-BR"/>
        </w:rPr>
        <w:t xml:space="preserve">crescimento econômico na forma de uma curva U invertida. </w:t>
      </w:r>
      <w:r w:rsidRPr="009E2740">
        <w:rPr>
          <w:rFonts w:ascii="Times New Roman" w:hAnsi="Times New Roman" w:cs="Times New Roman"/>
          <w:lang w:val="pt-BR"/>
        </w:rPr>
        <w:lastRenderedPageBreak/>
        <w:t>E</w:t>
      </w:r>
      <w:bookmarkStart w:id="0" w:name="_GoBack"/>
      <w:bookmarkEnd w:id="0"/>
      <w:r w:rsidRPr="009E2740">
        <w:rPr>
          <w:rFonts w:ascii="Times New Roman" w:hAnsi="Times New Roman" w:cs="Times New Roman"/>
          <w:lang w:val="pt-BR"/>
        </w:rPr>
        <w:t>sse modelo ficou conhecido como modelo BARS ou, simplesmente, Curva de Armey dado a importância da contribuição do economista Richard Armey</w:t>
      </w:r>
      <w:r w:rsidRPr="009E2740">
        <w:rPr>
          <w:rStyle w:val="FootnoteReference"/>
          <w:rFonts w:ascii="Times New Roman" w:hAnsi="Times New Roman" w:cs="Times New Roman"/>
        </w:rPr>
        <w:footnoteReference w:id="4"/>
      </w:r>
      <w:r w:rsidRPr="009E2740">
        <w:rPr>
          <w:rFonts w:ascii="Times New Roman" w:hAnsi="Times New Roman" w:cs="Times New Roman"/>
          <w:lang w:val="pt-BR"/>
        </w:rPr>
        <w:t>.</w:t>
      </w:r>
    </w:p>
    <w:p w14:paraId="6CB2330E" w14:textId="77777777" w:rsidR="00D86210" w:rsidRPr="009E2740" w:rsidRDefault="00D86210" w:rsidP="009E2740">
      <w:pPr>
        <w:spacing w:after="0" w:line="240" w:lineRule="auto"/>
        <w:ind w:firstLine="720"/>
        <w:jc w:val="both"/>
        <w:rPr>
          <w:rFonts w:ascii="Times New Roman" w:hAnsi="Times New Roman" w:cs="Times New Roman"/>
          <w:lang w:val="pt-BR"/>
        </w:rPr>
      </w:pPr>
      <w:r w:rsidRPr="009E2740">
        <w:rPr>
          <w:rFonts w:ascii="Times New Roman" w:hAnsi="Times New Roman" w:cs="Times New Roman"/>
          <w:lang w:val="pt-BR"/>
        </w:rPr>
        <w:t>A existência de uma relação entre gasto do governo e crescimento econômico no formato côncavo (U invertido) presume a existência de uma lei de rendimentos decrescentes do gasto público, conforme apresentado na figura 1.</w:t>
      </w:r>
    </w:p>
    <w:p w14:paraId="0F9F1887" w14:textId="77777777" w:rsidR="00047893" w:rsidRPr="009E2740" w:rsidRDefault="00047893" w:rsidP="009E2740">
      <w:pPr>
        <w:spacing w:line="240" w:lineRule="auto"/>
        <w:rPr>
          <w:rFonts w:ascii="Times New Roman" w:hAnsi="Times New Roman" w:cs="Times New Roman"/>
          <w:lang w:val="pt-BR"/>
        </w:rPr>
      </w:pPr>
    </w:p>
    <w:p w14:paraId="2087D7E4" w14:textId="42714CE0" w:rsidR="00D86210" w:rsidRPr="009E2740" w:rsidRDefault="002D53D1" w:rsidP="009E2740">
      <w:pPr>
        <w:spacing w:line="240" w:lineRule="auto"/>
        <w:jc w:val="center"/>
        <w:rPr>
          <w:rFonts w:ascii="Times New Roman" w:hAnsi="Times New Roman" w:cs="Times New Roman"/>
          <w:lang w:val="pt-BR"/>
        </w:rPr>
      </w:pPr>
      <w:r w:rsidRPr="009E2740">
        <w:rPr>
          <w:rFonts w:ascii="Times New Roman" w:hAnsi="Times New Roman" w:cs="Times New Roman"/>
          <w:lang w:val="pt-BR"/>
        </w:rPr>
        <w:t>Figura 1</w:t>
      </w:r>
      <w:r w:rsidR="00047893" w:rsidRPr="009E2740">
        <w:rPr>
          <w:rFonts w:ascii="Times New Roman" w:hAnsi="Times New Roman" w:cs="Times New Roman"/>
          <w:lang w:val="pt-BR"/>
        </w:rPr>
        <w:t>: A Curva “BARS”</w:t>
      </w:r>
    </w:p>
    <w:p w14:paraId="5700A6C4" w14:textId="77777777" w:rsidR="00F80D56" w:rsidRPr="009E2740" w:rsidRDefault="000A6CD9" w:rsidP="009E2740">
      <w:pPr>
        <w:spacing w:after="0" w:line="240" w:lineRule="auto"/>
        <w:ind w:left="142"/>
        <w:jc w:val="center"/>
        <w:rPr>
          <w:rFonts w:ascii="Times New Roman" w:hAnsi="Times New Roman" w:cs="Times New Roman"/>
          <w:lang w:val="pt-BR"/>
        </w:rPr>
      </w:pPr>
      <w:r w:rsidRPr="009E2740">
        <w:rPr>
          <w:rFonts w:ascii="Times New Roman" w:hAnsi="Times New Roman" w:cs="Times New Roman"/>
          <w:noProof/>
        </w:rPr>
        <w:drawing>
          <wp:inline distT="0" distB="0" distL="0" distR="0" wp14:anchorId="5FE5B2C4" wp14:editId="79CA3A30">
            <wp:extent cx="4559574" cy="1992702"/>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0972" cy="1993313"/>
                    </a:xfrm>
                    <a:prstGeom prst="rect">
                      <a:avLst/>
                    </a:prstGeom>
                  </pic:spPr>
                </pic:pic>
              </a:graphicData>
            </a:graphic>
          </wp:inline>
        </w:drawing>
      </w:r>
    </w:p>
    <w:p w14:paraId="3D00F429" w14:textId="7CBFED5F" w:rsidR="00C90A80" w:rsidRPr="009E2740" w:rsidRDefault="00E46E05" w:rsidP="009E2740">
      <w:pPr>
        <w:spacing w:after="0" w:line="240" w:lineRule="auto"/>
        <w:ind w:left="1418"/>
        <w:rPr>
          <w:rFonts w:ascii="Times New Roman" w:hAnsi="Times New Roman" w:cs="Times New Roman"/>
          <w:lang w:val="pt-BR"/>
        </w:rPr>
      </w:pPr>
      <w:r>
        <w:rPr>
          <w:rFonts w:ascii="Times New Roman" w:hAnsi="Times New Roman" w:cs="Times New Roman"/>
          <w:lang w:val="pt-BR"/>
        </w:rPr>
        <w:t>Fonte: E</w:t>
      </w:r>
      <w:r w:rsidR="00C90A80" w:rsidRPr="009E2740">
        <w:rPr>
          <w:rFonts w:ascii="Times New Roman" w:hAnsi="Times New Roman" w:cs="Times New Roman"/>
          <w:lang w:val="pt-BR"/>
        </w:rPr>
        <w:t>laborado pelos autores</w:t>
      </w:r>
    </w:p>
    <w:p w14:paraId="5E272E5C" w14:textId="77777777" w:rsidR="00047893" w:rsidRPr="009E2740" w:rsidRDefault="00047893" w:rsidP="009E2740">
      <w:pPr>
        <w:spacing w:after="0" w:line="240" w:lineRule="auto"/>
        <w:ind w:left="1418"/>
        <w:rPr>
          <w:rFonts w:ascii="Times New Roman" w:hAnsi="Times New Roman" w:cs="Times New Roman"/>
          <w:lang w:val="pt-BR"/>
        </w:rPr>
      </w:pPr>
    </w:p>
    <w:p w14:paraId="257B8028" w14:textId="0CDC427B" w:rsidR="00D86210" w:rsidRPr="009E2740" w:rsidRDefault="00D86210" w:rsidP="009E2740">
      <w:pPr>
        <w:spacing w:after="0" w:line="240" w:lineRule="auto"/>
        <w:ind w:firstLine="720"/>
        <w:jc w:val="both"/>
        <w:rPr>
          <w:rFonts w:ascii="Times New Roman" w:hAnsi="Times New Roman" w:cs="Times New Roman"/>
          <w:lang w:val="pt-BR"/>
        </w:rPr>
      </w:pPr>
      <w:r w:rsidRPr="009E2740">
        <w:rPr>
          <w:rFonts w:ascii="Times New Roman" w:hAnsi="Times New Roman" w:cs="Times New Roman"/>
          <w:lang w:val="pt-BR"/>
        </w:rPr>
        <w:t xml:space="preserve">O formato da curva de Armey reflete a existência de dois estágios na relação entre gasto público e atividade econômica. No primeiro estágio prevalece o argumento da existência de uma associação positiva entre gasto público e crescimento econômico, o que reflete os ganhos econômicos da existência de um governo. No segundo estágio, essa associação torna-se negativa devido </w:t>
      </w:r>
      <w:r w:rsidR="00C11D8F" w:rsidRPr="009E2740">
        <w:rPr>
          <w:rFonts w:ascii="Times New Roman" w:hAnsi="Times New Roman" w:cs="Times New Roman"/>
          <w:lang w:val="pt-BR"/>
        </w:rPr>
        <w:t>à</w:t>
      </w:r>
      <w:r w:rsidRPr="009E2740">
        <w:rPr>
          <w:rFonts w:ascii="Times New Roman" w:hAnsi="Times New Roman" w:cs="Times New Roman"/>
          <w:lang w:val="pt-BR"/>
        </w:rPr>
        <w:t xml:space="preserve"> inefici</w:t>
      </w:r>
      <w:r w:rsidR="00C11D8F" w:rsidRPr="009E2740">
        <w:rPr>
          <w:rFonts w:ascii="Times New Roman" w:hAnsi="Times New Roman" w:cs="Times New Roman"/>
          <w:lang w:val="pt-BR"/>
        </w:rPr>
        <w:t>ência</w:t>
      </w:r>
      <w:r w:rsidRPr="009E2740">
        <w:rPr>
          <w:rFonts w:ascii="Times New Roman" w:hAnsi="Times New Roman" w:cs="Times New Roman"/>
          <w:lang w:val="pt-BR"/>
        </w:rPr>
        <w:t xml:space="preserve"> dos novos gastos do governo. Assim o modelo teórico gera como resultado a existência de uma carga tributária ótima. </w:t>
      </w:r>
    </w:p>
    <w:p w14:paraId="0DF034B5" w14:textId="58666D30" w:rsidR="00D86210" w:rsidRPr="009E2740" w:rsidRDefault="00D86210" w:rsidP="009E2740">
      <w:pPr>
        <w:spacing w:after="0" w:line="240" w:lineRule="auto"/>
        <w:ind w:firstLine="720"/>
        <w:jc w:val="both"/>
        <w:rPr>
          <w:rFonts w:ascii="Times New Roman" w:hAnsi="Times New Roman" w:cs="Times New Roman"/>
          <w:lang w:val="pt-BR"/>
        </w:rPr>
      </w:pPr>
      <w:r w:rsidRPr="009E2740">
        <w:rPr>
          <w:rFonts w:ascii="Times New Roman" w:hAnsi="Times New Roman" w:cs="Times New Roman"/>
          <w:lang w:val="pt-BR"/>
        </w:rPr>
        <w:t>Como o modelo utiliza uma função de produção tipo Cobb-Douglas</w:t>
      </w:r>
      <w:r w:rsidR="009137BC" w:rsidRPr="009E2740">
        <w:rPr>
          <w:rFonts w:ascii="Times New Roman" w:hAnsi="Times New Roman" w:cs="Times New Roman"/>
          <w:lang w:val="pt-BR"/>
        </w:rPr>
        <w:t>,</w:t>
      </w:r>
      <w:r w:rsidRPr="009E2740">
        <w:rPr>
          <w:rFonts w:ascii="Times New Roman" w:hAnsi="Times New Roman" w:cs="Times New Roman"/>
          <w:lang w:val="pt-BR"/>
        </w:rPr>
        <w:t xml:space="preserve"> para a economia crescer é necessário o uso de unidades de gasto público e gasto privado. Quando o gasto público é zero</w:t>
      </w:r>
      <w:r w:rsidR="009137BC" w:rsidRPr="009E2740">
        <w:rPr>
          <w:rFonts w:ascii="Times New Roman" w:hAnsi="Times New Roman" w:cs="Times New Roman"/>
          <w:lang w:val="pt-BR"/>
        </w:rPr>
        <w:t>,</w:t>
      </w:r>
      <w:r w:rsidRPr="009E2740">
        <w:rPr>
          <w:rFonts w:ascii="Times New Roman" w:hAnsi="Times New Roman" w:cs="Times New Roman"/>
          <w:lang w:val="pt-BR"/>
        </w:rPr>
        <w:t xml:space="preserve"> o nível de atividade econômica </w:t>
      </w:r>
      <w:r w:rsidR="009137BC" w:rsidRPr="009E2740">
        <w:rPr>
          <w:rFonts w:ascii="Times New Roman" w:hAnsi="Times New Roman" w:cs="Times New Roman"/>
          <w:lang w:val="pt-BR"/>
        </w:rPr>
        <w:t xml:space="preserve">também </w:t>
      </w:r>
      <w:r w:rsidRPr="009E2740">
        <w:rPr>
          <w:rFonts w:ascii="Times New Roman" w:hAnsi="Times New Roman" w:cs="Times New Roman"/>
          <w:lang w:val="pt-BR"/>
        </w:rPr>
        <w:t>é zero. O aumento no gasto público gera um aumento no crescimento econômico até o ponto de máximo. Aqui a produtividade marginal do gasto público é igual a produtividade marginal do gasto privado. Além do ponto de máximo, prevalece a lei de retornos decrescentes que conduz para uma situação na qual um aumento no gasto público passa a reduzir o crescimento econômico.</w:t>
      </w:r>
    </w:p>
    <w:p w14:paraId="263E248E" w14:textId="195D5BF8" w:rsidR="00790C67" w:rsidRPr="009E2740" w:rsidRDefault="009843AC"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Desta forma, o</w:t>
      </w:r>
      <w:r w:rsidR="006C6DBA" w:rsidRPr="009E2740">
        <w:rPr>
          <w:rFonts w:ascii="Times New Roman" w:hAnsi="Times New Roman" w:cs="Times New Roman"/>
          <w:lang w:val="pt-BR"/>
        </w:rPr>
        <w:t xml:space="preserve"> modelo utilizado para se derivar a carga tributária ótima é </w:t>
      </w:r>
      <w:r w:rsidRPr="009E2740">
        <w:rPr>
          <w:rFonts w:ascii="Times New Roman" w:hAnsi="Times New Roman" w:cs="Times New Roman"/>
          <w:lang w:val="pt-BR"/>
        </w:rPr>
        <w:t xml:space="preserve">aquele </w:t>
      </w:r>
      <w:r w:rsidR="00E039FD" w:rsidRPr="009E2740">
        <w:rPr>
          <w:rFonts w:ascii="Times New Roman" w:hAnsi="Times New Roman" w:cs="Times New Roman"/>
          <w:lang w:val="pt-BR"/>
        </w:rPr>
        <w:t xml:space="preserve">originalmente elaborado por </w:t>
      </w:r>
      <w:r w:rsidR="00EF1791"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"10.1007/BF01047902", "author" : [ { "dropping-particle" : "", "family" : "Scully", "given" : "Gerald W.", "non-dropping-particle" : "", "parse-names" : false, "suffix" : "" } ], "container-title" : "Public Choice", "id" : "ITEM-1", "issue" : "1-2", "issued" : { "date-parts" : [ [ "1995", "10" ] ] }, "page" : "71-80", "publisher" : "Kluwer Academic Publishers", "title" : "The 'growth tax' in the United States", "type" : "article-journal", "volume" : "85" }, "uris" : [ "http://www.mendeley.com/documents/?uuid=66c56a89-44a7-3a00-ab06-5a653734c24f" ] } ], "mendeley" : { "formattedCitation" : "(Scully, 1995)", "plainTextFormattedCitation" : "(Scully, 1995)", "previouslyFormattedCitation" : "(Scully, 1995)" }, "properties" : { "noteIndex" : 0 }, "schema" : "https://github.com/citation-style-language/schema/raw/master/csl-citation.json" }</w:instrText>
      </w:r>
      <w:r w:rsidR="00EF1791"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(Scully, 1995)</w:t>
      </w:r>
      <w:r w:rsidR="00EF1791" w:rsidRPr="009E2740">
        <w:rPr>
          <w:rFonts w:ascii="Times New Roman" w:hAnsi="Times New Roman" w:cs="Times New Roman"/>
          <w:lang w:val="pt-BR"/>
        </w:rPr>
        <w:fldChar w:fldCharType="end"/>
      </w:r>
      <w:r w:rsidR="00EF1791" w:rsidRPr="009E2740">
        <w:rPr>
          <w:rStyle w:val="FootnoteReference"/>
          <w:rFonts w:ascii="Times New Roman" w:hAnsi="Times New Roman" w:cs="Times New Roman"/>
          <w:lang w:val="pt-BR"/>
        </w:rPr>
        <w:footnoteReference w:id="5"/>
      </w:r>
      <w:r w:rsidRPr="009E2740">
        <w:rPr>
          <w:rFonts w:ascii="Times New Roman" w:hAnsi="Times New Roman" w:cs="Times New Roman"/>
          <w:lang w:val="pt-BR"/>
        </w:rPr>
        <w:t xml:space="preserve">. Ele </w:t>
      </w:r>
      <w:r w:rsidR="0085446A" w:rsidRPr="009E2740">
        <w:rPr>
          <w:rFonts w:ascii="Times New Roman" w:hAnsi="Times New Roman" w:cs="Times New Roman"/>
          <w:lang w:val="pt-BR"/>
        </w:rPr>
        <w:t>assume que o</w:t>
      </w:r>
      <w:r w:rsidR="00E039FD" w:rsidRPr="009E2740">
        <w:rPr>
          <w:rFonts w:ascii="Times New Roman" w:hAnsi="Times New Roman" w:cs="Times New Roman"/>
          <w:lang w:val="pt-BR"/>
        </w:rPr>
        <w:t xml:space="preserve"> produto</w:t>
      </w:r>
      <w:r w:rsidR="00FC072D" w:rsidRPr="009E2740">
        <w:rPr>
          <w:rFonts w:ascii="Times New Roman" w:hAnsi="Times New Roman" w:cs="Times New Roman"/>
          <w:lang w:val="pt-BR"/>
        </w:rPr>
        <w:t>, Y,</w:t>
      </w:r>
      <w:r w:rsidR="00E039FD" w:rsidRPr="009E2740">
        <w:rPr>
          <w:rFonts w:ascii="Times New Roman" w:hAnsi="Times New Roman" w:cs="Times New Roman"/>
          <w:lang w:val="pt-BR"/>
        </w:rPr>
        <w:t xml:space="preserve"> de um país </w:t>
      </w:r>
      <w:r w:rsidR="0085446A" w:rsidRPr="009E2740">
        <w:rPr>
          <w:rFonts w:ascii="Times New Roman" w:hAnsi="Times New Roman" w:cs="Times New Roman"/>
          <w:lang w:val="pt-BR"/>
        </w:rPr>
        <w:t xml:space="preserve">seja composto de dois grandes insumos que são os setores </w:t>
      </w:r>
      <w:r w:rsidR="00E039FD" w:rsidRPr="009E2740">
        <w:rPr>
          <w:rFonts w:ascii="Times New Roman" w:hAnsi="Times New Roman" w:cs="Times New Roman"/>
          <w:lang w:val="pt-BR"/>
        </w:rPr>
        <w:t>público e privado.</w:t>
      </w:r>
      <w:r w:rsidR="00790C67" w:rsidRPr="009E2740">
        <w:rPr>
          <w:rFonts w:ascii="Times New Roman" w:hAnsi="Times New Roman" w:cs="Times New Roman"/>
          <w:lang w:val="pt-BR"/>
        </w:rPr>
        <w:t xml:space="preserve"> </w:t>
      </w:r>
    </w:p>
    <w:p w14:paraId="1EC39E3B" w14:textId="1CD74377" w:rsidR="00E039FD" w:rsidRPr="009E2740" w:rsidRDefault="00007F11" w:rsidP="009E2740">
      <w:pPr>
        <w:spacing w:after="0" w:line="240" w:lineRule="auto"/>
        <w:ind w:firstLine="709"/>
        <w:jc w:val="both"/>
        <w:rPr>
          <w:rFonts w:ascii="Times New Roman" w:hAnsi="Times New Roman" w:cs="Times New Roman"/>
          <w:lang w:val="pt-BR"/>
        </w:rPr>
      </w:pPr>
      <w:r>
        <w:rPr>
          <w:rFonts w:ascii="Times New Roman" w:hAnsi="Times New Roman" w:cs="Times New Roman"/>
          <w:lang w:val="pt-BR"/>
        </w:rPr>
        <w:t>No primeiro caso, tem-se</w:t>
      </w:r>
      <w:r w:rsidR="00790C67" w:rsidRPr="009E2740">
        <w:rPr>
          <w:rFonts w:ascii="Times New Roman" w:hAnsi="Times New Roman" w:cs="Times New Roman"/>
          <w:lang w:val="pt-BR"/>
        </w:rPr>
        <w:t xml:space="preserve"> G/Y e, a fração retida pelos cidadãos após a tributação é dada por (1 - t). S</w:t>
      </w:r>
      <w:r w:rsidR="00182607" w:rsidRPr="009E2740">
        <w:rPr>
          <w:rFonts w:ascii="Times New Roman" w:hAnsi="Times New Roman" w:cs="Times New Roman"/>
          <w:lang w:val="pt-BR"/>
        </w:rPr>
        <w:t>uponha a seguinte forma funcional</w:t>
      </w:r>
      <w:r w:rsidR="00E039FD" w:rsidRPr="009E2740">
        <w:rPr>
          <w:rFonts w:ascii="Times New Roman" w:hAnsi="Times New Roman" w:cs="Times New Roman"/>
          <w:lang w:val="pt-BR"/>
        </w:rPr>
        <w:t xml:space="preserve">: </w:t>
      </w:r>
    </w:p>
    <w:p w14:paraId="202A610E" w14:textId="77777777" w:rsidR="00047893" w:rsidRPr="009E2740" w:rsidRDefault="00047893" w:rsidP="009E2740">
      <w:pPr>
        <w:spacing w:after="0" w:line="240" w:lineRule="auto"/>
        <w:ind w:firstLine="709"/>
        <w:jc w:val="both"/>
        <w:rPr>
          <w:rFonts w:ascii="Times New Roman" w:hAnsi="Times New Roman" w:cs="Times New Roman"/>
          <w:lang w:val="pt-BR"/>
        </w:rPr>
      </w:pPr>
    </w:p>
    <w:p w14:paraId="519A0597" w14:textId="77777777" w:rsidR="00E039FD" w:rsidRPr="009E2740" w:rsidRDefault="00790C67" w:rsidP="00380DF3">
      <w:pPr>
        <w:spacing w:line="240" w:lineRule="auto"/>
        <w:jc w:val="right"/>
        <w:rPr>
          <w:rFonts w:ascii="Times New Roman" w:hAnsi="Times New Roman" w:cs="Times New Roman"/>
          <w:lang w:val="pt-BR"/>
        </w:rPr>
      </w:pPr>
      <w:r w:rsidRPr="009E2740">
        <w:rPr>
          <w:rFonts w:ascii="Times New Roman" w:hAnsi="Times New Roman" w:cs="Times New Roman"/>
          <w:position w:val="-10"/>
        </w:rPr>
        <w:object w:dxaOrig="1980" w:dyaOrig="360" w14:anchorId="428EA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8pt" o:ole="" fillcolor="window">
            <v:imagedata r:id="rId10" o:title=""/>
          </v:shape>
          <o:OLEObject Type="Embed" ProgID="Equation.DSMT4" ShapeID="_x0000_i1025" DrawAspect="Content" ObjectID="_1539788411" r:id="rId11"/>
        </w:object>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t>(1)</w:t>
      </w:r>
    </w:p>
    <w:p w14:paraId="1CD548A0" w14:textId="0BA217AA" w:rsidR="00E039FD" w:rsidRPr="009E2740" w:rsidRDefault="00F14F5D" w:rsidP="009E2740">
      <w:pPr>
        <w:spacing w:line="240" w:lineRule="auto"/>
        <w:jc w:val="both"/>
        <w:rPr>
          <w:rFonts w:ascii="Times New Roman" w:hAnsi="Times New Roman" w:cs="Times New Roman"/>
          <w:lang w:val="pt-BR"/>
        </w:rPr>
      </w:pPr>
      <w:r w:rsidRPr="009E2740">
        <w:rPr>
          <w:rFonts w:ascii="Times New Roman" w:hAnsi="Times New Roman" w:cs="Times New Roman"/>
          <w:lang w:val="pt-BR"/>
        </w:rPr>
        <w:tab/>
      </w:r>
      <w:r w:rsidR="00007F11">
        <w:rPr>
          <w:rFonts w:ascii="Times New Roman" w:hAnsi="Times New Roman" w:cs="Times New Roman"/>
          <w:lang w:val="pt-BR"/>
        </w:rPr>
        <w:t>Em termos logaritmizados, tem-se</w:t>
      </w:r>
      <w:r w:rsidR="00E039FD" w:rsidRPr="009E2740">
        <w:rPr>
          <w:rFonts w:ascii="Times New Roman" w:hAnsi="Times New Roman" w:cs="Times New Roman"/>
          <w:lang w:val="pt-BR"/>
        </w:rPr>
        <w:t>:</w:t>
      </w:r>
    </w:p>
    <w:p w14:paraId="3D4FE2A4" w14:textId="77777777" w:rsidR="00E039FD" w:rsidRPr="009E2740" w:rsidRDefault="00182607" w:rsidP="00380DF3">
      <w:pPr>
        <w:spacing w:line="240" w:lineRule="auto"/>
        <w:jc w:val="right"/>
        <w:rPr>
          <w:rFonts w:ascii="Times New Roman" w:hAnsi="Times New Roman" w:cs="Times New Roman"/>
          <w:lang w:val="pt-BR"/>
        </w:rPr>
      </w:pPr>
      <w:r w:rsidRPr="009E2740">
        <w:rPr>
          <w:rFonts w:ascii="Times New Roman" w:hAnsi="Times New Roman" w:cs="Times New Roman"/>
          <w:position w:val="-10"/>
        </w:rPr>
        <w:object w:dxaOrig="3320" w:dyaOrig="320" w14:anchorId="75EFE4AB">
          <v:shape id="_x0000_i1026" type="#_x0000_t75" style="width:165.75pt;height:15.75pt" o:ole="" fillcolor="window">
            <v:imagedata r:id="rId12" o:title=""/>
          </v:shape>
          <o:OLEObject Type="Embed" ProgID="Equation.DSMT4" ShapeID="_x0000_i1026" DrawAspect="Content" ObjectID="_1539788412" r:id="rId13"/>
        </w:object>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t>(2)</w:t>
      </w:r>
    </w:p>
    <w:p w14:paraId="3030D437" w14:textId="15136DE7" w:rsidR="00182607" w:rsidRPr="009E2740" w:rsidRDefault="00182607" w:rsidP="009E2740">
      <w:pPr>
        <w:spacing w:line="240" w:lineRule="auto"/>
        <w:jc w:val="both"/>
        <w:rPr>
          <w:rFonts w:ascii="Times New Roman" w:hAnsi="Times New Roman" w:cs="Times New Roman"/>
          <w:lang w:val="pt-BR"/>
        </w:rPr>
      </w:pPr>
      <w:r w:rsidRPr="009E2740">
        <w:rPr>
          <w:rFonts w:ascii="Times New Roman" w:hAnsi="Times New Roman" w:cs="Times New Roman"/>
          <w:lang w:val="pt-BR"/>
        </w:rPr>
        <w:tab/>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"10.1007/BF01047902", "author" : [ { "dropping-particle" : "", "family" : "Scully", "given" : "Gerald W.", "non-dropping-particle" : "", "parse-names" : false, "suffix" : "" } ], "container-title" : "Public Choice", "id" : "ITEM-1", "issue" : "1-2", "issued" : { "date-parts" : [ [ "1995", "10" ] ] }, "page" : "71-80", "publisher" : "Kluwer Academic Publishers", "title" : "The 'growth tax' in the United States", "type" : "article-journal", "volume" : "85" }, "uris" : [ "http://www.mendeley.com/documents/?uuid=66c56a89-44a7-3a00-ab06-5a653734c24f" ] } ], "mendeley" : { "formattedCitation" : "(Scully, 1995)", "plainTextFormattedCitation" : "(Scully, 1995)", "previouslyFormattedCitation" : "(Scully, 1995)"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(Scully, 1995)</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mostra que: </w:t>
      </w:r>
      <w:r w:rsidRPr="009E2740">
        <w:rPr>
          <w:rFonts w:ascii="Times New Roman" w:hAnsi="Times New Roman" w:cs="Times New Roman"/>
          <w:position w:val="-24"/>
        </w:rPr>
        <w:object w:dxaOrig="3220" w:dyaOrig="660" w14:anchorId="1A110B84">
          <v:shape id="_x0000_i1027" type="#_x0000_t75" style="width:160.5pt;height:33pt" o:ole="" fillcolor="window">
            <v:imagedata r:id="rId14" o:title=""/>
          </v:shape>
          <o:OLEObject Type="Embed" ProgID="Equation.DSMT4" ShapeID="_x0000_i1027" DrawAspect="Content" ObjectID="_1539788413" r:id="rId15"/>
        </w:object>
      </w:r>
      <w:r w:rsidRPr="009E2740">
        <w:rPr>
          <w:rFonts w:ascii="Times New Roman" w:hAnsi="Times New Roman" w:cs="Times New Roman"/>
          <w:lang w:val="pt-BR"/>
        </w:rPr>
        <w:t xml:space="preserve">.  Por sua vez, as derivadas para “t” são: </w:t>
      </w:r>
      <w:r w:rsidRPr="009E2740">
        <w:rPr>
          <w:rFonts w:ascii="Times New Roman" w:hAnsi="Times New Roman" w:cs="Times New Roman"/>
          <w:position w:val="-24"/>
        </w:rPr>
        <w:object w:dxaOrig="3760" w:dyaOrig="660" w14:anchorId="0B3897B9">
          <v:shape id="_x0000_i1028" type="#_x0000_t75" style="width:187.5pt;height:33pt" o:ole="" fillcolor="window">
            <v:imagedata r:id="rId16" o:title=""/>
          </v:shape>
          <o:OLEObject Type="Embed" ProgID="Equation.DSMT4" ShapeID="_x0000_i1028" DrawAspect="Content" ObjectID="_1539788414" r:id="rId17"/>
        </w:object>
      </w:r>
      <w:r w:rsidR="00007F11">
        <w:rPr>
          <w:rFonts w:ascii="Times New Roman" w:hAnsi="Times New Roman" w:cs="Times New Roman"/>
          <w:lang w:val="pt-BR"/>
        </w:rPr>
        <w:t>. Por definição, tem-se</w:t>
      </w:r>
      <w:r w:rsidRPr="009E2740">
        <w:rPr>
          <w:rFonts w:ascii="Times New Roman" w:hAnsi="Times New Roman" w:cs="Times New Roman"/>
          <w:lang w:val="pt-BR"/>
        </w:rPr>
        <w:t xml:space="preserve"> que: </w:t>
      </w:r>
      <w:r w:rsidRPr="009E2740">
        <w:rPr>
          <w:rFonts w:ascii="Times New Roman" w:hAnsi="Times New Roman" w:cs="Times New Roman"/>
          <w:position w:val="-6"/>
        </w:rPr>
        <w:object w:dxaOrig="720" w:dyaOrig="279" w14:anchorId="3DADC2CE">
          <v:shape id="_x0000_i1029" type="#_x0000_t75" style="width:36pt;height:14.25pt" o:ole="" fillcolor="window">
            <v:imagedata r:id="rId18" o:title=""/>
          </v:shape>
          <o:OLEObject Type="Embed" ProgID="Equation.DSMT4" ShapeID="_x0000_i1029" DrawAspect="Content" ObjectID="_1539788415" r:id="rId19"/>
        </w:object>
      </w:r>
      <w:r w:rsidR="00790C67" w:rsidRPr="009E2740">
        <w:rPr>
          <w:rStyle w:val="FootnoteReference"/>
          <w:rFonts w:ascii="Times New Roman" w:hAnsi="Times New Roman" w:cs="Times New Roman"/>
        </w:rPr>
        <w:footnoteReference w:id="6"/>
      </w:r>
      <w:r w:rsidR="00790C67" w:rsidRPr="009E2740">
        <w:rPr>
          <w:rFonts w:ascii="Times New Roman" w:hAnsi="Times New Roman" w:cs="Times New Roman"/>
          <w:lang w:val="pt-BR"/>
        </w:rPr>
        <w:t>, o que nos permite reescrever (2) como (3):</w:t>
      </w:r>
    </w:p>
    <w:p w14:paraId="5995D140" w14:textId="590A849E" w:rsidR="00790C67" w:rsidRPr="009E2740" w:rsidRDefault="00790C67" w:rsidP="00380DF3">
      <w:pPr>
        <w:spacing w:line="240" w:lineRule="auto"/>
        <w:jc w:val="right"/>
        <w:rPr>
          <w:rFonts w:ascii="Times New Roman" w:hAnsi="Times New Roman" w:cs="Times New Roman"/>
          <w:lang w:val="pt-BR"/>
        </w:rPr>
      </w:pPr>
      <w:r w:rsidRPr="009E2740">
        <w:rPr>
          <w:rFonts w:ascii="Times New Roman" w:hAnsi="Times New Roman" w:cs="Times New Roman"/>
          <w:position w:val="-10"/>
        </w:rPr>
        <w:object w:dxaOrig="2920" w:dyaOrig="320" w14:anchorId="164E6C1A">
          <v:shape id="_x0000_i1030" type="#_x0000_t75" style="width:146.25pt;height:15.75pt" o:ole="" fillcolor="window">
            <v:imagedata r:id="rId20" o:title=""/>
          </v:shape>
          <o:OLEObject Type="Embed" ProgID="Equation.DSMT4" ShapeID="_x0000_i1030" DrawAspect="Content" ObjectID="_1539788416" r:id="rId21"/>
        </w:object>
      </w:r>
      <w:r w:rsidRPr="009E2740">
        <w:rPr>
          <w:rFonts w:ascii="Times New Roman" w:hAnsi="Times New Roman" w:cs="Times New Roman"/>
          <w:lang w:val="pt-BR"/>
        </w:rPr>
        <w:tab/>
      </w:r>
      <w:r w:rsidRPr="009E2740">
        <w:rPr>
          <w:rFonts w:ascii="Times New Roman" w:hAnsi="Times New Roman" w:cs="Times New Roman"/>
          <w:lang w:val="pt-BR"/>
        </w:rPr>
        <w:tab/>
      </w:r>
      <w:r w:rsidRPr="009E2740">
        <w:rPr>
          <w:rFonts w:ascii="Times New Roman" w:hAnsi="Times New Roman" w:cs="Times New Roman"/>
          <w:lang w:val="pt-BR"/>
        </w:rPr>
        <w:tab/>
      </w:r>
      <w:r w:rsidRPr="009E2740">
        <w:rPr>
          <w:rFonts w:ascii="Times New Roman" w:hAnsi="Times New Roman" w:cs="Times New Roman"/>
          <w:lang w:val="pt-BR"/>
        </w:rPr>
        <w:tab/>
      </w:r>
      <w:r w:rsidRPr="009E2740">
        <w:rPr>
          <w:rFonts w:ascii="Times New Roman" w:hAnsi="Times New Roman" w:cs="Times New Roman"/>
          <w:lang w:val="pt-BR"/>
        </w:rPr>
        <w:tab/>
        <w:t>(3)</w:t>
      </w:r>
    </w:p>
    <w:p w14:paraId="6B214C52" w14:textId="6E0E05A0" w:rsidR="00790C67" w:rsidRPr="009E2740" w:rsidRDefault="00790C67" w:rsidP="009E2740">
      <w:pPr>
        <w:spacing w:line="240" w:lineRule="auto"/>
        <w:jc w:val="both"/>
        <w:rPr>
          <w:rFonts w:ascii="Times New Roman" w:hAnsi="Times New Roman" w:cs="Times New Roman"/>
          <w:lang w:val="pt-BR"/>
        </w:rPr>
      </w:pPr>
      <w:r w:rsidRPr="009E2740">
        <w:rPr>
          <w:rFonts w:ascii="Times New Roman" w:hAnsi="Times New Roman" w:cs="Times New Roman"/>
          <w:lang w:val="pt-BR"/>
        </w:rPr>
        <w:tab/>
        <w:t>A taxa maximizadora de crescimento é dada por:</w:t>
      </w:r>
    </w:p>
    <w:p w14:paraId="3F0509A1" w14:textId="77777777" w:rsidR="00E039FD" w:rsidRPr="009E2740" w:rsidRDefault="00790C67" w:rsidP="00380DF3">
      <w:pPr>
        <w:spacing w:line="240" w:lineRule="auto"/>
        <w:jc w:val="right"/>
        <w:rPr>
          <w:rFonts w:ascii="Times New Roman" w:hAnsi="Times New Roman" w:cs="Times New Roman"/>
          <w:lang w:val="pt-BR"/>
        </w:rPr>
      </w:pPr>
      <w:r w:rsidRPr="009E2740">
        <w:rPr>
          <w:rFonts w:ascii="Times New Roman" w:hAnsi="Times New Roman" w:cs="Times New Roman"/>
          <w:position w:val="-24"/>
        </w:rPr>
        <w:object w:dxaOrig="3800" w:dyaOrig="620" w14:anchorId="027E7DB3">
          <v:shape id="_x0000_i1031" type="#_x0000_t75" style="width:189.75pt;height:30.75pt" o:ole="" fillcolor="window">
            <v:imagedata r:id="rId22" o:title=""/>
          </v:shape>
          <o:OLEObject Type="Embed" ProgID="Equation.DSMT4" ShapeID="_x0000_i1031" DrawAspect="Content" ObjectID="_1539788417" r:id="rId23"/>
        </w:object>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r>
      <w:r w:rsidR="00E039FD" w:rsidRPr="009E2740">
        <w:rPr>
          <w:rFonts w:ascii="Times New Roman" w:hAnsi="Times New Roman" w:cs="Times New Roman"/>
          <w:lang w:val="pt-BR"/>
        </w:rPr>
        <w:tab/>
        <w:t>(4)</w:t>
      </w:r>
    </w:p>
    <w:p w14:paraId="3F4F465F" w14:textId="10CD74F0" w:rsidR="00224CCC" w:rsidRDefault="00E039FD" w:rsidP="009E2740">
      <w:pPr>
        <w:spacing w:line="240" w:lineRule="auto"/>
        <w:jc w:val="both"/>
        <w:rPr>
          <w:rFonts w:ascii="Times New Roman" w:hAnsi="Times New Roman" w:cs="Times New Roman"/>
          <w:lang w:val="pt-BR"/>
        </w:rPr>
      </w:pPr>
      <w:r w:rsidRPr="009E2740">
        <w:rPr>
          <w:rFonts w:ascii="Times New Roman" w:hAnsi="Times New Roman" w:cs="Times New Roman"/>
          <w:lang w:val="pt-BR"/>
        </w:rPr>
        <w:tab/>
      </w:r>
      <w:r w:rsidR="00224CCC" w:rsidRPr="009E2740">
        <w:rPr>
          <w:rFonts w:ascii="Times New Roman" w:hAnsi="Times New Roman" w:cs="Times New Roman"/>
          <w:lang w:val="pt-BR"/>
        </w:rPr>
        <w:t>A contrapartida empírica do modelo nos dá as estimações de “b” e “c”.</w:t>
      </w:r>
      <w:r w:rsidR="008E05DC" w:rsidRPr="009E2740">
        <w:rPr>
          <w:rFonts w:ascii="Times New Roman" w:hAnsi="Times New Roman" w:cs="Times New Roman"/>
          <w:lang w:val="pt-BR"/>
        </w:rPr>
        <w:t xml:space="preserve"> A relação entre a carga tributária e a taxa de crescimento do PIB é conhecida por </w:t>
      </w:r>
      <w:r w:rsidR="008E05DC" w:rsidRPr="009E2740">
        <w:rPr>
          <w:rFonts w:ascii="Times New Roman" w:hAnsi="Times New Roman" w:cs="Times New Roman"/>
          <w:i/>
          <w:lang w:val="pt-BR"/>
        </w:rPr>
        <w:t>curva de Scully</w:t>
      </w:r>
      <w:r w:rsidR="00F01CF7" w:rsidRPr="009E2740">
        <w:rPr>
          <w:rStyle w:val="FootnoteReference"/>
          <w:rFonts w:ascii="Times New Roman" w:hAnsi="Times New Roman" w:cs="Times New Roman"/>
          <w:i/>
          <w:lang w:val="pt-BR"/>
        </w:rPr>
        <w:footnoteReference w:id="7"/>
      </w:r>
      <w:r w:rsidR="008E05DC" w:rsidRPr="009E2740">
        <w:rPr>
          <w:rFonts w:ascii="Times New Roman" w:hAnsi="Times New Roman" w:cs="Times New Roman"/>
          <w:lang w:val="pt-BR"/>
        </w:rPr>
        <w:t>.</w:t>
      </w:r>
    </w:p>
    <w:p w14:paraId="08142A79" w14:textId="77777777" w:rsidR="00007F11" w:rsidRPr="009E2740" w:rsidRDefault="00007F11" w:rsidP="009E2740">
      <w:pPr>
        <w:spacing w:line="240" w:lineRule="auto"/>
        <w:jc w:val="both"/>
        <w:rPr>
          <w:rFonts w:ascii="Times New Roman" w:hAnsi="Times New Roman" w:cs="Times New Roman"/>
          <w:lang w:val="pt-BR"/>
        </w:rPr>
      </w:pPr>
    </w:p>
    <w:p w14:paraId="5F4B7F07" w14:textId="77777777" w:rsidR="00E039FD" w:rsidRPr="009E2740" w:rsidRDefault="00656D81" w:rsidP="009E2740">
      <w:pPr>
        <w:pStyle w:val="ListParagraph"/>
        <w:numPr>
          <w:ilvl w:val="0"/>
          <w:numId w:val="1"/>
        </w:numPr>
        <w:spacing w:after="0" w:line="240" w:lineRule="auto"/>
        <w:rPr>
          <w:rFonts w:ascii="Times New Roman" w:hAnsi="Times New Roman" w:cs="Times New Roman"/>
          <w:b/>
          <w:lang w:val="pt-BR"/>
        </w:rPr>
      </w:pPr>
      <w:r w:rsidRPr="009E2740">
        <w:rPr>
          <w:rFonts w:ascii="Times New Roman" w:hAnsi="Times New Roman" w:cs="Times New Roman"/>
          <w:b/>
          <w:lang w:val="pt-BR"/>
        </w:rPr>
        <w:t xml:space="preserve">Metodologia, Dados e Estimação </w:t>
      </w:r>
    </w:p>
    <w:p w14:paraId="6E552B8C" w14:textId="5BFB36EF" w:rsidR="00224CCC" w:rsidRPr="009E2740" w:rsidRDefault="00427551" w:rsidP="009E2740">
      <w:pPr>
        <w:spacing w:after="0" w:line="240" w:lineRule="auto"/>
        <w:ind w:firstLine="709"/>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lang w:val="pt-BR"/>
        </w:rPr>
        <w:t xml:space="preserve">Diferentemente de </w:t>
      </w:r>
      <w:r w:rsidRPr="009E2740">
        <w:rPr>
          <w:rFonts w:ascii="Times New Roman" w:eastAsia="Times New Roman" w:hAnsi="Times New Roman" w:cs="Times New Roman"/>
          <w:lang w:val="pt-BR"/>
        </w:rPr>
        <w:fldChar w:fldCharType="begin" w:fldLock="1"/>
      </w:r>
      <w:r w:rsidR="00265BDE" w:rsidRPr="009E2740">
        <w:rPr>
          <w:rFonts w:ascii="Times New Roman" w:eastAsia="Times New Roman" w:hAnsi="Times New Roman" w:cs="Times New Roman"/>
          <w:lang w:val="pt-BR"/>
        </w:rPr>
        <w:instrText>ADDIN CSL_CITATION { "citationItems" : [ { "id" : "ITEM-1", "itemData" : { "author" : [ { "dropping-particle" : "", "family" : "Shikida", "given" : "Claudio D", "non-dropping-particle" : "", "parse-names" : false, "suffix" : "" }, { "dropping-particle" : "de", "family" : "Araujo Jr.", "given" : "Ari Francisco", "non-dropping-particle" : "", "parse-names" : false, "suffix" : "" }, { "dropping-particle" : "", "family" : "Hillbrecht", "given" : "Ronald O.", "non-dropping-particle" : "", "parse-names" : false, "suffix" : "" } ], "container-title" : "RBEE. Revista Brasileira de Economia de Empresas", "id" : "ITEM-1", "issue" : "2", "issued" : { "date-parts" : [ [ "2005" ] ] }, "page" : "21-35", "title" : "Public Vices, Private Serfdom? Comments on the Optimal Size of the Brazilian State", "type" : "article-journal", "volume" : "5" }, "uris" : [ "http://www.mendeley.com/documents/?uuid=620da43b-4a20-4934-af01-84185ed4c78c" ] } ], "mendeley" : { "formattedCitation" : "(Shikida et al., 2005)", "plainTextFormattedCitation" : "(Shikida et al., 2005)", "previouslyFormattedCitation" : "(Shikida et al., 2005)" }, "properties" : { "noteIndex" : 0 }, "schema" : "https://github.com/citation-style-language/schema/raw/master/csl-citation.json" }</w:instrText>
      </w:r>
      <w:r w:rsidRPr="009E2740">
        <w:rPr>
          <w:rFonts w:ascii="Times New Roman" w:eastAsia="Times New Roman" w:hAnsi="Times New Roman" w:cs="Times New Roman"/>
          <w:lang w:val="pt-BR"/>
        </w:rPr>
        <w:fldChar w:fldCharType="separate"/>
      </w:r>
      <w:r w:rsidR="00265BDE" w:rsidRPr="009E2740">
        <w:rPr>
          <w:rFonts w:ascii="Times New Roman" w:eastAsia="Times New Roman" w:hAnsi="Times New Roman" w:cs="Times New Roman"/>
          <w:noProof/>
          <w:lang w:val="pt-BR"/>
        </w:rPr>
        <w:t>(Shikida et al., 2005)</w:t>
      </w:r>
      <w:r w:rsidRPr="009E2740">
        <w:rPr>
          <w:rFonts w:ascii="Times New Roman" w:eastAsia="Times New Roman" w:hAnsi="Times New Roman" w:cs="Times New Roman"/>
          <w:lang w:val="pt-BR"/>
        </w:rPr>
        <w:fldChar w:fldCharType="end"/>
      </w:r>
      <w:r w:rsidRPr="009E2740">
        <w:rPr>
          <w:rFonts w:ascii="Times New Roman" w:eastAsia="Times New Roman" w:hAnsi="Times New Roman" w:cs="Times New Roman"/>
          <w:lang w:val="pt-BR"/>
        </w:rPr>
        <w:t xml:space="preserve"> que utilizou a transformação de Bewley para o cálculo da relação de cointegração, este artigo usa a metodologia de </w:t>
      </w:r>
      <w:r w:rsidR="00773397" w:rsidRPr="009E2740">
        <w:rPr>
          <w:rFonts w:ascii="Times New Roman" w:eastAsia="Times New Roman" w:hAnsi="Times New Roman" w:cs="Times New Roman"/>
          <w:lang w:val="pt-BR"/>
        </w:rPr>
        <w:fldChar w:fldCharType="begin" w:fldLock="1"/>
      </w:r>
      <w:r w:rsidR="00265BDE" w:rsidRPr="009E2740">
        <w:rPr>
          <w:rFonts w:ascii="Times New Roman" w:eastAsia="Times New Roman" w:hAnsi="Times New Roman" w:cs="Times New Roman"/>
          <w:lang w:val="pt-BR"/>
        </w:rPr>
        <w:instrText>ADDIN CSL_CITATION { "citationItems" : [ { "id" : "ITEM-1", "itemData" : { "author" : [ { "dropping-particle" : "", "family" : "Pesaran", "given" : "M. Hashem", "non-dropping-particle" : "", "parse-names" : false, "suffix" : "" }, { "dropping-particle" : "", "family" : "Shin", "given" : "Yongcheol", "non-dropping-particle" : "", "parse-names" : false, "suffix" : "" } ], "chapter-number" : "An Autoreg", "container-title" : "Econometrics and Economic Theory in the 20th Century: The Ragnar Frisch centennial Symposium", "editor" : [ { "dropping-particle" : "", "family" : "Strom", "given" : "Steiner", "non-dropping-particle" : "", "parse-names" : false, "suffix" : "" } ], "id" : "ITEM-1", "issued" : { "date-parts" : [ [ "1999" ] ] }, "page" : "644", "publisher" : "Cambridge University Press", "publisher-place" : "Cambridge", "title" : "An Autoregressive Distributed Lag Modeling Approach to Cointegration Analysis", "type" : "chapter" }, "uris" : [ "http://www.mendeley.com/documents/?uuid=9f2ad0ad-d5b2-43bf-80da-e080e92599b1" ] } ], "mendeley" : { "formattedCitation" : "(Pesaran &amp; Shin, 1999)", "plainTextFormattedCitation" : "(Pesaran &amp; Shin, 1999)", "previouslyFormattedCitation" : "(Pesaran &amp; Shin, 1999)" }, "properties" : { "noteIndex" : 0 }, "schema" : "https://github.com/citation-style-language/schema/raw/master/csl-citation.json" }</w:instrText>
      </w:r>
      <w:r w:rsidR="00773397" w:rsidRPr="009E2740">
        <w:rPr>
          <w:rFonts w:ascii="Times New Roman" w:eastAsia="Times New Roman" w:hAnsi="Times New Roman" w:cs="Times New Roman"/>
          <w:lang w:val="pt-BR"/>
        </w:rPr>
        <w:fldChar w:fldCharType="separate"/>
      </w:r>
      <w:r w:rsidR="00265BDE" w:rsidRPr="009E2740">
        <w:rPr>
          <w:rFonts w:ascii="Times New Roman" w:eastAsia="Times New Roman" w:hAnsi="Times New Roman" w:cs="Times New Roman"/>
          <w:noProof/>
          <w:lang w:val="pt-BR"/>
        </w:rPr>
        <w:t>(Pesaran &amp; Shin, 1999)</w:t>
      </w:r>
      <w:r w:rsidR="00773397" w:rsidRPr="009E2740">
        <w:rPr>
          <w:rFonts w:ascii="Times New Roman" w:eastAsia="Times New Roman" w:hAnsi="Times New Roman" w:cs="Times New Roman"/>
          <w:lang w:val="pt-BR"/>
        </w:rPr>
        <w:fldChar w:fldCharType="end"/>
      </w:r>
      <w:r w:rsidR="00773397" w:rsidRPr="009E2740">
        <w:rPr>
          <w:rFonts w:ascii="Times New Roman" w:eastAsia="Times New Roman" w:hAnsi="Times New Roman" w:cs="Times New Roman"/>
          <w:lang w:val="pt-BR"/>
        </w:rPr>
        <w:t xml:space="preserve"> e </w:t>
      </w:r>
      <w:r w:rsidR="00401AFF" w:rsidRPr="009E2740">
        <w:rPr>
          <w:rFonts w:ascii="Times New Roman" w:eastAsia="Times New Roman" w:hAnsi="Times New Roman" w:cs="Times New Roman"/>
          <w:lang w:val="pt-BR"/>
        </w:rPr>
        <w:fldChar w:fldCharType="begin" w:fldLock="1"/>
      </w:r>
      <w:r w:rsidR="00265BDE" w:rsidRPr="009E2740">
        <w:rPr>
          <w:rFonts w:ascii="Times New Roman" w:eastAsia="Times New Roman" w:hAnsi="Times New Roman" w:cs="Times New Roman"/>
          <w:lang w:val="pt-BR"/>
        </w:rPr>
        <w:instrText>ADDIN CSL_CITATION { "citationItems" : [ { "id" : "ITEM-1", "itemData" : { "DOI" : "10.1002/jae.616", "ISSN" : "0883-7252", "author" : [ { "dropping-particle" : "", "family" : "Pesaran", "given" : "M. Hashem", "non-dropping-particle" : "", "parse-names" : false, "suffix" : "" }, { "dropping-particle" : "", "family" : "Shin", "given" : "Yongcheol", "non-dropping-particle" : "", "parse-names" : false, "suffix" : "" }, { "dropping-particle" : "", "family" : "Smith", "given" : "Richard J.", "non-dropping-particle" : "", "parse-names" : false, "suffix" : "" } ], "container-title" : "Journal of Applied Econometrics", "id" : "ITEM-1", "issue" : "3", "issued" : { "date-parts" : [ [ "2001", "5" ] ] }, "page" : "289-326", "publisher" : "John Wiley &amp; Sons, Ltd.", "title" : "Bounds Testing Approaches to the Analysis of Level Relationships", "type" : "article-journal", "volume" : "16" }, "uris" : [ "http://www.mendeley.com/documents/?uuid=458c7183-7c97-4d76-bf8b-154b043f0211" ] } ], "mendeley" : { "formattedCitation" : "(Pesaran et al., 2001)", "plainTextFormattedCitation" : "(Pesaran et al., 2001)", "previouslyFormattedCitation" : "(Pesaran et al., 2001)" }, "properties" : { "noteIndex" : 0 }, "schema" : "https://github.com/citation-style-language/schema/raw/master/csl-citation.json" }</w:instrText>
      </w:r>
      <w:r w:rsidR="00401AFF" w:rsidRPr="009E2740">
        <w:rPr>
          <w:rFonts w:ascii="Times New Roman" w:eastAsia="Times New Roman" w:hAnsi="Times New Roman" w:cs="Times New Roman"/>
          <w:lang w:val="pt-BR"/>
        </w:rPr>
        <w:fldChar w:fldCharType="separate"/>
      </w:r>
      <w:r w:rsidR="00265BDE" w:rsidRPr="009E2740">
        <w:rPr>
          <w:rFonts w:ascii="Times New Roman" w:eastAsia="Times New Roman" w:hAnsi="Times New Roman" w:cs="Times New Roman"/>
          <w:noProof/>
          <w:lang w:val="pt-BR"/>
        </w:rPr>
        <w:t>(Pesaran et al., 2001)</w:t>
      </w:r>
      <w:r w:rsidR="00401AFF" w:rsidRPr="009E2740">
        <w:rPr>
          <w:rFonts w:ascii="Times New Roman" w:eastAsia="Times New Roman" w:hAnsi="Times New Roman" w:cs="Times New Roman"/>
          <w:lang w:val="pt-BR"/>
        </w:rPr>
        <w:fldChar w:fldCharType="end"/>
      </w:r>
      <w:r w:rsidR="00401AFF" w:rsidRPr="009E2740">
        <w:rPr>
          <w:rFonts w:ascii="Times New Roman" w:eastAsia="Times New Roman" w:hAnsi="Times New Roman" w:cs="Times New Roman"/>
          <w:lang w:val="pt-BR"/>
        </w:rPr>
        <w:t xml:space="preserve"> </w:t>
      </w:r>
      <w:r w:rsidRPr="009E2740">
        <w:rPr>
          <w:rFonts w:ascii="Times New Roman" w:eastAsia="Times New Roman" w:hAnsi="Times New Roman" w:cs="Times New Roman"/>
          <w:lang w:val="pt-BR"/>
        </w:rPr>
        <w:t xml:space="preserve">que </w:t>
      </w:r>
      <w:r w:rsidR="00773397" w:rsidRPr="009E2740">
        <w:rPr>
          <w:rFonts w:ascii="Times New Roman" w:eastAsia="Times New Roman" w:hAnsi="Times New Roman" w:cs="Times New Roman"/>
          <w:lang w:val="pt-BR"/>
        </w:rPr>
        <w:t xml:space="preserve">consiste na </w:t>
      </w:r>
      <w:r w:rsidRPr="009E2740">
        <w:rPr>
          <w:rFonts w:ascii="Times New Roman" w:eastAsia="Times New Roman" w:hAnsi="Times New Roman" w:cs="Times New Roman"/>
          <w:lang w:val="pt-BR"/>
        </w:rPr>
        <w:t>estimação de um modelo ARDL (</w:t>
      </w:r>
      <w:r w:rsidRPr="009E2740">
        <w:rPr>
          <w:rFonts w:ascii="Times New Roman" w:eastAsia="Times New Roman" w:hAnsi="Times New Roman" w:cs="Times New Roman"/>
          <w:i/>
          <w:lang w:val="pt-BR"/>
        </w:rPr>
        <w:t>Autoregressive with Distributed Lags</w:t>
      </w:r>
      <w:r w:rsidRPr="009E2740">
        <w:rPr>
          <w:rFonts w:ascii="Times New Roman" w:eastAsia="Times New Roman" w:hAnsi="Times New Roman" w:cs="Times New Roman"/>
          <w:lang w:val="pt-BR"/>
        </w:rPr>
        <w:t>) com testes de limites (</w:t>
      </w:r>
      <w:r w:rsidRPr="009E2740">
        <w:rPr>
          <w:rFonts w:ascii="Times New Roman" w:eastAsia="Times New Roman" w:hAnsi="Times New Roman" w:cs="Times New Roman"/>
          <w:i/>
          <w:lang w:val="pt-BR"/>
        </w:rPr>
        <w:t>bounds test</w:t>
      </w:r>
      <w:r w:rsidRPr="009E2740">
        <w:rPr>
          <w:rFonts w:ascii="Times New Roman" w:eastAsia="Times New Roman" w:hAnsi="Times New Roman" w:cs="Times New Roman"/>
          <w:lang w:val="pt-BR"/>
        </w:rPr>
        <w:t>). Uma das van</w:t>
      </w:r>
      <w:r w:rsidR="00391BA8" w:rsidRPr="009E2740">
        <w:rPr>
          <w:rFonts w:ascii="Times New Roman" w:eastAsia="Times New Roman" w:hAnsi="Times New Roman" w:cs="Times New Roman"/>
          <w:lang w:val="pt-BR"/>
        </w:rPr>
        <w:t xml:space="preserve">tagens desta metodologia é </w:t>
      </w:r>
      <w:r w:rsidRPr="009E2740">
        <w:rPr>
          <w:rFonts w:ascii="Times New Roman" w:eastAsia="Times New Roman" w:hAnsi="Times New Roman" w:cs="Times New Roman"/>
          <w:lang w:val="pt-BR"/>
        </w:rPr>
        <w:t xml:space="preserve">de </w:t>
      </w:r>
      <w:r w:rsidR="00224CCC" w:rsidRPr="009E2740">
        <w:rPr>
          <w:rFonts w:ascii="Times New Roman" w:eastAsia="Times New Roman" w:hAnsi="Times New Roman" w:cs="Times New Roman"/>
          <w:lang w:val="pt-BR"/>
        </w:rPr>
        <w:t>ser menos sensível ao problema de pequenas amostras</w:t>
      </w:r>
      <w:r w:rsidR="009B6263" w:rsidRPr="009E2740">
        <w:rPr>
          <w:rStyle w:val="FootnoteReference"/>
          <w:rFonts w:ascii="Times New Roman" w:eastAsia="Times New Roman" w:hAnsi="Times New Roman" w:cs="Times New Roman"/>
          <w:lang w:val="pt-BR"/>
        </w:rPr>
        <w:footnoteReference w:id="8"/>
      </w:r>
      <w:r w:rsidR="00391BA8" w:rsidRPr="009E2740">
        <w:rPr>
          <w:rFonts w:ascii="Times New Roman" w:eastAsia="Times New Roman" w:hAnsi="Times New Roman" w:cs="Times New Roman"/>
          <w:lang w:val="pt-BR"/>
        </w:rPr>
        <w:t xml:space="preserve">. </w:t>
      </w:r>
    </w:p>
    <w:p w14:paraId="54748B4D" w14:textId="77777777" w:rsidR="00427551" w:rsidRPr="009E2740" w:rsidRDefault="00391BA8" w:rsidP="009E2740">
      <w:pPr>
        <w:spacing w:after="0" w:line="240" w:lineRule="auto"/>
        <w:ind w:firstLine="709"/>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lang w:val="pt-BR"/>
        </w:rPr>
        <w:t xml:space="preserve">Além disso, não </w:t>
      </w:r>
      <w:r w:rsidR="00427551" w:rsidRPr="009E2740">
        <w:rPr>
          <w:rFonts w:ascii="Times New Roman" w:eastAsia="Times New Roman" w:hAnsi="Times New Roman" w:cs="Times New Roman"/>
          <w:lang w:val="pt-BR"/>
        </w:rPr>
        <w:t xml:space="preserve">sofre da limitação da estimação </w:t>
      </w:r>
      <w:r w:rsidR="00427551" w:rsidRPr="009E2740">
        <w:rPr>
          <w:rFonts w:ascii="Times New Roman" w:eastAsia="Times New Roman" w:hAnsi="Times New Roman" w:cs="Times New Roman"/>
          <w:i/>
          <w:lang w:val="pt-BR"/>
        </w:rPr>
        <w:t>ad hoc</w:t>
      </w:r>
      <w:r w:rsidR="00427551" w:rsidRPr="009E2740">
        <w:rPr>
          <w:rFonts w:ascii="Times New Roman" w:eastAsia="Times New Roman" w:hAnsi="Times New Roman" w:cs="Times New Roman"/>
          <w:lang w:val="pt-BR"/>
        </w:rPr>
        <w:t xml:space="preserve"> (pode-se estimar tantos ARDLs quantas sejam as variáveis do modelo</w:t>
      </w:r>
      <w:r w:rsidR="00224CCC" w:rsidRPr="009E2740">
        <w:rPr>
          <w:rFonts w:ascii="Times New Roman" w:eastAsia="Times New Roman" w:hAnsi="Times New Roman" w:cs="Times New Roman"/>
          <w:lang w:val="pt-BR"/>
        </w:rPr>
        <w:t>, desde que se façam hipóteses sobre a exogeneidade das variáveis envolvidas</w:t>
      </w:r>
      <w:r w:rsidR="00427551" w:rsidRPr="009E2740">
        <w:rPr>
          <w:rFonts w:ascii="Times New Roman" w:eastAsia="Times New Roman" w:hAnsi="Times New Roman" w:cs="Times New Roman"/>
          <w:lang w:val="pt-BR"/>
        </w:rPr>
        <w:t>)</w:t>
      </w:r>
      <w:r w:rsidR="00224CCC" w:rsidRPr="009E2740">
        <w:rPr>
          <w:rFonts w:ascii="Times New Roman" w:eastAsia="Times New Roman" w:hAnsi="Times New Roman" w:cs="Times New Roman"/>
          <w:lang w:val="pt-BR"/>
        </w:rPr>
        <w:t xml:space="preserve"> e é</w:t>
      </w:r>
      <w:r w:rsidR="00427551" w:rsidRPr="009E2740">
        <w:rPr>
          <w:rFonts w:ascii="Times New Roman" w:eastAsia="Times New Roman" w:hAnsi="Times New Roman" w:cs="Times New Roman"/>
          <w:lang w:val="pt-BR"/>
        </w:rPr>
        <w:t xml:space="preserve"> flexível o suficiente para acomodar variáveis com diferentes ordens de integração (I(0) e I(1))</w:t>
      </w:r>
      <w:r w:rsidR="00427551" w:rsidRPr="009E2740">
        <w:rPr>
          <w:rStyle w:val="FootnoteReference"/>
          <w:rFonts w:ascii="Times New Roman" w:eastAsia="Times New Roman" w:hAnsi="Times New Roman" w:cs="Times New Roman"/>
        </w:rPr>
        <w:footnoteReference w:id="9"/>
      </w:r>
      <w:r w:rsidR="00427551" w:rsidRPr="009E2740">
        <w:rPr>
          <w:rFonts w:ascii="Times New Roman" w:eastAsia="Times New Roman" w:hAnsi="Times New Roman" w:cs="Times New Roman"/>
          <w:lang w:val="pt-BR"/>
        </w:rPr>
        <w:t xml:space="preserve">. </w:t>
      </w:r>
    </w:p>
    <w:p w14:paraId="1610E31D" w14:textId="4A4D6F55" w:rsidR="00427551" w:rsidRDefault="00427551"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lang w:val="pt-BR"/>
        </w:rPr>
        <w:t>Resumidamente, estima-se um ARDL(p, q</w:t>
      </w:r>
      <w:r w:rsidRPr="009E2740">
        <w:rPr>
          <w:rFonts w:ascii="Times New Roman" w:eastAsia="Times New Roman" w:hAnsi="Times New Roman" w:cs="Times New Roman"/>
          <w:vertAlign w:val="subscript"/>
          <w:lang w:val="pt-BR"/>
        </w:rPr>
        <w:t>1</w:t>
      </w:r>
      <w:r w:rsidRPr="009E2740">
        <w:rPr>
          <w:rFonts w:ascii="Times New Roman" w:eastAsia="Times New Roman" w:hAnsi="Times New Roman" w:cs="Times New Roman"/>
          <w:lang w:val="pt-BR"/>
        </w:rPr>
        <w:t>,..., q</w:t>
      </w:r>
      <w:r w:rsidRPr="009E2740">
        <w:rPr>
          <w:rFonts w:ascii="Times New Roman" w:eastAsia="Times New Roman" w:hAnsi="Times New Roman" w:cs="Times New Roman"/>
          <w:vertAlign w:val="subscript"/>
          <w:lang w:val="pt-BR"/>
        </w:rPr>
        <w:t>k</w:t>
      </w:r>
      <w:r w:rsidRPr="009E2740">
        <w:rPr>
          <w:rFonts w:ascii="Times New Roman" w:eastAsia="Times New Roman" w:hAnsi="Times New Roman" w:cs="Times New Roman"/>
          <w:lang w:val="pt-BR"/>
        </w:rPr>
        <w:t>) como (10)</w:t>
      </w:r>
      <w:r w:rsidR="006E2A60" w:rsidRPr="009E2740">
        <w:rPr>
          <w:rStyle w:val="FootnoteReference"/>
          <w:rFonts w:ascii="Times New Roman" w:eastAsia="Times New Roman" w:hAnsi="Times New Roman" w:cs="Times New Roman"/>
          <w:lang w:val="pt-BR"/>
        </w:rPr>
        <w:footnoteReference w:id="10"/>
      </w:r>
      <w:r w:rsidRPr="009E2740">
        <w:rPr>
          <w:rFonts w:ascii="Times New Roman" w:eastAsia="Times New Roman" w:hAnsi="Times New Roman" w:cs="Times New Roman"/>
          <w:lang w:val="pt-BR"/>
        </w:rPr>
        <w:t>:</w:t>
      </w:r>
    </w:p>
    <w:p w14:paraId="072B7C8B" w14:textId="77777777" w:rsidR="00380DF3" w:rsidRDefault="00380DF3" w:rsidP="009E2740">
      <w:pPr>
        <w:spacing w:line="240" w:lineRule="auto"/>
        <w:ind w:firstLine="851"/>
        <w:contextualSpacing/>
        <w:jc w:val="both"/>
        <w:rPr>
          <w:rFonts w:ascii="Times New Roman" w:eastAsia="Times New Roman" w:hAnsi="Times New Roman" w:cs="Times New Roman"/>
          <w:lang w:val="pt-BR"/>
        </w:rPr>
      </w:pPr>
    </w:p>
    <w:p w14:paraId="08AE2AC5" w14:textId="77777777" w:rsidR="00007F11" w:rsidRDefault="00007F11" w:rsidP="009E2740">
      <w:pPr>
        <w:spacing w:line="240" w:lineRule="auto"/>
        <w:ind w:firstLine="851"/>
        <w:contextualSpacing/>
        <w:jc w:val="both"/>
        <w:rPr>
          <w:rFonts w:ascii="Times New Roman" w:eastAsia="Times New Roman" w:hAnsi="Times New Roman" w:cs="Times New Roman"/>
          <w:lang w:val="pt-BR"/>
        </w:rPr>
      </w:pPr>
    </w:p>
    <w:p w14:paraId="22D3D9C0" w14:textId="44FA2A4D" w:rsidR="00427551" w:rsidRPr="00380DF3" w:rsidRDefault="00BA043A" w:rsidP="00007F11">
      <w:pPr>
        <w:spacing w:line="240" w:lineRule="auto"/>
        <w:contextualSpacing/>
        <w:jc w:val="right"/>
        <w:rPr>
          <w:rFonts w:ascii="Times New Roman" w:eastAsia="Times New Roman" w:hAnsi="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t</m:t>
            </m:r>
          </m:sub>
        </m:sSub>
        <m:r>
          <w:rPr>
            <w:rFonts w:ascii="Cambria Math" w:eastAsia="Times New Roman" w:hAnsi="Cambria Math" w:cs="Times New Roman"/>
          </w:rPr>
          <m:t>=c+</m:t>
        </m:r>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p</m:t>
            </m:r>
          </m:sup>
          <m:e>
            <m:sSub>
              <m:sSubPr>
                <m:ctrlPr>
                  <w:rPr>
                    <w:rFonts w:ascii="Cambria Math" w:eastAsia="Times New Roman" w:hAnsi="Cambria Math" w:cs="Times New Roman"/>
                    <w:i/>
                  </w:rPr>
                </m:ctrlPr>
              </m:sSubPr>
              <m:e>
                <m:r>
                  <w:rPr>
                    <w:rFonts w:ascii="Cambria Math" w:eastAsia="Times New Roman" w:hAnsi="Cambria Math" w:cs="Times New Roman"/>
                  </w:rPr>
                  <m:t>γ</m:t>
                </m:r>
              </m:e>
              <m:sub>
                <m:r>
                  <w:rPr>
                    <w:rFonts w:ascii="Cambria Math" w:eastAsia="Times New Roman" w:hAnsi="Cambria Math" w:cs="Times New Roman"/>
                  </w:rPr>
                  <m:t>i</m:t>
                </m:r>
              </m:sub>
            </m:sSub>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t-i</m:t>
                </m:r>
              </m:sub>
            </m:sSub>
            <m:r>
              <w:rPr>
                <w:rFonts w:ascii="Cambria Math" w:eastAsia="Times New Roman" w:hAnsi="Cambria Math" w:cs="Times New Roman"/>
              </w:rPr>
              <m:t>+</m:t>
            </m:r>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j=1</m:t>
                </m:r>
              </m:sub>
              <m:sup>
                <m:r>
                  <w:rPr>
                    <w:rFonts w:ascii="Cambria Math" w:eastAsia="Times New Roman" w:hAnsi="Cambria Math" w:cs="Times New Roman"/>
                  </w:rPr>
                  <m:t>k</m:t>
                </m:r>
              </m:sup>
              <m:e>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i=0</m:t>
                    </m:r>
                  </m:sub>
                  <m:sup>
                    <m:r>
                      <w:rPr>
                        <w:rFonts w:ascii="Cambria Math" w:eastAsia="Times New Roman" w:hAnsi="Cambria Math" w:cs="Times New Roman"/>
                      </w:rPr>
                      <m:t>qj</m:t>
                    </m:r>
                  </m:sup>
                  <m:e>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j,t-i</m:t>
                        </m:r>
                      </m:sub>
                    </m:sSub>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j,i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ε</m:t>
                        </m:r>
                      </m:e>
                      <m:sub>
                        <m:r>
                          <w:rPr>
                            <w:rFonts w:ascii="Cambria Math" w:eastAsia="Times New Roman" w:hAnsi="Cambria Math" w:cs="Times New Roman"/>
                          </w:rPr>
                          <m:t>t</m:t>
                        </m:r>
                      </m:sub>
                    </m:sSub>
                  </m:e>
                </m:nary>
              </m:e>
            </m:nary>
          </m:e>
        </m:nary>
        <m:r>
          <w:rPr>
            <w:rFonts w:ascii="Cambria Math" w:eastAsia="Times New Roman" w:hAnsi="Cambria Math" w:cs="Times New Roman"/>
          </w:rPr>
          <m:t xml:space="preserve">                                                            </m:t>
        </m:r>
      </m:oMath>
      <w:r w:rsidR="001E32BF">
        <w:rPr>
          <w:rFonts w:ascii="Times New Roman" w:eastAsia="Times New Roman" w:hAnsi="Times New Roman" w:cs="Times New Roman"/>
        </w:rPr>
        <w:t>(5</w:t>
      </w:r>
      <w:r w:rsidR="00380DF3">
        <w:rPr>
          <w:rFonts w:ascii="Times New Roman" w:eastAsia="Times New Roman" w:hAnsi="Times New Roman" w:cs="Times New Roman"/>
        </w:rPr>
        <w:t>)</w:t>
      </w:r>
    </w:p>
    <w:p w14:paraId="2EFF0226" w14:textId="77777777" w:rsidR="00380DF3" w:rsidRDefault="00380DF3" w:rsidP="009E2740">
      <w:pPr>
        <w:spacing w:line="240" w:lineRule="auto"/>
        <w:ind w:firstLine="851"/>
        <w:contextualSpacing/>
        <w:jc w:val="both"/>
        <w:rPr>
          <w:rFonts w:ascii="Times New Roman" w:eastAsia="Times New Roman" w:hAnsi="Times New Roman" w:cs="Times New Roman"/>
          <w:lang w:val="pt-BR"/>
        </w:rPr>
      </w:pPr>
    </w:p>
    <w:p w14:paraId="4C359F38" w14:textId="77777777" w:rsidR="00007F11" w:rsidRDefault="00007F11" w:rsidP="009E2740">
      <w:pPr>
        <w:spacing w:line="240" w:lineRule="auto"/>
        <w:ind w:firstLine="851"/>
        <w:contextualSpacing/>
        <w:jc w:val="both"/>
        <w:rPr>
          <w:rFonts w:ascii="Times New Roman" w:eastAsia="Times New Roman" w:hAnsi="Times New Roman" w:cs="Times New Roman"/>
          <w:lang w:val="pt-BR"/>
        </w:rPr>
      </w:pPr>
    </w:p>
    <w:p w14:paraId="34556A7A" w14:textId="77777777" w:rsidR="00427551" w:rsidRPr="009E2740" w:rsidRDefault="00427551"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lang w:val="pt-BR"/>
        </w:rPr>
        <w:t xml:space="preserve">Em que: </w:t>
      </w:r>
    </w:p>
    <w:p w14:paraId="4BE287FC" w14:textId="77777777" w:rsidR="00427551" w:rsidRPr="009E2740" w:rsidRDefault="00427551"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lang w:val="pt-BR"/>
        </w:rPr>
        <w:t>c: é uma constante;</w:t>
      </w:r>
    </w:p>
    <w:p w14:paraId="4C87BB31" w14:textId="77777777" w:rsidR="00427551" w:rsidRPr="009E2740" w:rsidRDefault="00401AFF"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position w:val="-12"/>
          <w:lang w:val="pt-BR"/>
        </w:rPr>
        <w:object w:dxaOrig="260" w:dyaOrig="360" w14:anchorId="49A8ED08">
          <v:shape id="_x0000_i1032" type="#_x0000_t75" style="width:12.75pt;height:18pt" o:ole="">
            <v:imagedata r:id="rId24" o:title=""/>
          </v:shape>
          <o:OLEObject Type="Embed" ProgID="Equation.DSMT4" ShapeID="_x0000_i1032" DrawAspect="Content" ObjectID="_1539788418" r:id="rId25"/>
        </w:object>
      </w:r>
      <w:r w:rsidRPr="009E2740">
        <w:rPr>
          <w:rFonts w:ascii="Times New Roman" w:eastAsia="Times New Roman" w:hAnsi="Times New Roman" w:cs="Times New Roman"/>
          <w:lang w:val="pt-BR"/>
        </w:rPr>
        <w:t xml:space="preserve"> </w:t>
      </w:r>
      <w:r w:rsidR="00427551" w:rsidRPr="009E2740">
        <w:rPr>
          <w:rFonts w:ascii="Times New Roman" w:eastAsia="Times New Roman" w:hAnsi="Times New Roman" w:cs="Times New Roman"/>
          <w:lang w:val="pt-BR"/>
        </w:rPr>
        <w:t xml:space="preserve">  - é a variável dependente;</w:t>
      </w:r>
    </w:p>
    <w:p w14:paraId="0E252F2E" w14:textId="77777777" w:rsidR="00401AFF" w:rsidRPr="009E2740" w:rsidRDefault="00401AFF"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position w:val="-12"/>
          <w:lang w:val="pt-BR"/>
        </w:rPr>
        <w:object w:dxaOrig="380" w:dyaOrig="360" w14:anchorId="709A1DCD">
          <v:shape id="_x0000_i1033" type="#_x0000_t75" style="width:18.75pt;height:18pt" o:ole="">
            <v:imagedata r:id="rId26" o:title=""/>
          </v:shape>
          <o:OLEObject Type="Embed" ProgID="Equation.DSMT4" ShapeID="_x0000_i1033" DrawAspect="Content" ObjectID="_1539788419" r:id="rId27"/>
        </w:object>
      </w:r>
      <w:r w:rsidRPr="009E2740">
        <w:rPr>
          <w:rFonts w:ascii="Times New Roman" w:eastAsia="Times New Roman" w:hAnsi="Times New Roman" w:cs="Times New Roman"/>
          <w:lang w:val="pt-BR"/>
        </w:rPr>
        <w:t xml:space="preserve">   - é a variável dependente defasada;</w:t>
      </w:r>
    </w:p>
    <w:p w14:paraId="438FAC29" w14:textId="77777777" w:rsidR="00427551" w:rsidRPr="009E2740" w:rsidRDefault="00427551"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position w:val="-14"/>
        </w:rPr>
        <w:object w:dxaOrig="460" w:dyaOrig="360" w14:anchorId="637646C5">
          <v:shape id="_x0000_i1034" type="#_x0000_t75" style="width:23.25pt;height:18.75pt" o:ole="">
            <v:imagedata r:id="rId28" o:title=""/>
          </v:shape>
          <o:OLEObject Type="Embed" ProgID="Equation.3" ShapeID="_x0000_i1034" DrawAspect="Content" ObjectID="_1539788420" r:id="rId29"/>
        </w:object>
      </w:r>
      <w:r w:rsidRPr="009E2740">
        <w:rPr>
          <w:rFonts w:ascii="Times New Roman" w:eastAsia="Times New Roman" w:hAnsi="Times New Roman" w:cs="Times New Roman"/>
          <w:lang w:val="pt-BR"/>
        </w:rPr>
        <w:t xml:space="preserve"> - é um vetor composto pelas </w:t>
      </w:r>
      <w:r w:rsidR="00391BA8" w:rsidRPr="009E2740">
        <w:rPr>
          <w:rFonts w:ascii="Times New Roman" w:eastAsia="Times New Roman" w:hAnsi="Times New Roman" w:cs="Times New Roman"/>
          <w:lang w:val="pt-BR"/>
        </w:rPr>
        <w:t xml:space="preserve">demais </w:t>
      </w:r>
      <w:r w:rsidRPr="009E2740">
        <w:rPr>
          <w:rFonts w:ascii="Times New Roman" w:eastAsia="Times New Roman" w:hAnsi="Times New Roman" w:cs="Times New Roman"/>
          <w:lang w:val="pt-BR"/>
        </w:rPr>
        <w:t>variáveis (repare que cada variável pode ter um comprimento de defasagens distinto);</w:t>
      </w:r>
    </w:p>
    <w:p w14:paraId="79CC806D" w14:textId="77777777" w:rsidR="00427551" w:rsidRPr="009E2740" w:rsidRDefault="00427551"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position w:val="-14"/>
        </w:rPr>
        <w:object w:dxaOrig="740" w:dyaOrig="360" w14:anchorId="4B85D2CD">
          <v:shape id="_x0000_i1035" type="#_x0000_t75" style="width:36pt;height:17.25pt" o:ole="">
            <v:imagedata r:id="rId30" o:title=""/>
          </v:shape>
          <o:OLEObject Type="Embed" ProgID="Equation.3" ShapeID="_x0000_i1035" DrawAspect="Content" ObjectID="_1539788421" r:id="rId31"/>
        </w:object>
      </w:r>
      <w:r w:rsidRPr="009E2740">
        <w:rPr>
          <w:rFonts w:ascii="Times New Roman" w:eastAsia="Times New Roman" w:hAnsi="Times New Roman" w:cs="Times New Roman"/>
          <w:lang w:val="pt-BR"/>
        </w:rPr>
        <w:t>- são os multiplicadores de impacto (coeficientes) da formação bruta de capital fixo e dos demais controles, respectivamente;</w:t>
      </w:r>
    </w:p>
    <w:p w14:paraId="3567C624" w14:textId="77777777" w:rsidR="00427551" w:rsidRPr="009E2740" w:rsidRDefault="00427551"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position w:val="-12"/>
        </w:rPr>
        <w:object w:dxaOrig="220" w:dyaOrig="340" w14:anchorId="67F4D724">
          <v:shape id="_x0000_i1036" type="#_x0000_t75" style="width:10.5pt;height:17.25pt" o:ole="">
            <v:imagedata r:id="rId32" o:title=""/>
          </v:shape>
          <o:OLEObject Type="Embed" ProgID="Equation.3" ShapeID="_x0000_i1036" DrawAspect="Content" ObjectID="_1539788422" r:id="rId33"/>
        </w:object>
      </w:r>
      <w:r w:rsidRPr="009E2740">
        <w:rPr>
          <w:rFonts w:ascii="Times New Roman" w:eastAsia="Times New Roman" w:hAnsi="Times New Roman" w:cs="Times New Roman"/>
          <w:lang w:val="pt-BR"/>
        </w:rPr>
        <w:t>- são os resíduos</w:t>
      </w:r>
      <w:r w:rsidR="00401AFF" w:rsidRPr="009E2740">
        <w:rPr>
          <w:rStyle w:val="FootnoteReference"/>
          <w:rFonts w:ascii="Times New Roman" w:eastAsia="Times New Roman" w:hAnsi="Times New Roman" w:cs="Times New Roman"/>
          <w:lang w:val="pt-BR"/>
        </w:rPr>
        <w:footnoteReference w:id="11"/>
      </w:r>
      <w:r w:rsidR="009D5465" w:rsidRPr="009E2740">
        <w:rPr>
          <w:rFonts w:ascii="Times New Roman" w:eastAsia="Times New Roman" w:hAnsi="Times New Roman" w:cs="Times New Roman"/>
          <w:lang w:val="pt-BR"/>
        </w:rPr>
        <w:t>;</w:t>
      </w:r>
    </w:p>
    <w:p w14:paraId="69292652" w14:textId="77777777" w:rsidR="00427551" w:rsidRPr="009E2740" w:rsidRDefault="00427551" w:rsidP="009E2740">
      <w:pPr>
        <w:spacing w:line="240" w:lineRule="auto"/>
        <w:ind w:firstLine="851"/>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lang w:val="pt-BR"/>
        </w:rPr>
        <w:t xml:space="preserve">O multiplicador de impacto de longo prazo é definido pela soma de todas as derivadas parciais assumindo que </w:t>
      </w:r>
      <w:r w:rsidRPr="009E2740">
        <w:rPr>
          <w:rFonts w:ascii="Times New Roman" w:eastAsia="Times New Roman" w:hAnsi="Times New Roman" w:cs="Times New Roman"/>
          <w:position w:val="-14"/>
        </w:rPr>
        <w:object w:dxaOrig="660" w:dyaOrig="380" w14:anchorId="36EE63A9">
          <v:shape id="_x0000_i1037" type="#_x0000_t75" style="width:33pt;height:19.5pt" o:ole="">
            <v:imagedata r:id="rId34" o:title=""/>
          </v:shape>
          <o:OLEObject Type="Embed" ProgID="Equation.3" ShapeID="_x0000_i1037" DrawAspect="Content" ObjectID="_1539788423" r:id="rId35"/>
        </w:object>
      </w:r>
      <w:r w:rsidRPr="009E2740">
        <w:rPr>
          <w:rFonts w:ascii="Times New Roman" w:eastAsia="Times New Roman" w:hAnsi="Times New Roman" w:cs="Times New Roman"/>
          <w:lang w:val="pt-BR"/>
        </w:rPr>
        <w:t xml:space="preserve"> é dado por:</w:t>
      </w:r>
    </w:p>
    <w:p w14:paraId="6AB0106C" w14:textId="77777777" w:rsidR="00427551" w:rsidRPr="009E2740" w:rsidRDefault="00427551" w:rsidP="009E2740">
      <w:pPr>
        <w:spacing w:line="240" w:lineRule="auto"/>
        <w:ind w:firstLine="851"/>
        <w:contextualSpacing/>
        <w:jc w:val="both"/>
        <w:rPr>
          <w:rFonts w:ascii="Times New Roman" w:eastAsia="Times New Roman" w:hAnsi="Times New Roman" w:cs="Times New Roman"/>
          <w:lang w:val="pt-BR"/>
        </w:rPr>
      </w:pPr>
    </w:p>
    <w:p w14:paraId="7F72EA01" w14:textId="49FF9E21" w:rsidR="00427551" w:rsidRPr="009E2740" w:rsidRDefault="00427551" w:rsidP="00380DF3">
      <w:pPr>
        <w:spacing w:line="240" w:lineRule="auto"/>
        <w:ind w:firstLine="851"/>
        <w:contextualSpacing/>
        <w:jc w:val="right"/>
        <w:rPr>
          <w:rFonts w:ascii="Times New Roman" w:eastAsia="Times New Roman" w:hAnsi="Times New Roman" w:cs="Times New Roman"/>
          <w:lang w:val="pt-BR"/>
        </w:rPr>
      </w:pPr>
      <w:r w:rsidRPr="009E2740">
        <w:rPr>
          <w:rFonts w:ascii="Times New Roman" w:eastAsia="Times New Roman" w:hAnsi="Times New Roman" w:cs="Times New Roman"/>
          <w:position w:val="-60"/>
        </w:rPr>
        <w:object w:dxaOrig="1320" w:dyaOrig="1359" w14:anchorId="72720D3A">
          <v:shape id="_x0000_i1038" type="#_x0000_t75" style="width:66pt;height:68.25pt" o:ole="">
            <v:imagedata r:id="rId36" o:title=""/>
          </v:shape>
          <o:OLEObject Type="Embed" ProgID="Equation.DSMT4" ShapeID="_x0000_i1038" DrawAspect="Content" ObjectID="_1539788424" r:id="rId37"/>
        </w:object>
      </w:r>
      <w:r w:rsidRPr="009E2740">
        <w:rPr>
          <w:rFonts w:ascii="Times New Roman" w:eastAsia="Times New Roman" w:hAnsi="Times New Roman" w:cs="Times New Roman"/>
          <w:lang w:val="pt-BR"/>
        </w:rPr>
        <w:t xml:space="preserve"> </w:t>
      </w:r>
      <w:r w:rsidRPr="009E2740">
        <w:rPr>
          <w:rFonts w:ascii="Times New Roman" w:eastAsia="Times New Roman" w:hAnsi="Times New Roman" w:cs="Times New Roman"/>
          <w:lang w:val="pt-BR"/>
        </w:rPr>
        <w:tab/>
      </w:r>
      <w:r w:rsidRPr="009E2740">
        <w:rPr>
          <w:rFonts w:ascii="Times New Roman" w:eastAsia="Times New Roman" w:hAnsi="Times New Roman" w:cs="Times New Roman"/>
          <w:lang w:val="pt-BR"/>
        </w:rPr>
        <w:tab/>
      </w:r>
      <w:r w:rsidR="00380DF3">
        <w:rPr>
          <w:rFonts w:ascii="Times New Roman" w:eastAsia="Times New Roman" w:hAnsi="Times New Roman" w:cs="Times New Roman"/>
          <w:lang w:val="pt-BR"/>
        </w:rPr>
        <w:tab/>
      </w:r>
      <w:r w:rsidR="00380DF3">
        <w:rPr>
          <w:rFonts w:ascii="Times New Roman" w:eastAsia="Times New Roman" w:hAnsi="Times New Roman" w:cs="Times New Roman"/>
          <w:lang w:val="pt-BR"/>
        </w:rPr>
        <w:tab/>
      </w:r>
      <w:r w:rsidR="00380DF3">
        <w:rPr>
          <w:rFonts w:ascii="Times New Roman" w:eastAsia="Times New Roman" w:hAnsi="Times New Roman" w:cs="Times New Roman"/>
          <w:lang w:val="pt-BR"/>
        </w:rPr>
        <w:tab/>
      </w:r>
      <w:r w:rsidRPr="009E2740">
        <w:rPr>
          <w:rFonts w:ascii="Times New Roman" w:eastAsia="Times New Roman" w:hAnsi="Times New Roman" w:cs="Times New Roman"/>
          <w:lang w:val="pt-BR"/>
        </w:rPr>
        <w:tab/>
      </w:r>
      <w:r w:rsidRPr="009E2740">
        <w:rPr>
          <w:rFonts w:ascii="Times New Roman" w:eastAsia="Times New Roman" w:hAnsi="Times New Roman" w:cs="Times New Roman"/>
          <w:lang w:val="pt-BR"/>
        </w:rPr>
        <w:tab/>
      </w:r>
      <w:r w:rsidRPr="009E2740">
        <w:rPr>
          <w:rFonts w:ascii="Times New Roman" w:eastAsia="Times New Roman" w:hAnsi="Times New Roman" w:cs="Times New Roman"/>
          <w:lang w:val="pt-BR"/>
        </w:rPr>
        <w:tab/>
      </w:r>
      <w:r w:rsidR="001E32BF">
        <w:rPr>
          <w:rFonts w:ascii="Times New Roman" w:eastAsia="Times New Roman" w:hAnsi="Times New Roman" w:cs="Times New Roman"/>
          <w:lang w:val="pt-BR"/>
        </w:rPr>
        <w:t>(6</w:t>
      </w:r>
      <w:r w:rsidRPr="009E2740">
        <w:rPr>
          <w:rFonts w:ascii="Times New Roman" w:eastAsia="Times New Roman" w:hAnsi="Times New Roman" w:cs="Times New Roman"/>
          <w:lang w:val="pt-BR"/>
        </w:rPr>
        <w:t>)</w:t>
      </w:r>
    </w:p>
    <w:p w14:paraId="76882258" w14:textId="77777777" w:rsidR="00427551" w:rsidRPr="009E2740" w:rsidRDefault="00427551" w:rsidP="009E2740">
      <w:pPr>
        <w:spacing w:line="240" w:lineRule="auto"/>
        <w:ind w:firstLine="851"/>
        <w:contextualSpacing/>
        <w:jc w:val="both"/>
        <w:rPr>
          <w:rFonts w:ascii="Times New Roman" w:eastAsia="Times New Roman" w:hAnsi="Times New Roman" w:cs="Times New Roman"/>
          <w:lang w:val="pt-BR"/>
        </w:rPr>
      </w:pPr>
    </w:p>
    <w:p w14:paraId="5F9A7F14" w14:textId="17D4996C" w:rsidR="00427551" w:rsidRPr="009E2740" w:rsidRDefault="00427551" w:rsidP="009E2740">
      <w:pPr>
        <w:spacing w:line="240" w:lineRule="auto"/>
        <w:contextualSpacing/>
        <w:jc w:val="both"/>
        <w:rPr>
          <w:rFonts w:ascii="Times New Roman" w:eastAsia="Times New Roman" w:hAnsi="Times New Roman" w:cs="Times New Roman"/>
          <w:lang w:val="pt-BR"/>
        </w:rPr>
      </w:pPr>
      <w:r w:rsidRPr="009E2740">
        <w:rPr>
          <w:rFonts w:ascii="Times New Roman" w:eastAsia="Times New Roman" w:hAnsi="Times New Roman" w:cs="Times New Roman"/>
          <w:lang w:val="pt-BR"/>
        </w:rPr>
        <w:tab/>
        <w:t xml:space="preserve">Pode-se mostrar que </w:t>
      </w:r>
      <w:r w:rsidR="00391BA8" w:rsidRPr="009E2740">
        <w:rPr>
          <w:rFonts w:ascii="Times New Roman" w:eastAsia="Times New Roman" w:hAnsi="Times New Roman" w:cs="Times New Roman"/>
          <w:lang w:val="pt-BR"/>
        </w:rPr>
        <w:t xml:space="preserve">a equação </w:t>
      </w:r>
      <w:r w:rsidR="001E32BF">
        <w:rPr>
          <w:rFonts w:ascii="Times New Roman" w:eastAsia="Times New Roman" w:hAnsi="Times New Roman" w:cs="Times New Roman"/>
          <w:lang w:val="pt-BR"/>
        </w:rPr>
        <w:t>(5</w:t>
      </w:r>
      <w:r w:rsidRPr="009E2740">
        <w:rPr>
          <w:rFonts w:ascii="Times New Roman" w:eastAsia="Times New Roman" w:hAnsi="Times New Roman" w:cs="Times New Roman"/>
          <w:lang w:val="pt-BR"/>
        </w:rPr>
        <w:t>) pode ser reescrita como um VECM, em que o mecanismo de correção de erros é denotad</w:t>
      </w:r>
      <w:r w:rsidR="001E32BF">
        <w:rPr>
          <w:rFonts w:ascii="Times New Roman" w:eastAsia="Times New Roman" w:hAnsi="Times New Roman" w:cs="Times New Roman"/>
          <w:lang w:val="pt-BR"/>
        </w:rPr>
        <w:t>o por EC, conforme a equação (7</w:t>
      </w:r>
      <w:r w:rsidRPr="009E2740">
        <w:rPr>
          <w:rFonts w:ascii="Times New Roman" w:eastAsia="Times New Roman" w:hAnsi="Times New Roman" w:cs="Times New Roman"/>
          <w:lang w:val="pt-BR"/>
        </w:rPr>
        <w:t>):</w:t>
      </w:r>
    </w:p>
    <w:p w14:paraId="450A1EDF" w14:textId="63761004" w:rsidR="00427551" w:rsidRPr="009E2740" w:rsidRDefault="00401AFF" w:rsidP="001E32BF">
      <w:pPr>
        <w:pStyle w:val="Heading1"/>
        <w:spacing w:line="240" w:lineRule="auto"/>
        <w:jc w:val="right"/>
        <w:rPr>
          <w:rFonts w:cs="Times New Roman"/>
          <w:szCs w:val="24"/>
        </w:rPr>
      </w:pPr>
      <w:r w:rsidRPr="009E2740">
        <w:rPr>
          <w:rFonts w:cs="Times New Roman"/>
          <w:position w:val="-30"/>
          <w:szCs w:val="24"/>
        </w:rPr>
        <w:object w:dxaOrig="4880" w:dyaOrig="740" w14:anchorId="1C726B2D">
          <v:shape id="_x0000_i1039" type="#_x0000_t75" style="width:244.5pt;height:36.75pt" o:ole="">
            <v:imagedata r:id="rId38" o:title=""/>
          </v:shape>
          <o:OLEObject Type="Embed" ProgID="Equation.DSMT4" ShapeID="_x0000_i1039" DrawAspect="Content" ObjectID="_1539788425" r:id="rId39"/>
        </w:object>
      </w:r>
      <w:r w:rsidR="00427551" w:rsidRPr="009E2740">
        <w:rPr>
          <w:rFonts w:cs="Times New Roman"/>
          <w:szCs w:val="24"/>
        </w:rPr>
        <w:t xml:space="preserve"> </w:t>
      </w:r>
      <w:r w:rsidR="00427551" w:rsidRPr="009E2740">
        <w:rPr>
          <w:rFonts w:cs="Times New Roman"/>
          <w:szCs w:val="24"/>
        </w:rPr>
        <w:tab/>
      </w:r>
      <w:r w:rsidR="00427551" w:rsidRPr="009E2740">
        <w:rPr>
          <w:rFonts w:cs="Times New Roman"/>
          <w:szCs w:val="24"/>
        </w:rPr>
        <w:tab/>
      </w:r>
      <w:r w:rsidR="001E32BF">
        <w:rPr>
          <w:rFonts w:cs="Times New Roman"/>
          <w:szCs w:val="24"/>
        </w:rPr>
        <w:tab/>
      </w:r>
      <w:r w:rsidR="001E32BF">
        <w:rPr>
          <w:rFonts w:cs="Times New Roman"/>
          <w:szCs w:val="24"/>
        </w:rPr>
        <w:tab/>
      </w:r>
      <w:r w:rsidR="001E32BF">
        <w:rPr>
          <w:rFonts w:cs="Times New Roman"/>
          <w:b w:val="0"/>
          <w:szCs w:val="24"/>
        </w:rPr>
        <w:t>(7</w:t>
      </w:r>
      <w:r w:rsidR="00427551" w:rsidRPr="009E2740">
        <w:rPr>
          <w:rFonts w:cs="Times New Roman"/>
          <w:b w:val="0"/>
          <w:szCs w:val="24"/>
        </w:rPr>
        <w:t>)</w:t>
      </w:r>
    </w:p>
    <w:p w14:paraId="304F2D79" w14:textId="77777777" w:rsidR="00427551" w:rsidRPr="009E2740" w:rsidRDefault="00427551" w:rsidP="009E2740">
      <w:pPr>
        <w:spacing w:line="240" w:lineRule="auto"/>
        <w:rPr>
          <w:rFonts w:ascii="Times New Roman" w:hAnsi="Times New Roman" w:cs="Times New Roman"/>
        </w:rPr>
      </w:pPr>
    </w:p>
    <w:p w14:paraId="68905A57" w14:textId="2559E6CF" w:rsidR="00427551" w:rsidRPr="009E2740" w:rsidRDefault="00007F11" w:rsidP="009E2740">
      <w:pPr>
        <w:spacing w:line="240" w:lineRule="auto"/>
        <w:rPr>
          <w:rFonts w:ascii="Times New Roman" w:hAnsi="Times New Roman" w:cs="Times New Roman"/>
        </w:rPr>
      </w:pPr>
      <w:r>
        <w:rPr>
          <w:rFonts w:ascii="Times New Roman" w:hAnsi="Times New Roman" w:cs="Times New Roman"/>
        </w:rPr>
        <w:tab/>
        <w:t>Neste caso, tem-se</w:t>
      </w:r>
      <w:r w:rsidR="00427551" w:rsidRPr="009E2740">
        <w:rPr>
          <w:rFonts w:ascii="Times New Roman" w:hAnsi="Times New Roman" w:cs="Times New Roman"/>
        </w:rPr>
        <w:t>:</w:t>
      </w:r>
    </w:p>
    <w:p w14:paraId="04E69E37" w14:textId="77777777" w:rsidR="00427551" w:rsidRPr="009E2740" w:rsidRDefault="00427551" w:rsidP="001E32BF">
      <w:pPr>
        <w:spacing w:line="240" w:lineRule="auto"/>
        <w:jc w:val="center"/>
        <w:rPr>
          <w:rFonts w:ascii="Times New Roman" w:hAnsi="Times New Roman" w:cs="Times New Roman"/>
        </w:rPr>
      </w:pPr>
      <w:r w:rsidRPr="009E2740">
        <w:rPr>
          <w:rFonts w:ascii="Times New Roman" w:hAnsi="Times New Roman" w:cs="Times New Roman"/>
          <w:position w:val="-30"/>
        </w:rPr>
        <w:object w:dxaOrig="2320" w:dyaOrig="700" w14:anchorId="6C864F9F">
          <v:shape id="_x0000_i1040" type="#_x0000_t75" style="width:116.25pt;height:35.25pt" o:ole="">
            <v:imagedata r:id="rId40" o:title=""/>
          </v:shape>
          <o:OLEObject Type="Embed" ProgID="Equation.DSMT4" ShapeID="_x0000_i1040" DrawAspect="Content" ObjectID="_1539788426" r:id="rId41"/>
        </w:object>
      </w:r>
    </w:p>
    <w:p w14:paraId="1E5058F5" w14:textId="77777777" w:rsidR="00427551" w:rsidRPr="009E2740" w:rsidRDefault="00427551" w:rsidP="001E32BF">
      <w:pPr>
        <w:spacing w:line="240" w:lineRule="auto"/>
        <w:jc w:val="center"/>
        <w:rPr>
          <w:rFonts w:ascii="Times New Roman" w:hAnsi="Times New Roman" w:cs="Times New Roman"/>
        </w:rPr>
      </w:pPr>
      <w:r w:rsidRPr="009E2740">
        <w:rPr>
          <w:rFonts w:ascii="Times New Roman" w:hAnsi="Times New Roman" w:cs="Times New Roman"/>
          <w:position w:val="-28"/>
        </w:rPr>
        <w:object w:dxaOrig="4860" w:dyaOrig="720" w14:anchorId="77A98264">
          <v:shape id="_x0000_i1041" type="#_x0000_t75" style="width:243pt;height:36pt" o:ole="">
            <v:imagedata r:id="rId42" o:title=""/>
          </v:shape>
          <o:OLEObject Type="Embed" ProgID="Equation.DSMT4" ShapeID="_x0000_i1041" DrawAspect="Content" ObjectID="_1539788427" r:id="rId43"/>
        </w:object>
      </w:r>
    </w:p>
    <w:p w14:paraId="0B717298" w14:textId="6BD4D51D" w:rsidR="00427551" w:rsidRPr="009E2740" w:rsidRDefault="009D5465"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 </w:t>
      </w:r>
      <w:r w:rsidR="001C3A08" w:rsidRPr="009E2740">
        <w:rPr>
          <w:rFonts w:ascii="Times New Roman" w:hAnsi="Times New Roman" w:cs="Times New Roman"/>
          <w:lang w:val="pt-BR"/>
        </w:rPr>
        <w:t>Como dito, este procedimento</w:t>
      </w:r>
      <w:r w:rsidR="00427551" w:rsidRPr="009E2740">
        <w:rPr>
          <w:rFonts w:ascii="Times New Roman" w:hAnsi="Times New Roman" w:cs="Times New Roman"/>
          <w:lang w:val="pt-BR"/>
        </w:rPr>
        <w:t xml:space="preserve"> permite verificar a existência de cointegração entre as variáveis, mesmo que elas não tenham o mesmo número de raízes unitárias</w:t>
      </w:r>
      <w:r w:rsidR="00427551" w:rsidRPr="009E2740">
        <w:rPr>
          <w:rStyle w:val="FootnoteReference"/>
          <w:rFonts w:ascii="Times New Roman" w:hAnsi="Times New Roman" w:cs="Times New Roman"/>
        </w:rPr>
        <w:footnoteReference w:id="12"/>
      </w:r>
      <w:r w:rsidR="00427551" w:rsidRPr="009E2740">
        <w:rPr>
          <w:rFonts w:ascii="Times New Roman" w:hAnsi="Times New Roman" w:cs="Times New Roman"/>
          <w:lang w:val="pt-BR"/>
        </w:rPr>
        <w:t>, a partir da estimação da seguinte equação:</w:t>
      </w:r>
    </w:p>
    <w:p w14:paraId="1A45DE8E" w14:textId="492ED455" w:rsidR="00427551" w:rsidRPr="009E2740" w:rsidRDefault="00630C85" w:rsidP="001E32BF">
      <w:pPr>
        <w:spacing w:line="240" w:lineRule="auto"/>
        <w:jc w:val="right"/>
        <w:rPr>
          <w:rFonts w:ascii="Times New Roman" w:hAnsi="Times New Roman" w:cs="Times New Roman"/>
          <w:lang w:val="pt-BR"/>
        </w:rPr>
      </w:pPr>
      <w:r w:rsidRPr="009E2740">
        <w:rPr>
          <w:rFonts w:ascii="Times New Roman" w:hAnsi="Times New Roman" w:cs="Times New Roman"/>
          <w:position w:val="-30"/>
        </w:rPr>
        <w:object w:dxaOrig="6300" w:dyaOrig="740" w14:anchorId="3CFC2B71">
          <v:shape id="_x0000_i1042" type="#_x0000_t75" style="width:315pt;height:36.75pt" o:ole="">
            <v:imagedata r:id="rId44" o:title=""/>
          </v:shape>
          <o:OLEObject Type="Embed" ProgID="Equation.DSMT4" ShapeID="_x0000_i1042" DrawAspect="Content" ObjectID="_1539788428" r:id="rId45"/>
        </w:object>
      </w:r>
      <w:r w:rsidR="00427551" w:rsidRPr="009E2740">
        <w:rPr>
          <w:rFonts w:ascii="Times New Roman" w:hAnsi="Times New Roman" w:cs="Times New Roman"/>
          <w:lang w:val="pt-BR"/>
        </w:rPr>
        <w:tab/>
      </w:r>
      <w:r w:rsidR="001E32BF">
        <w:rPr>
          <w:rFonts w:ascii="Times New Roman" w:hAnsi="Times New Roman" w:cs="Times New Roman"/>
          <w:lang w:val="pt-BR"/>
        </w:rPr>
        <w:tab/>
        <w:t>(8</w:t>
      </w:r>
      <w:r w:rsidR="00427551" w:rsidRPr="009E2740">
        <w:rPr>
          <w:rFonts w:ascii="Times New Roman" w:hAnsi="Times New Roman" w:cs="Times New Roman"/>
          <w:lang w:val="pt-BR"/>
        </w:rPr>
        <w:t>)</w:t>
      </w:r>
    </w:p>
    <w:p w14:paraId="04F866D3" w14:textId="710436CC" w:rsidR="00007F11" w:rsidRDefault="00007F11" w:rsidP="009E2740">
      <w:pPr>
        <w:spacing w:line="240" w:lineRule="auto"/>
        <w:rPr>
          <w:rFonts w:ascii="Times New Roman" w:hAnsi="Times New Roman" w:cs="Times New Roman"/>
          <w:lang w:val="pt-BR"/>
        </w:rPr>
      </w:pPr>
    </w:p>
    <w:p w14:paraId="05779CF2" w14:textId="488D550A" w:rsidR="00427551" w:rsidRPr="009E2740" w:rsidRDefault="00427551" w:rsidP="00007F11">
      <w:pPr>
        <w:spacing w:line="240" w:lineRule="auto"/>
        <w:ind w:firstLine="720"/>
        <w:rPr>
          <w:rFonts w:ascii="Times New Roman" w:hAnsi="Times New Roman" w:cs="Times New Roman"/>
          <w:lang w:val="pt-BR"/>
        </w:rPr>
      </w:pPr>
      <w:r w:rsidRPr="009E2740">
        <w:rPr>
          <w:rFonts w:ascii="Times New Roman" w:hAnsi="Times New Roman" w:cs="Times New Roman"/>
          <w:lang w:val="pt-BR"/>
        </w:rPr>
        <w:t>Da qual se testa a hipótese nula de não-existência de cointegração:</w:t>
      </w:r>
    </w:p>
    <w:p w14:paraId="58CC9B99" w14:textId="24948BCF" w:rsidR="00427551" w:rsidRPr="009E2740" w:rsidRDefault="00427551" w:rsidP="001E32BF">
      <w:pPr>
        <w:spacing w:line="240" w:lineRule="auto"/>
        <w:jc w:val="center"/>
        <w:rPr>
          <w:rFonts w:ascii="Times New Roman" w:hAnsi="Times New Roman" w:cs="Times New Roman"/>
          <w:lang w:val="pt-BR"/>
        </w:rPr>
      </w:pPr>
      <w:r w:rsidRPr="009E2740">
        <w:rPr>
          <w:rFonts w:ascii="Times New Roman" w:hAnsi="Times New Roman" w:cs="Times New Roman"/>
          <w:position w:val="-28"/>
        </w:rPr>
        <w:object w:dxaOrig="1480" w:dyaOrig="680" w14:anchorId="311B644B">
          <v:shape id="_x0000_i1043" type="#_x0000_t75" style="width:74.25pt;height:33.75pt" o:ole="">
            <v:imagedata r:id="rId46" o:title=""/>
          </v:shape>
          <o:OLEObject Type="Embed" ProgID="Equation.DSMT4" ShapeID="_x0000_i1043" DrawAspect="Content" ObjectID="_1539788429" r:id="rId47"/>
        </w:object>
      </w:r>
    </w:p>
    <w:p w14:paraId="3C7A1273" w14:textId="21AA288C" w:rsidR="00427551" w:rsidRPr="009E2740" w:rsidRDefault="00427551"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ab/>
        <w:t>Este é o chamado teste dos limites (</w:t>
      </w:r>
      <w:r w:rsidRPr="009E2740">
        <w:rPr>
          <w:rFonts w:ascii="Times New Roman" w:hAnsi="Times New Roman" w:cs="Times New Roman"/>
          <w:i/>
          <w:lang w:val="pt-BR"/>
        </w:rPr>
        <w:t>bounds test</w:t>
      </w:r>
      <w:r w:rsidRPr="009E2740">
        <w:rPr>
          <w:rFonts w:ascii="Times New Roman" w:hAnsi="Times New Roman" w:cs="Times New Roman"/>
          <w:lang w:val="pt-BR"/>
        </w:rPr>
        <w:t>) de Pesaran e Shin. Para o caso de variáveis com graus de integração diferente, utiliza-se os valores críticos tabulados por</w:t>
      </w:r>
      <w:r w:rsidR="00401AFF" w:rsidRPr="009E2740">
        <w:rPr>
          <w:rFonts w:ascii="Times New Roman" w:hAnsi="Times New Roman" w:cs="Times New Roman"/>
          <w:lang w:val="pt-BR"/>
        </w:rPr>
        <w:t xml:space="preserve"> </w:t>
      </w:r>
      <w:r w:rsidR="00401AFF"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"10.1002/jae.616", "ISSN" : "0883-7252", "author" : [ { "dropping-particle" : "", "family" : "Pesaran", "given" : "M. Hashem", "non-dropping-particle" : "", "parse-names" : false, "suffix" : "" }, { "dropping-particle" : "", "family" : "Shin", "given" : "Yongcheol", "non-dropping-particle" : "", "parse-names" : false, "suffix" : "" }, { "dropping-particle" : "", "family" : "Smith", "given" : "Richard J.", "non-dropping-particle" : "", "parse-names" : false, "suffix" : "" } ], "container-title" : "Journal of Applied Econometrics", "id" : "ITEM-1", "issue" : "3", "issued" : { "date-parts" : [ [ "2001", "5" ] ] }, "page" : "289-326", "publisher" : "John Wiley &amp; Sons, Ltd.", "title" : "Bounds Testing Approaches to the Analysis of Level Relationships", "type" : "article-journal", "volume" : "16" }, "uris" : [ "http://www.mendeley.com/documents/?uuid=458c7183-7c97-4d76-bf8b-154b043f0211" ] } ], "mendeley" : { "formattedCitation" : "(Pesaran et al., 2001)", "plainTextFormattedCitation" : "(Pesaran et al., 2001)", "previouslyFormattedCitation" : "(Pesaran et al., 2001)" }, "properties" : { "noteIndex" : 0 }, "schema" : "https://github.com/citation-style-language/schema/raw/master/csl-citation.json" }</w:instrText>
      </w:r>
      <w:r w:rsidR="00401AFF"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(Pesaran et al., 2001)</w:t>
      </w:r>
      <w:r w:rsidR="00401AFF" w:rsidRPr="009E2740">
        <w:rPr>
          <w:rFonts w:ascii="Times New Roman" w:hAnsi="Times New Roman" w:cs="Times New Roman"/>
          <w:lang w:val="pt-BR"/>
        </w:rPr>
        <w:fldChar w:fldCharType="end"/>
      </w:r>
      <w:r w:rsidR="001C3A08" w:rsidRPr="009E2740">
        <w:rPr>
          <w:rFonts w:ascii="Times New Roman" w:hAnsi="Times New Roman" w:cs="Times New Roman"/>
          <w:lang w:val="pt-BR"/>
        </w:rPr>
        <w:t>.</w:t>
      </w:r>
    </w:p>
    <w:p w14:paraId="789870B7" w14:textId="740E19FB" w:rsidR="00A44697" w:rsidRPr="009E2740" w:rsidRDefault="00C90A80"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As</w:t>
      </w:r>
      <w:r w:rsidR="001C3A08" w:rsidRPr="009E2740">
        <w:rPr>
          <w:rFonts w:ascii="Times New Roman" w:hAnsi="Times New Roman" w:cs="Times New Roman"/>
          <w:lang w:val="pt-BR"/>
        </w:rPr>
        <w:t xml:space="preserve">sume-se que a carga tributária ótima pode ser calculada a partir dos parâmetros estimados de longo prazo deste modelo. Neste sentido, reconstruiu-se a base de dados original visando corrigir eventuais erros de mensuração anteriores. Assim, </w:t>
      </w:r>
      <w:r w:rsidR="00DD3BD7" w:rsidRPr="009E2740">
        <w:rPr>
          <w:rFonts w:ascii="Times New Roman" w:hAnsi="Times New Roman" w:cs="Times New Roman"/>
          <w:lang w:val="pt-BR"/>
        </w:rPr>
        <w:t>a carga tributária foi coletada</w:t>
      </w:r>
      <w:r w:rsidR="001C3A08" w:rsidRPr="009E2740">
        <w:rPr>
          <w:rFonts w:ascii="Times New Roman" w:hAnsi="Times New Roman" w:cs="Times New Roman"/>
          <w:lang w:val="pt-BR"/>
        </w:rPr>
        <w:t xml:space="preserve"> novamente </w:t>
      </w:r>
      <w:r w:rsidR="00DD3BD7" w:rsidRPr="009E2740">
        <w:rPr>
          <w:rFonts w:ascii="Times New Roman" w:hAnsi="Times New Roman" w:cs="Times New Roman"/>
          <w:lang w:val="pt-BR"/>
        </w:rPr>
        <w:t>(os dados são do IBGE no período 1947-2011 e da Receita Federal para 2012 e 2013)</w:t>
      </w:r>
      <w:r w:rsidR="00861C0F" w:rsidRPr="009E2740">
        <w:rPr>
          <w:rStyle w:val="FootnoteReference"/>
          <w:rFonts w:ascii="Times New Roman" w:hAnsi="Times New Roman" w:cs="Times New Roman"/>
          <w:lang w:val="pt-BR"/>
        </w:rPr>
        <w:footnoteReference w:id="13"/>
      </w:r>
      <w:r w:rsidR="00452FE3" w:rsidRPr="009E2740">
        <w:rPr>
          <w:rFonts w:ascii="Times New Roman" w:hAnsi="Times New Roman" w:cs="Times New Roman"/>
          <w:lang w:val="pt-BR"/>
        </w:rPr>
        <w:t xml:space="preserve"> e a nova série do PIB</w:t>
      </w:r>
      <w:r w:rsidR="00DD3BD7" w:rsidRPr="009E2740">
        <w:rPr>
          <w:rFonts w:ascii="Times New Roman" w:hAnsi="Times New Roman" w:cs="Times New Roman"/>
          <w:lang w:val="pt-BR"/>
        </w:rPr>
        <w:t xml:space="preserve"> </w:t>
      </w:r>
      <w:r w:rsidR="00452FE3" w:rsidRPr="009E2740">
        <w:rPr>
          <w:rFonts w:ascii="Times New Roman" w:hAnsi="Times New Roman" w:cs="Times New Roman"/>
          <w:lang w:val="pt-BR"/>
        </w:rPr>
        <w:t>a preços de 2013</w:t>
      </w:r>
      <w:r w:rsidR="00DD3BD7" w:rsidRPr="009E2740">
        <w:rPr>
          <w:rFonts w:ascii="Times New Roman" w:hAnsi="Times New Roman" w:cs="Times New Roman"/>
          <w:lang w:val="pt-BR"/>
        </w:rPr>
        <w:t xml:space="preserve"> (IBGE)</w:t>
      </w:r>
      <w:r w:rsidR="00452FE3" w:rsidRPr="009E2740">
        <w:rPr>
          <w:rFonts w:ascii="Times New Roman" w:hAnsi="Times New Roman" w:cs="Times New Roman"/>
          <w:lang w:val="pt-BR"/>
        </w:rPr>
        <w:t xml:space="preserve"> foi </w:t>
      </w:r>
      <w:r w:rsidR="008C67A1" w:rsidRPr="009E2740">
        <w:rPr>
          <w:rFonts w:ascii="Times New Roman" w:hAnsi="Times New Roman" w:cs="Times New Roman"/>
          <w:lang w:val="pt-BR"/>
        </w:rPr>
        <w:t>usada no lugar da série do PIB utilizada no artigo anterior</w:t>
      </w:r>
      <w:r w:rsidR="00452FE3" w:rsidRPr="009E2740">
        <w:rPr>
          <w:rFonts w:ascii="Times New Roman" w:hAnsi="Times New Roman" w:cs="Times New Roman"/>
          <w:lang w:val="pt-BR"/>
        </w:rPr>
        <w:t xml:space="preserve">. </w:t>
      </w:r>
      <w:r w:rsidR="00E61425" w:rsidRPr="009E2740">
        <w:rPr>
          <w:rFonts w:ascii="Times New Roman" w:hAnsi="Times New Roman" w:cs="Times New Roman"/>
          <w:lang w:val="pt-BR"/>
        </w:rPr>
        <w:t xml:space="preserve">Os dados originais encontram-se na Figura </w:t>
      </w:r>
      <w:r w:rsidR="006150EE" w:rsidRPr="009E2740">
        <w:rPr>
          <w:rFonts w:ascii="Times New Roman" w:hAnsi="Times New Roman" w:cs="Times New Roman"/>
          <w:lang w:val="pt-BR"/>
        </w:rPr>
        <w:t>2</w:t>
      </w:r>
      <w:r w:rsidR="002D53D1" w:rsidRPr="009E2740">
        <w:rPr>
          <w:rFonts w:ascii="Times New Roman" w:hAnsi="Times New Roman" w:cs="Times New Roman"/>
          <w:lang w:val="pt-BR"/>
        </w:rPr>
        <w:t xml:space="preserve"> </w:t>
      </w:r>
      <w:r w:rsidR="00E61425" w:rsidRPr="009E2740">
        <w:rPr>
          <w:rFonts w:ascii="Times New Roman" w:hAnsi="Times New Roman" w:cs="Times New Roman"/>
          <w:lang w:val="pt-BR"/>
        </w:rPr>
        <w:t>a seguir.</w:t>
      </w:r>
    </w:p>
    <w:p w14:paraId="0B29186A" w14:textId="77777777" w:rsidR="00A44697" w:rsidRDefault="00A44697" w:rsidP="009E2740">
      <w:pPr>
        <w:spacing w:after="0" w:line="240" w:lineRule="auto"/>
        <w:ind w:firstLine="709"/>
        <w:jc w:val="center"/>
        <w:rPr>
          <w:rFonts w:ascii="Times New Roman" w:hAnsi="Times New Roman" w:cs="Times New Roman"/>
          <w:lang w:val="pt-BR"/>
        </w:rPr>
      </w:pPr>
    </w:p>
    <w:p w14:paraId="49B72BF7" w14:textId="77777777" w:rsidR="00007F11" w:rsidRPr="009E2740" w:rsidRDefault="00007F11" w:rsidP="00007F11">
      <w:pPr>
        <w:rPr>
          <w:rFonts w:ascii="Times New Roman" w:hAnsi="Times New Roman" w:cs="Times New Roman"/>
          <w:lang w:val="pt-BR"/>
        </w:rPr>
      </w:pPr>
    </w:p>
    <w:p w14:paraId="48BA1171" w14:textId="77777777" w:rsidR="006E2A60" w:rsidRPr="009E2740" w:rsidRDefault="00E61425" w:rsidP="009E2740">
      <w:pPr>
        <w:spacing w:after="0" w:line="240" w:lineRule="auto"/>
        <w:ind w:firstLine="709"/>
        <w:jc w:val="center"/>
        <w:rPr>
          <w:rFonts w:ascii="Times New Roman" w:hAnsi="Times New Roman" w:cs="Times New Roman"/>
          <w:lang w:val="pt-BR"/>
        </w:rPr>
      </w:pPr>
      <w:r w:rsidRPr="009E2740">
        <w:rPr>
          <w:rFonts w:ascii="Times New Roman" w:hAnsi="Times New Roman" w:cs="Times New Roman"/>
          <w:lang w:val="pt-BR"/>
        </w:rPr>
        <w:t xml:space="preserve">Figura </w:t>
      </w:r>
      <w:r w:rsidR="002D53D1" w:rsidRPr="009E2740">
        <w:rPr>
          <w:rFonts w:ascii="Times New Roman" w:hAnsi="Times New Roman" w:cs="Times New Roman"/>
          <w:lang w:val="pt-BR"/>
        </w:rPr>
        <w:t xml:space="preserve">2 </w:t>
      </w:r>
      <w:r w:rsidRPr="009E2740">
        <w:rPr>
          <w:rFonts w:ascii="Times New Roman" w:hAnsi="Times New Roman" w:cs="Times New Roman"/>
          <w:lang w:val="pt-BR"/>
        </w:rPr>
        <w:t>– Séries Originais</w:t>
      </w:r>
      <w:r w:rsidR="006150EE" w:rsidRPr="009E2740">
        <w:rPr>
          <w:rFonts w:ascii="Times New Roman" w:hAnsi="Times New Roman" w:cs="Times New Roman"/>
          <w:lang w:val="pt-BR"/>
        </w:rPr>
        <w:t xml:space="preserve"> do PIB</w:t>
      </w:r>
      <w:r w:rsidR="006E2A60" w:rsidRPr="009E2740">
        <w:rPr>
          <w:rFonts w:ascii="Times New Roman" w:hAnsi="Times New Roman" w:cs="Times New Roman"/>
          <w:lang w:val="pt-BR"/>
        </w:rPr>
        <w:t xml:space="preserve"> (R$ milhões)</w:t>
      </w:r>
      <w:r w:rsidR="006150EE" w:rsidRPr="009E2740">
        <w:rPr>
          <w:rFonts w:ascii="Times New Roman" w:hAnsi="Times New Roman" w:cs="Times New Roman"/>
          <w:lang w:val="pt-BR"/>
        </w:rPr>
        <w:t xml:space="preserve"> e da Carga Tributária</w:t>
      </w:r>
      <w:r w:rsidR="006E2A60" w:rsidRPr="009E2740">
        <w:rPr>
          <w:rFonts w:ascii="Times New Roman" w:hAnsi="Times New Roman" w:cs="Times New Roman"/>
          <w:lang w:val="pt-BR"/>
        </w:rPr>
        <w:t xml:space="preserve"> (% do PIB) </w:t>
      </w:r>
    </w:p>
    <w:p w14:paraId="326870DB" w14:textId="7C4DA8B0" w:rsidR="00E61425" w:rsidRPr="009E2740" w:rsidRDefault="006E2A60" w:rsidP="009E2740">
      <w:pPr>
        <w:spacing w:after="0" w:line="240" w:lineRule="auto"/>
        <w:ind w:firstLine="709"/>
        <w:jc w:val="center"/>
        <w:rPr>
          <w:rFonts w:ascii="Times New Roman" w:hAnsi="Times New Roman" w:cs="Times New Roman"/>
          <w:lang w:val="pt-BR"/>
        </w:rPr>
      </w:pPr>
      <w:r w:rsidRPr="009E2740">
        <w:rPr>
          <w:rFonts w:ascii="Times New Roman" w:hAnsi="Times New Roman" w:cs="Times New Roman"/>
          <w:lang w:val="pt-BR"/>
        </w:rPr>
        <w:t>1947-2013</w:t>
      </w:r>
    </w:p>
    <w:p w14:paraId="42A54CED" w14:textId="14C856C3" w:rsidR="00E61425" w:rsidRPr="009E2740" w:rsidRDefault="00E61425" w:rsidP="009E2740">
      <w:pPr>
        <w:spacing w:after="0" w:line="240" w:lineRule="auto"/>
        <w:jc w:val="center"/>
        <w:rPr>
          <w:rFonts w:ascii="Times New Roman" w:hAnsi="Times New Roman" w:cs="Times New Roman"/>
          <w:b/>
          <w:lang w:val="pt-BR"/>
        </w:rPr>
      </w:pPr>
      <w:r w:rsidRPr="009E2740">
        <w:rPr>
          <w:rFonts w:ascii="Times New Roman" w:hAnsi="Times New Roman" w:cs="Times New Roman"/>
          <w:noProof/>
        </w:rPr>
        <w:lastRenderedPageBreak/>
        <w:drawing>
          <wp:inline distT="0" distB="0" distL="0" distR="0" wp14:anchorId="64B529CA" wp14:editId="444A969B">
            <wp:extent cx="5943600" cy="3717985"/>
            <wp:effectExtent l="0" t="0" r="19050"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1C45040" w14:textId="13E4FC3B" w:rsidR="001E32BF" w:rsidRDefault="001E32BF" w:rsidP="009E2740">
      <w:pPr>
        <w:spacing w:after="0" w:line="240" w:lineRule="auto"/>
        <w:ind w:firstLine="709"/>
        <w:jc w:val="both"/>
        <w:rPr>
          <w:rFonts w:ascii="Times New Roman" w:hAnsi="Times New Roman" w:cs="Times New Roman"/>
          <w:lang w:val="pt-BR"/>
        </w:rPr>
      </w:pPr>
      <w:r>
        <w:rPr>
          <w:rFonts w:ascii="Times New Roman" w:hAnsi="Times New Roman" w:cs="Times New Roman"/>
          <w:lang w:val="pt-BR"/>
        </w:rPr>
        <w:t>Fonte: Elaborado pelos autores</w:t>
      </w:r>
    </w:p>
    <w:p w14:paraId="13478F1B" w14:textId="77777777" w:rsidR="001E32BF" w:rsidRDefault="001E32BF" w:rsidP="009E2740">
      <w:pPr>
        <w:spacing w:after="0" w:line="240" w:lineRule="auto"/>
        <w:ind w:firstLine="709"/>
        <w:jc w:val="both"/>
        <w:rPr>
          <w:rFonts w:ascii="Times New Roman" w:hAnsi="Times New Roman" w:cs="Times New Roman"/>
          <w:lang w:val="pt-BR"/>
        </w:rPr>
      </w:pPr>
    </w:p>
    <w:p w14:paraId="3B49A8FE" w14:textId="77777777" w:rsidR="001E32BF" w:rsidRDefault="001E32BF" w:rsidP="009E2740">
      <w:pPr>
        <w:spacing w:after="0" w:line="240" w:lineRule="auto"/>
        <w:ind w:firstLine="709"/>
        <w:jc w:val="both"/>
        <w:rPr>
          <w:rFonts w:ascii="Times New Roman" w:hAnsi="Times New Roman" w:cs="Times New Roman"/>
          <w:lang w:val="pt-BR"/>
        </w:rPr>
      </w:pPr>
    </w:p>
    <w:p w14:paraId="2CC1E715" w14:textId="0BFACCBF" w:rsidR="00047893" w:rsidRDefault="00E61425"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Verifica-se que ambas as séries possuem uma tendência de crescimento no longo prazo. A partir da série de carga tributária, calcula-se a participação do setor privado de forma residual, conforme explicitado anteriormente</w:t>
      </w:r>
      <w:r w:rsidR="00364B33" w:rsidRPr="009E2740">
        <w:rPr>
          <w:rStyle w:val="FootnoteReference"/>
          <w:rFonts w:ascii="Times New Roman" w:hAnsi="Times New Roman" w:cs="Times New Roman"/>
          <w:lang w:val="pt-BR"/>
        </w:rPr>
        <w:footnoteReference w:id="14"/>
      </w:r>
      <w:r w:rsidRPr="009E2740">
        <w:rPr>
          <w:rFonts w:ascii="Times New Roman" w:hAnsi="Times New Roman" w:cs="Times New Roman"/>
          <w:lang w:val="pt-BR"/>
        </w:rPr>
        <w:t xml:space="preserve">. A partir </w:t>
      </w:r>
      <w:r w:rsidR="00792A4C" w:rsidRPr="009E2740">
        <w:rPr>
          <w:rFonts w:ascii="Times New Roman" w:hAnsi="Times New Roman" w:cs="Times New Roman"/>
          <w:lang w:val="pt-BR"/>
        </w:rPr>
        <w:t>daí todas as</w:t>
      </w:r>
      <w:r w:rsidR="00364B33" w:rsidRPr="009E2740">
        <w:rPr>
          <w:rFonts w:ascii="Times New Roman" w:hAnsi="Times New Roman" w:cs="Times New Roman"/>
          <w:lang w:val="pt-BR"/>
        </w:rPr>
        <w:t xml:space="preserve"> variáveis foram logaritmizadas.</w:t>
      </w:r>
      <w:r w:rsidR="00AE761E" w:rsidRPr="009E2740">
        <w:rPr>
          <w:rFonts w:ascii="Times New Roman" w:hAnsi="Times New Roman" w:cs="Times New Roman"/>
          <w:lang w:val="pt-BR"/>
        </w:rPr>
        <w:t xml:space="preserve"> A Figura </w:t>
      </w:r>
      <w:r w:rsidR="002D53D1" w:rsidRPr="009E2740">
        <w:rPr>
          <w:rFonts w:ascii="Times New Roman" w:hAnsi="Times New Roman" w:cs="Times New Roman"/>
          <w:lang w:val="pt-BR"/>
        </w:rPr>
        <w:t xml:space="preserve">3 </w:t>
      </w:r>
      <w:r w:rsidR="00AE761E" w:rsidRPr="009E2740">
        <w:rPr>
          <w:rFonts w:ascii="Times New Roman" w:hAnsi="Times New Roman" w:cs="Times New Roman"/>
          <w:lang w:val="pt-BR"/>
        </w:rPr>
        <w:t>apresenta</w:t>
      </w:r>
      <w:r w:rsidRPr="009E2740">
        <w:rPr>
          <w:rFonts w:ascii="Times New Roman" w:hAnsi="Times New Roman" w:cs="Times New Roman"/>
          <w:lang w:val="pt-BR"/>
        </w:rPr>
        <w:t xml:space="preserve"> as séries.</w:t>
      </w:r>
    </w:p>
    <w:p w14:paraId="2F8D6A12" w14:textId="77777777" w:rsidR="009E2740" w:rsidRPr="009E2740" w:rsidRDefault="009E2740" w:rsidP="009E2740">
      <w:pPr>
        <w:spacing w:after="0" w:line="240" w:lineRule="auto"/>
        <w:ind w:firstLine="709"/>
        <w:jc w:val="both"/>
        <w:rPr>
          <w:rFonts w:ascii="Times New Roman" w:hAnsi="Times New Roman" w:cs="Times New Roman"/>
          <w:lang w:val="pt-BR"/>
        </w:rPr>
      </w:pPr>
    </w:p>
    <w:p w14:paraId="1260A91C" w14:textId="3F8AE78B" w:rsidR="00047893" w:rsidRPr="009E2740" w:rsidRDefault="00F436F6" w:rsidP="009E2740">
      <w:pPr>
        <w:spacing w:after="0" w:line="240" w:lineRule="auto"/>
        <w:jc w:val="center"/>
        <w:rPr>
          <w:rFonts w:ascii="Times New Roman" w:hAnsi="Times New Roman" w:cs="Times New Roman"/>
          <w:lang w:val="pt-BR"/>
        </w:rPr>
      </w:pPr>
      <w:r w:rsidRPr="009E2740">
        <w:rPr>
          <w:rFonts w:ascii="Times New Roman" w:hAnsi="Times New Roman" w:cs="Times New Roman"/>
          <w:lang w:val="pt-BR"/>
        </w:rPr>
        <w:t xml:space="preserve">Figura </w:t>
      </w:r>
      <w:r w:rsidR="002D53D1" w:rsidRPr="009E2740">
        <w:rPr>
          <w:rFonts w:ascii="Times New Roman" w:hAnsi="Times New Roman" w:cs="Times New Roman"/>
          <w:lang w:val="pt-BR"/>
        </w:rPr>
        <w:t xml:space="preserve">3 </w:t>
      </w:r>
      <w:r w:rsidRPr="009E2740">
        <w:rPr>
          <w:rFonts w:ascii="Times New Roman" w:hAnsi="Times New Roman" w:cs="Times New Roman"/>
          <w:lang w:val="pt-BR"/>
        </w:rPr>
        <w:t>– Séries Temporais</w:t>
      </w:r>
      <w:r w:rsidR="005324EE" w:rsidRPr="009E2740">
        <w:rPr>
          <w:rFonts w:ascii="Times New Roman" w:hAnsi="Times New Roman" w:cs="Times New Roman"/>
          <w:lang w:val="pt-BR"/>
        </w:rPr>
        <w:t xml:space="preserve"> em Escala Logaritmica</w:t>
      </w:r>
    </w:p>
    <w:p w14:paraId="25CAD258" w14:textId="77777777" w:rsidR="006A702F" w:rsidRPr="009E2740" w:rsidRDefault="006A702F" w:rsidP="009E2740">
      <w:pPr>
        <w:spacing w:after="0" w:line="240" w:lineRule="auto"/>
        <w:jc w:val="center"/>
        <w:rPr>
          <w:rFonts w:ascii="Times New Roman" w:hAnsi="Times New Roman" w:cs="Times New Roman"/>
          <w:lang w:val="pt-BR"/>
        </w:rPr>
      </w:pPr>
    </w:p>
    <w:p w14:paraId="6CB4E821" w14:textId="1DE04B15" w:rsidR="009E2740" w:rsidRPr="009E2740" w:rsidRDefault="009E2740" w:rsidP="001E32B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val="pt-BR"/>
        </w:rPr>
      </w:pPr>
      <w:r w:rsidRPr="009E2740">
        <w:rPr>
          <w:rFonts w:ascii="Times New Roman" w:hAnsi="Times New Roman" w:cs="Times New Roman"/>
        </w:rPr>
        <w:object w:dxaOrig="7335" w:dyaOrig="4980" w14:anchorId="43B5C357">
          <v:shape id="_x0000_i1044" type="#_x0000_t75" style="width:215.25pt;height:147pt" o:ole="">
            <v:imagedata r:id="rId49" o:title=""/>
          </v:shape>
          <o:OLEObject Type="Embed" ProgID="EViews.Workfile.2" ShapeID="_x0000_i1044" DrawAspect="Content" ObjectID="_1539788430" r:id="rId50"/>
        </w:object>
      </w:r>
      <w:r w:rsidRPr="009E2740">
        <w:rPr>
          <w:rFonts w:ascii="Times New Roman" w:hAnsi="Times New Roman" w:cs="Times New Roman"/>
          <w:lang w:val="pt-BR"/>
        </w:rPr>
        <w:t xml:space="preserve">               </w:t>
      </w:r>
      <w:r w:rsidRPr="009E2740">
        <w:rPr>
          <w:rFonts w:ascii="Times New Roman" w:hAnsi="Times New Roman" w:cs="Times New Roman"/>
        </w:rPr>
        <w:object w:dxaOrig="7276" w:dyaOrig="4980" w14:anchorId="59A0C97A">
          <v:shape id="_x0000_i1045" type="#_x0000_t75" style="width:201pt;height:147.75pt" o:ole="">
            <v:imagedata r:id="rId51" o:title=""/>
          </v:shape>
          <o:OLEObject Type="Embed" ProgID="EViews.Workfile.2" ShapeID="_x0000_i1045" DrawAspect="Content" ObjectID="_1539788431" r:id="rId52"/>
        </w:object>
      </w:r>
      <w:r w:rsidRPr="009E2740">
        <w:rPr>
          <w:rFonts w:ascii="Times New Roman" w:hAnsi="Times New Roman" w:cs="Times New Roman"/>
        </w:rPr>
        <w:object w:dxaOrig="7276" w:dyaOrig="4980" w14:anchorId="05A1D0E3">
          <v:shape id="_x0000_i1046" type="#_x0000_t75" style="width:220.5pt;height:151.5pt" o:ole="">
            <v:imagedata r:id="rId53" o:title=""/>
          </v:shape>
          <o:OLEObject Type="Embed" ProgID="EViews.Workfile.2" ShapeID="_x0000_i1046" DrawAspect="Content" ObjectID="_1539788432" r:id="rId54"/>
        </w:object>
      </w:r>
    </w:p>
    <w:p w14:paraId="7724B5CC" w14:textId="2F9478F7" w:rsidR="009E2740" w:rsidRPr="009E2740" w:rsidRDefault="001E32BF" w:rsidP="001E32BF">
      <w:pPr>
        <w:spacing w:after="0" w:line="240" w:lineRule="auto"/>
        <w:rPr>
          <w:rFonts w:ascii="Times New Roman" w:hAnsi="Times New Roman" w:cs="Times New Roman"/>
          <w:lang w:val="pt-BR"/>
        </w:rPr>
      </w:pPr>
      <w:r>
        <w:rPr>
          <w:rFonts w:ascii="Times New Roman" w:hAnsi="Times New Roman" w:cs="Times New Roman"/>
          <w:lang w:val="pt-BR"/>
        </w:rPr>
        <w:t>Fonte: Elaborado pelos autores</w:t>
      </w:r>
    </w:p>
    <w:p w14:paraId="543A2F80" w14:textId="77777777" w:rsidR="009E2740" w:rsidRPr="009E2740" w:rsidRDefault="009E2740" w:rsidP="009E2740">
      <w:pPr>
        <w:spacing w:after="0" w:line="240" w:lineRule="auto"/>
        <w:jc w:val="center"/>
        <w:rPr>
          <w:rFonts w:ascii="Times New Roman" w:hAnsi="Times New Roman" w:cs="Times New Roman"/>
          <w:lang w:val="pt-BR"/>
        </w:rPr>
      </w:pPr>
    </w:p>
    <w:p w14:paraId="2F190CD2" w14:textId="6991DFA9" w:rsidR="00A10D6C" w:rsidRDefault="00792A4C" w:rsidP="009E2740">
      <w:pPr>
        <w:spacing w:line="240" w:lineRule="auto"/>
        <w:ind w:firstLine="720"/>
        <w:rPr>
          <w:rFonts w:ascii="Times New Roman" w:hAnsi="Times New Roman" w:cs="Times New Roman"/>
          <w:lang w:val="pt-BR"/>
        </w:rPr>
      </w:pPr>
      <w:r w:rsidRPr="009E2740">
        <w:rPr>
          <w:rFonts w:ascii="Times New Roman" w:hAnsi="Times New Roman" w:cs="Times New Roman"/>
          <w:lang w:val="pt-BR"/>
        </w:rPr>
        <w:t>Os</w:t>
      </w:r>
      <w:r w:rsidR="00AD42E3" w:rsidRPr="009E2740">
        <w:rPr>
          <w:rFonts w:ascii="Times New Roman" w:hAnsi="Times New Roman" w:cs="Times New Roman"/>
          <w:lang w:val="pt-BR"/>
        </w:rPr>
        <w:t xml:space="preserve"> testes de raiz unitária com quebra estrutural</w:t>
      </w:r>
      <w:r w:rsidR="00E31011" w:rsidRPr="009E2740">
        <w:rPr>
          <w:rFonts w:ascii="Times New Roman" w:hAnsi="Times New Roman" w:cs="Times New Roman"/>
          <w:lang w:val="pt-BR"/>
        </w:rPr>
        <w:t xml:space="preserve"> para as variáveis em escala logarítmica</w:t>
      </w:r>
      <w:r w:rsidRPr="009E2740">
        <w:rPr>
          <w:rFonts w:ascii="Times New Roman" w:hAnsi="Times New Roman" w:cs="Times New Roman"/>
          <w:lang w:val="pt-BR"/>
        </w:rPr>
        <w:t xml:space="preserve"> são apresentados na </w:t>
      </w:r>
      <w:r w:rsidR="002D53D1" w:rsidRPr="009E2740">
        <w:rPr>
          <w:rFonts w:ascii="Times New Roman" w:hAnsi="Times New Roman" w:cs="Times New Roman"/>
          <w:lang w:val="pt-BR"/>
        </w:rPr>
        <w:t xml:space="preserve">Tabela </w:t>
      </w:r>
      <w:r w:rsidRPr="009E2740">
        <w:rPr>
          <w:rFonts w:ascii="Times New Roman" w:hAnsi="Times New Roman" w:cs="Times New Roman"/>
          <w:lang w:val="pt-BR"/>
        </w:rPr>
        <w:t>1</w:t>
      </w:r>
      <w:r w:rsidR="00E31011" w:rsidRPr="009E2740">
        <w:rPr>
          <w:rFonts w:ascii="Times New Roman" w:hAnsi="Times New Roman" w:cs="Times New Roman"/>
          <w:lang w:val="pt-BR"/>
        </w:rPr>
        <w:t xml:space="preserve">. </w:t>
      </w:r>
      <w:r w:rsidR="00A10D6C" w:rsidRPr="009E2740">
        <w:rPr>
          <w:rFonts w:ascii="Times New Roman" w:hAnsi="Times New Roman" w:cs="Times New Roman"/>
          <w:lang w:val="pt-BR"/>
        </w:rPr>
        <w:t xml:space="preserve"> </w:t>
      </w:r>
    </w:p>
    <w:p w14:paraId="54AF426E" w14:textId="77777777" w:rsidR="00D67E70" w:rsidRPr="009E2740" w:rsidRDefault="00E31011" w:rsidP="009E2740">
      <w:pPr>
        <w:spacing w:line="240" w:lineRule="auto"/>
        <w:jc w:val="center"/>
        <w:rPr>
          <w:rFonts w:ascii="Times New Roman" w:hAnsi="Times New Roman" w:cs="Times New Roman"/>
          <w:lang w:val="pt-BR"/>
        </w:rPr>
      </w:pPr>
      <w:r w:rsidRPr="009E2740">
        <w:rPr>
          <w:rFonts w:ascii="Times New Roman" w:hAnsi="Times New Roman" w:cs="Times New Roman"/>
          <w:lang w:val="pt-BR"/>
        </w:rPr>
        <w:t>Tabela</w:t>
      </w:r>
      <w:r w:rsidR="009D5465" w:rsidRPr="009E2740">
        <w:rPr>
          <w:rFonts w:ascii="Times New Roman" w:hAnsi="Times New Roman" w:cs="Times New Roman"/>
          <w:lang w:val="pt-BR"/>
        </w:rPr>
        <w:t xml:space="preserve"> 1</w:t>
      </w:r>
      <w:r w:rsidRPr="009E2740">
        <w:rPr>
          <w:rFonts w:ascii="Times New Roman" w:hAnsi="Times New Roman" w:cs="Times New Roman"/>
          <w:lang w:val="pt-BR"/>
        </w:rPr>
        <w:t xml:space="preserve"> – Raiz Unitária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C4FAA" w:rsidRPr="00E46E05" w14:paraId="49F255F5" w14:textId="77777777" w:rsidTr="009D5465">
        <w:tc>
          <w:tcPr>
            <w:tcW w:w="4788" w:type="dxa"/>
            <w:tcBorders>
              <w:top w:val="single" w:sz="4" w:space="0" w:color="auto"/>
              <w:bottom w:val="single" w:sz="4" w:space="0" w:color="auto"/>
            </w:tcBorders>
          </w:tcPr>
          <w:p w14:paraId="62945531" w14:textId="77777777" w:rsidR="00A10D6C" w:rsidRPr="009E2740" w:rsidRDefault="00A10D6C" w:rsidP="009E2740">
            <w:pPr>
              <w:jc w:val="center"/>
              <w:rPr>
                <w:rFonts w:ascii="Times New Roman" w:hAnsi="Times New Roman" w:cs="Times New Roman"/>
                <w:b/>
                <w:sz w:val="20"/>
                <w:szCs w:val="20"/>
                <w:lang w:val="pt-BR"/>
              </w:rPr>
            </w:pPr>
            <w:r w:rsidRPr="009E2740">
              <w:rPr>
                <w:rFonts w:ascii="Times New Roman" w:hAnsi="Times New Roman" w:cs="Times New Roman"/>
                <w:b/>
                <w:sz w:val="20"/>
                <w:szCs w:val="20"/>
                <w:lang w:val="pt-BR"/>
              </w:rPr>
              <w:t>Variável</w:t>
            </w:r>
          </w:p>
        </w:tc>
        <w:tc>
          <w:tcPr>
            <w:tcW w:w="4788" w:type="dxa"/>
            <w:tcBorders>
              <w:top w:val="single" w:sz="4" w:space="0" w:color="auto"/>
              <w:bottom w:val="single" w:sz="4" w:space="0" w:color="auto"/>
            </w:tcBorders>
          </w:tcPr>
          <w:p w14:paraId="6F9533D5" w14:textId="77777777" w:rsidR="00A10D6C" w:rsidRPr="009E2740" w:rsidRDefault="00A10D6C" w:rsidP="009E2740">
            <w:pPr>
              <w:jc w:val="center"/>
              <w:rPr>
                <w:rFonts w:ascii="Times New Roman" w:hAnsi="Times New Roman" w:cs="Times New Roman"/>
                <w:b/>
                <w:sz w:val="20"/>
                <w:szCs w:val="20"/>
                <w:lang w:val="pt-BR"/>
              </w:rPr>
            </w:pPr>
            <w:r w:rsidRPr="009E2740">
              <w:rPr>
                <w:rFonts w:ascii="Times New Roman" w:hAnsi="Times New Roman" w:cs="Times New Roman"/>
                <w:b/>
                <w:sz w:val="20"/>
                <w:szCs w:val="20"/>
                <w:lang w:val="pt-BR"/>
              </w:rPr>
              <w:t>Teste de Raiz Unitária com Quebra Estrutural Endógena</w:t>
            </w:r>
          </w:p>
        </w:tc>
      </w:tr>
      <w:tr w:rsidR="008C4FAA" w:rsidRPr="009E2740" w14:paraId="20A39CF2" w14:textId="77777777" w:rsidTr="009D5465">
        <w:tc>
          <w:tcPr>
            <w:tcW w:w="4788" w:type="dxa"/>
            <w:tcBorders>
              <w:top w:val="single" w:sz="4" w:space="0" w:color="auto"/>
            </w:tcBorders>
          </w:tcPr>
          <w:p w14:paraId="70D88147" w14:textId="77777777" w:rsidR="00A10D6C" w:rsidRPr="009E2740" w:rsidRDefault="00A10D6C" w:rsidP="009E2740">
            <w:pPr>
              <w:jc w:val="center"/>
              <w:rPr>
                <w:rFonts w:ascii="Times New Roman" w:hAnsi="Times New Roman" w:cs="Times New Roman"/>
                <w:sz w:val="20"/>
                <w:szCs w:val="20"/>
                <w:lang w:val="pt-BR"/>
              </w:rPr>
            </w:pPr>
            <w:r w:rsidRPr="009E2740">
              <w:rPr>
                <w:rFonts w:ascii="Times New Roman" w:hAnsi="Times New Roman" w:cs="Times New Roman"/>
                <w:sz w:val="20"/>
                <w:szCs w:val="20"/>
                <w:lang w:val="pt-BR"/>
              </w:rPr>
              <w:t>LPIB</w:t>
            </w:r>
          </w:p>
        </w:tc>
        <w:tc>
          <w:tcPr>
            <w:tcW w:w="4788" w:type="dxa"/>
            <w:tcBorders>
              <w:top w:val="single" w:sz="4" w:space="0" w:color="auto"/>
            </w:tcBorders>
          </w:tcPr>
          <w:p w14:paraId="3CE46280" w14:textId="77777777" w:rsidR="00A10D6C" w:rsidRPr="009E2740" w:rsidRDefault="00A10D6C" w:rsidP="009E2740">
            <w:pPr>
              <w:jc w:val="center"/>
              <w:rPr>
                <w:rFonts w:ascii="Times New Roman" w:hAnsi="Times New Roman" w:cs="Times New Roman"/>
                <w:sz w:val="20"/>
                <w:szCs w:val="20"/>
                <w:lang w:val="pt-BR"/>
              </w:rPr>
            </w:pPr>
            <w:r w:rsidRPr="009E2740">
              <w:rPr>
                <w:rFonts w:ascii="Times New Roman" w:hAnsi="Times New Roman" w:cs="Times New Roman"/>
                <w:sz w:val="20"/>
                <w:szCs w:val="20"/>
                <w:lang w:val="pt-BR"/>
              </w:rPr>
              <w:t>-3.27 (0.818)</w:t>
            </w:r>
          </w:p>
        </w:tc>
      </w:tr>
      <w:tr w:rsidR="008C4FAA" w:rsidRPr="009E2740" w14:paraId="4471D0B3" w14:textId="77777777" w:rsidTr="009D5465">
        <w:tc>
          <w:tcPr>
            <w:tcW w:w="4788" w:type="dxa"/>
          </w:tcPr>
          <w:p w14:paraId="3FC8BE97" w14:textId="77777777" w:rsidR="00A10D6C" w:rsidRPr="009E2740" w:rsidRDefault="00A10D6C" w:rsidP="009E2740">
            <w:pPr>
              <w:jc w:val="center"/>
              <w:rPr>
                <w:rFonts w:ascii="Times New Roman" w:hAnsi="Times New Roman" w:cs="Times New Roman"/>
                <w:sz w:val="20"/>
                <w:szCs w:val="20"/>
                <w:lang w:val="pt-BR"/>
              </w:rPr>
            </w:pPr>
            <w:r w:rsidRPr="009E2740">
              <w:rPr>
                <w:rFonts w:ascii="Times New Roman" w:hAnsi="Times New Roman" w:cs="Times New Roman"/>
                <w:sz w:val="20"/>
                <w:szCs w:val="20"/>
                <w:lang w:val="pt-BR"/>
              </w:rPr>
              <w:t>LNCARGA</w:t>
            </w:r>
          </w:p>
        </w:tc>
        <w:tc>
          <w:tcPr>
            <w:tcW w:w="4788" w:type="dxa"/>
          </w:tcPr>
          <w:p w14:paraId="1344760F" w14:textId="77777777" w:rsidR="00A10D6C" w:rsidRPr="009E2740" w:rsidRDefault="00A10D6C" w:rsidP="009E2740">
            <w:pPr>
              <w:jc w:val="center"/>
              <w:rPr>
                <w:rFonts w:ascii="Times New Roman" w:hAnsi="Times New Roman" w:cs="Times New Roman"/>
                <w:sz w:val="20"/>
                <w:szCs w:val="20"/>
                <w:lang w:val="pt-BR"/>
              </w:rPr>
            </w:pPr>
            <w:r w:rsidRPr="009E2740">
              <w:rPr>
                <w:rFonts w:ascii="Times New Roman" w:hAnsi="Times New Roman" w:cs="Times New Roman"/>
                <w:sz w:val="20"/>
                <w:szCs w:val="20"/>
                <w:lang w:val="pt-BR"/>
              </w:rPr>
              <w:t>-4.23 (0.242)</w:t>
            </w:r>
          </w:p>
        </w:tc>
      </w:tr>
      <w:tr w:rsidR="008C4FAA" w:rsidRPr="009E2740" w14:paraId="5D11879F" w14:textId="77777777" w:rsidTr="009D5465">
        <w:tc>
          <w:tcPr>
            <w:tcW w:w="4788" w:type="dxa"/>
            <w:tcBorders>
              <w:bottom w:val="single" w:sz="4" w:space="0" w:color="auto"/>
            </w:tcBorders>
          </w:tcPr>
          <w:p w14:paraId="5D604628" w14:textId="77777777" w:rsidR="00A10D6C" w:rsidRPr="009E2740" w:rsidRDefault="00A10D6C" w:rsidP="009E2740">
            <w:pPr>
              <w:jc w:val="center"/>
              <w:rPr>
                <w:rFonts w:ascii="Times New Roman" w:hAnsi="Times New Roman" w:cs="Times New Roman"/>
                <w:sz w:val="20"/>
                <w:szCs w:val="20"/>
                <w:lang w:val="pt-BR"/>
              </w:rPr>
            </w:pPr>
            <w:r w:rsidRPr="009E2740">
              <w:rPr>
                <w:rFonts w:ascii="Times New Roman" w:hAnsi="Times New Roman" w:cs="Times New Roman"/>
                <w:sz w:val="20"/>
                <w:szCs w:val="20"/>
                <w:lang w:val="pt-BR"/>
              </w:rPr>
              <w:t>LNPRIV</w:t>
            </w:r>
          </w:p>
        </w:tc>
        <w:tc>
          <w:tcPr>
            <w:tcW w:w="4788" w:type="dxa"/>
            <w:tcBorders>
              <w:bottom w:val="single" w:sz="4" w:space="0" w:color="auto"/>
            </w:tcBorders>
          </w:tcPr>
          <w:p w14:paraId="51705248" w14:textId="77777777" w:rsidR="00A10D6C" w:rsidRPr="009E2740" w:rsidRDefault="00A10D6C" w:rsidP="009E2740">
            <w:pPr>
              <w:jc w:val="center"/>
              <w:rPr>
                <w:rFonts w:ascii="Times New Roman" w:hAnsi="Times New Roman" w:cs="Times New Roman"/>
                <w:sz w:val="20"/>
                <w:szCs w:val="20"/>
                <w:lang w:val="pt-BR"/>
              </w:rPr>
            </w:pPr>
            <w:r w:rsidRPr="009E2740">
              <w:rPr>
                <w:rFonts w:ascii="Times New Roman" w:hAnsi="Times New Roman" w:cs="Times New Roman"/>
                <w:sz w:val="20"/>
                <w:szCs w:val="20"/>
                <w:lang w:val="pt-BR"/>
              </w:rPr>
              <w:t>-4.30 (0.207)</w:t>
            </w:r>
          </w:p>
        </w:tc>
      </w:tr>
    </w:tbl>
    <w:p w14:paraId="048CB515" w14:textId="77777777" w:rsidR="00D67E70" w:rsidRPr="009E2740" w:rsidRDefault="00E31011" w:rsidP="009E2740">
      <w:pPr>
        <w:spacing w:after="0" w:line="240" w:lineRule="auto"/>
        <w:rPr>
          <w:rFonts w:ascii="Times New Roman" w:hAnsi="Times New Roman" w:cs="Times New Roman"/>
          <w:lang w:val="pt-BR"/>
        </w:rPr>
      </w:pPr>
      <w:r w:rsidRPr="009E2740">
        <w:rPr>
          <w:rFonts w:ascii="Times New Roman" w:hAnsi="Times New Roman" w:cs="Times New Roman"/>
          <w:lang w:val="pt-BR"/>
        </w:rPr>
        <w:t xml:space="preserve">Fonte: Cálculos dos autores </w:t>
      </w:r>
      <w:r w:rsidRPr="009E2740">
        <w:rPr>
          <w:rFonts w:ascii="Times New Roman" w:hAnsi="Times New Roman" w:cs="Times New Roman"/>
          <w:lang w:val="pt-BR"/>
        </w:rPr>
        <w:br/>
        <w:t>Nota: Valor do teste seguido do respectivo p-valor.</w:t>
      </w:r>
    </w:p>
    <w:p w14:paraId="2DB54E5B" w14:textId="77777777" w:rsidR="002946A7" w:rsidRPr="009E2740" w:rsidRDefault="002946A7" w:rsidP="009E2740">
      <w:pPr>
        <w:spacing w:after="0" w:line="240" w:lineRule="auto"/>
        <w:ind w:firstLine="709"/>
        <w:jc w:val="both"/>
        <w:rPr>
          <w:rFonts w:ascii="Times New Roman" w:hAnsi="Times New Roman" w:cs="Times New Roman"/>
          <w:lang w:val="pt-BR"/>
        </w:rPr>
      </w:pPr>
    </w:p>
    <w:p w14:paraId="250BA3B3" w14:textId="4291BF8A" w:rsidR="00364B33" w:rsidRPr="009E2740" w:rsidRDefault="001C3A08"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Inicialmente, tentou-se replicar a estrutura de termos deterministas</w:t>
      </w:r>
      <w:r w:rsidRPr="009E2740">
        <w:rPr>
          <w:rFonts w:ascii="Times New Roman" w:hAnsi="Times New Roman" w:cs="Times New Roman"/>
          <w:i/>
          <w:lang w:val="pt-BR"/>
        </w:rPr>
        <w:t xml:space="preserve"> </w:t>
      </w:r>
      <w:r w:rsidRPr="009E2740">
        <w:rPr>
          <w:rFonts w:ascii="Times New Roman" w:hAnsi="Times New Roman" w:cs="Times New Roman"/>
          <w:lang w:val="pt-BR"/>
        </w:rPr>
        <w:t>da estimação original</w:t>
      </w:r>
      <w:r w:rsidR="00E31011" w:rsidRPr="009E2740">
        <w:rPr>
          <w:rFonts w:ascii="Times New Roman" w:hAnsi="Times New Roman" w:cs="Times New Roman"/>
          <w:lang w:val="pt-BR"/>
        </w:rPr>
        <w:t xml:space="preserve"> de </w:t>
      </w:r>
      <w:r w:rsidR="00E31011"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"Shikida", "given" : "Claudio D", "non-dropping-particle" : "", "parse-names" : false, "suffix" : "" }, { "dropping-particle" : "de", "family" : "Araujo Jr.", "given" : "Ari Francisco", "non-dropping-particle" : "", "parse-names" : false, "suffix" : "" }, { "dropping-particle" : "", "family" : "Hillbrecht", "given" : "Ronald O.", "non-dropping-particle" : "", "parse-names" : false, "suffix" : "" } ], "container-title" : "RBEE. Revista Brasileira de Economia de Empresas", "id" : "ITEM-1", "issue" : "2", "issued" : { "date-parts" : [ [ "2005" ] ] }, "page" : "21-35", "title" : "Public Vices, Private Serfdom? Comments on the Optimal Size of the Brazilian State", "type" : "article-journal", "volume" : "5" }, "uris" : [ "http://www.mendeley.com/documents/?uuid=620da43b-4a20-4934-af01-84185ed4c78c" ] } ], "mendeley" : { "formattedCitation" : "(Shikida et al., 2005)", "plainTextFormattedCitation" : "(Shikida et al., 2005)", "previouslyFormattedCitation" : "(Shikida et al., 2005)" }, "properties" : { "noteIndex" : 0 }, "schema" : "https://github.com/citation-style-language/schema/raw/master/csl-citation.json" }</w:instrText>
      </w:r>
      <w:r w:rsidR="00E31011"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(Shikida et al., 2005)</w:t>
      </w:r>
      <w:r w:rsidR="00E31011" w:rsidRPr="009E2740">
        <w:rPr>
          <w:rFonts w:ascii="Times New Roman" w:hAnsi="Times New Roman" w:cs="Times New Roman"/>
          <w:lang w:val="pt-BR"/>
        </w:rPr>
        <w:fldChar w:fldCharType="end"/>
      </w:r>
      <w:r w:rsidRPr="009E2740">
        <w:rPr>
          <w:rFonts w:ascii="Times New Roman" w:hAnsi="Times New Roman" w:cs="Times New Roman"/>
          <w:lang w:val="pt-BR"/>
        </w:rPr>
        <w:t xml:space="preserve">, com a inclusão de uma </w:t>
      </w:r>
      <w:r w:rsidR="00AD42E3" w:rsidRPr="009E2740">
        <w:rPr>
          <w:rFonts w:ascii="Times New Roman" w:hAnsi="Times New Roman" w:cs="Times New Roman"/>
          <w:i/>
          <w:lang w:val="pt-BR"/>
        </w:rPr>
        <w:t>dumm</w:t>
      </w:r>
      <w:r w:rsidRPr="009E2740">
        <w:rPr>
          <w:rFonts w:ascii="Times New Roman" w:hAnsi="Times New Roman" w:cs="Times New Roman"/>
          <w:i/>
          <w:lang w:val="pt-BR"/>
        </w:rPr>
        <w:t>y</w:t>
      </w:r>
      <w:r w:rsidR="00AD42E3" w:rsidRPr="009E2740">
        <w:rPr>
          <w:rFonts w:ascii="Times New Roman" w:hAnsi="Times New Roman" w:cs="Times New Roman"/>
          <w:lang w:val="pt-BR"/>
        </w:rPr>
        <w:t xml:space="preserve"> para os anos do Milagre. </w:t>
      </w:r>
      <w:r w:rsidRPr="009E2740">
        <w:rPr>
          <w:rFonts w:ascii="Times New Roman" w:hAnsi="Times New Roman" w:cs="Times New Roman"/>
          <w:lang w:val="pt-BR"/>
        </w:rPr>
        <w:t xml:space="preserve">Com a ocorrência da crise econômica de 2008 e dada a controvérsia sobre se o país teria ou não afetado pela mesma, optou-se por incluir uma </w:t>
      </w:r>
      <w:r w:rsidR="00AD42E3" w:rsidRPr="009E2740">
        <w:rPr>
          <w:rFonts w:ascii="Times New Roman" w:hAnsi="Times New Roman" w:cs="Times New Roman"/>
          <w:i/>
          <w:lang w:val="pt-BR"/>
        </w:rPr>
        <w:t>dumm</w:t>
      </w:r>
      <w:r w:rsidRPr="009E2740">
        <w:rPr>
          <w:rFonts w:ascii="Times New Roman" w:hAnsi="Times New Roman" w:cs="Times New Roman"/>
          <w:i/>
          <w:lang w:val="pt-BR"/>
        </w:rPr>
        <w:t>y</w:t>
      </w:r>
      <w:r w:rsidR="00AD42E3" w:rsidRPr="009E2740">
        <w:rPr>
          <w:rFonts w:ascii="Times New Roman" w:hAnsi="Times New Roman" w:cs="Times New Roman"/>
          <w:lang w:val="pt-BR"/>
        </w:rPr>
        <w:t xml:space="preserve"> para o</w:t>
      </w:r>
      <w:r w:rsidRPr="009E2740">
        <w:rPr>
          <w:rFonts w:ascii="Times New Roman" w:hAnsi="Times New Roman" w:cs="Times New Roman"/>
          <w:lang w:val="pt-BR"/>
        </w:rPr>
        <w:t xml:space="preserve"> período</w:t>
      </w:r>
      <w:r w:rsidR="00AD42E3" w:rsidRPr="009E2740">
        <w:rPr>
          <w:rFonts w:ascii="Times New Roman" w:hAnsi="Times New Roman" w:cs="Times New Roman"/>
          <w:lang w:val="pt-BR"/>
        </w:rPr>
        <w:t xml:space="preserve"> pós-2008</w:t>
      </w:r>
      <w:r w:rsidRPr="009E2740">
        <w:rPr>
          <w:rFonts w:ascii="Times New Roman" w:hAnsi="Times New Roman" w:cs="Times New Roman"/>
          <w:lang w:val="pt-BR"/>
        </w:rPr>
        <w:t xml:space="preserve">. Finalmente, no interesse de se verificar o impacto econômico da </w:t>
      </w:r>
      <w:r w:rsidR="008C67A1" w:rsidRPr="009E2740">
        <w:rPr>
          <w:rFonts w:ascii="Times New Roman" w:hAnsi="Times New Roman" w:cs="Times New Roman"/>
          <w:lang w:val="pt-BR"/>
        </w:rPr>
        <w:t>Lei de Responsabilidade Fiscal</w:t>
      </w:r>
      <w:r w:rsidR="009E29C7" w:rsidRPr="009E2740">
        <w:rPr>
          <w:rFonts w:ascii="Times New Roman" w:hAnsi="Times New Roman" w:cs="Times New Roman"/>
          <w:lang w:val="pt-BR"/>
        </w:rPr>
        <w:t xml:space="preserve"> (doravante, LRF)</w:t>
      </w:r>
      <w:r w:rsidRPr="009E2740">
        <w:rPr>
          <w:rFonts w:ascii="Times New Roman" w:hAnsi="Times New Roman" w:cs="Times New Roman"/>
          <w:lang w:val="pt-BR"/>
        </w:rPr>
        <w:t xml:space="preserve">, foi criada uma </w:t>
      </w:r>
      <w:r w:rsidRPr="009E2740">
        <w:rPr>
          <w:rFonts w:ascii="Times New Roman" w:hAnsi="Times New Roman" w:cs="Times New Roman"/>
          <w:i/>
          <w:lang w:val="pt-BR"/>
        </w:rPr>
        <w:t>dummy</w:t>
      </w:r>
      <w:r w:rsidRPr="009E2740">
        <w:rPr>
          <w:rFonts w:ascii="Times New Roman" w:hAnsi="Times New Roman" w:cs="Times New Roman"/>
          <w:lang w:val="pt-BR"/>
        </w:rPr>
        <w:t xml:space="preserve"> para a mesma, </w:t>
      </w:r>
      <w:r w:rsidR="008C67A1" w:rsidRPr="009E2740">
        <w:rPr>
          <w:rFonts w:ascii="Times New Roman" w:hAnsi="Times New Roman" w:cs="Times New Roman"/>
          <w:lang w:val="pt-BR"/>
        </w:rPr>
        <w:t>a partir de 2000</w:t>
      </w:r>
      <w:r w:rsidR="00AD42E3" w:rsidRPr="009E2740">
        <w:rPr>
          <w:rFonts w:ascii="Times New Roman" w:hAnsi="Times New Roman" w:cs="Times New Roman"/>
          <w:lang w:val="pt-BR"/>
        </w:rPr>
        <w:t xml:space="preserve">. </w:t>
      </w:r>
    </w:p>
    <w:p w14:paraId="4A93BEED" w14:textId="566BEC04" w:rsidR="00AD42E3" w:rsidRPr="009E2740" w:rsidRDefault="00364B33"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De todas, apenas </w:t>
      </w:r>
      <w:r w:rsidR="008C67A1" w:rsidRPr="009E2740">
        <w:rPr>
          <w:rFonts w:ascii="Times New Roman" w:hAnsi="Times New Roman" w:cs="Times New Roman"/>
          <w:lang w:val="pt-BR"/>
        </w:rPr>
        <w:t>esta última mostrou</w:t>
      </w:r>
      <w:r w:rsidRPr="009E2740">
        <w:rPr>
          <w:rFonts w:ascii="Times New Roman" w:hAnsi="Times New Roman" w:cs="Times New Roman"/>
          <w:lang w:val="pt-BR"/>
        </w:rPr>
        <w:t xml:space="preserve">-se estatisticamente </w:t>
      </w:r>
      <w:r w:rsidR="008C67A1" w:rsidRPr="009E2740">
        <w:rPr>
          <w:rFonts w:ascii="Times New Roman" w:hAnsi="Times New Roman" w:cs="Times New Roman"/>
          <w:lang w:val="pt-BR"/>
        </w:rPr>
        <w:t>significativa</w:t>
      </w:r>
      <w:r w:rsidRPr="009E2740">
        <w:rPr>
          <w:rFonts w:ascii="Times New Roman" w:hAnsi="Times New Roman" w:cs="Times New Roman"/>
          <w:lang w:val="pt-BR"/>
        </w:rPr>
        <w:t xml:space="preserve"> aos níveis usuais</w:t>
      </w:r>
      <w:r w:rsidR="008C67A1" w:rsidRPr="009E2740">
        <w:rPr>
          <w:rFonts w:ascii="Times New Roman" w:hAnsi="Times New Roman" w:cs="Times New Roman"/>
          <w:lang w:val="pt-BR"/>
        </w:rPr>
        <w:t xml:space="preserve"> e, portanto, foi m</w:t>
      </w:r>
      <w:r w:rsidRPr="009E2740">
        <w:rPr>
          <w:rFonts w:ascii="Times New Roman" w:hAnsi="Times New Roman" w:cs="Times New Roman"/>
          <w:lang w:val="pt-BR"/>
        </w:rPr>
        <w:t>antida no ARDL</w:t>
      </w:r>
      <w:r w:rsidR="008C67A1" w:rsidRPr="009E2740">
        <w:rPr>
          <w:rFonts w:ascii="Times New Roman" w:hAnsi="Times New Roman" w:cs="Times New Roman"/>
          <w:lang w:val="pt-BR"/>
        </w:rPr>
        <w:t>.</w:t>
      </w:r>
      <w:r w:rsidR="00AD42E3" w:rsidRPr="009E2740">
        <w:rPr>
          <w:rFonts w:ascii="Times New Roman" w:hAnsi="Times New Roman" w:cs="Times New Roman"/>
          <w:lang w:val="pt-BR"/>
        </w:rPr>
        <w:t xml:space="preserve"> </w:t>
      </w:r>
      <w:r w:rsidRPr="009E2740">
        <w:rPr>
          <w:rFonts w:ascii="Times New Roman" w:hAnsi="Times New Roman" w:cs="Times New Roman"/>
          <w:lang w:val="pt-BR"/>
        </w:rPr>
        <w:t>A equação (10), inicialmente, foi especificada com e sem tendência determinista, mas esta última mostrou problemas de autocorrelação dos resíduos, motivo pelo qual optou-se pela estimação com a tendência. Os resultados iniciais encontram-se a seguir</w:t>
      </w:r>
      <w:r w:rsidR="002D53D1" w:rsidRPr="009E2740">
        <w:rPr>
          <w:rFonts w:ascii="Times New Roman" w:hAnsi="Times New Roman" w:cs="Times New Roman"/>
          <w:lang w:val="pt-BR"/>
        </w:rPr>
        <w:t xml:space="preserve"> (Tabela 2)</w:t>
      </w:r>
      <w:r w:rsidRPr="009E2740">
        <w:rPr>
          <w:rFonts w:ascii="Times New Roman" w:hAnsi="Times New Roman" w:cs="Times New Roman"/>
          <w:lang w:val="pt-BR"/>
        </w:rPr>
        <w:t>.</w:t>
      </w:r>
    </w:p>
    <w:p w14:paraId="0E357016" w14:textId="77777777" w:rsidR="00336EFF" w:rsidRPr="009E2740" w:rsidRDefault="00336EFF" w:rsidP="009E2740">
      <w:pPr>
        <w:autoSpaceDE w:val="0"/>
        <w:autoSpaceDN w:val="0"/>
        <w:adjustRightInd w:val="0"/>
        <w:spacing w:after="0" w:line="240" w:lineRule="auto"/>
        <w:rPr>
          <w:rFonts w:ascii="Times New Roman" w:hAnsi="Times New Roman" w:cs="Times New Roman"/>
          <w:sz w:val="18"/>
          <w:szCs w:val="18"/>
          <w:lang w:val="pt-BR"/>
        </w:rPr>
      </w:pPr>
    </w:p>
    <w:p w14:paraId="7AC0E806" w14:textId="77777777" w:rsidR="009D5465" w:rsidRPr="009E2740" w:rsidRDefault="00257DD0" w:rsidP="009E2740">
      <w:pPr>
        <w:spacing w:after="0" w:line="240" w:lineRule="auto"/>
        <w:jc w:val="center"/>
        <w:rPr>
          <w:rFonts w:ascii="Times New Roman" w:hAnsi="Times New Roman" w:cs="Times New Roman"/>
          <w:lang w:val="pt-BR"/>
        </w:rPr>
      </w:pPr>
      <w:r w:rsidRPr="009E2740">
        <w:rPr>
          <w:rFonts w:ascii="Times New Roman" w:hAnsi="Times New Roman" w:cs="Times New Roman"/>
          <w:lang w:val="pt-BR"/>
        </w:rPr>
        <w:t>Tabela 2 – Modelo ARDL (1,4,1) tendo LPIB como variável dependente</w:t>
      </w:r>
    </w:p>
    <w:tbl>
      <w:tblPr>
        <w:tblW w:w="8380" w:type="dxa"/>
        <w:jc w:val="center"/>
        <w:tblCellMar>
          <w:left w:w="70" w:type="dxa"/>
          <w:right w:w="70" w:type="dxa"/>
        </w:tblCellMar>
        <w:tblLook w:val="04A0" w:firstRow="1" w:lastRow="0" w:firstColumn="1" w:lastColumn="0" w:noHBand="0" w:noVBand="1"/>
      </w:tblPr>
      <w:tblGrid>
        <w:gridCol w:w="1900"/>
        <w:gridCol w:w="1860"/>
        <w:gridCol w:w="1580"/>
        <w:gridCol w:w="1480"/>
        <w:gridCol w:w="1560"/>
      </w:tblGrid>
      <w:tr w:rsidR="008C4FAA" w:rsidRPr="009E2740" w14:paraId="5B25EA3B" w14:textId="77777777" w:rsidTr="007D1E87">
        <w:trPr>
          <w:trHeight w:val="300"/>
          <w:jc w:val="center"/>
        </w:trPr>
        <w:tc>
          <w:tcPr>
            <w:tcW w:w="1900" w:type="dxa"/>
            <w:tcBorders>
              <w:top w:val="single" w:sz="4" w:space="0" w:color="auto"/>
              <w:left w:val="nil"/>
              <w:bottom w:val="single" w:sz="4" w:space="0" w:color="auto"/>
              <w:right w:val="nil"/>
            </w:tcBorders>
            <w:shd w:val="clear" w:color="auto" w:fill="auto"/>
            <w:vAlign w:val="center"/>
            <w:hideMark/>
          </w:tcPr>
          <w:p w14:paraId="559218A7" w14:textId="77777777" w:rsidR="007D1E87" w:rsidRPr="009E2740" w:rsidRDefault="007D1E87"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Variável</w:t>
            </w:r>
          </w:p>
        </w:tc>
        <w:tc>
          <w:tcPr>
            <w:tcW w:w="1860" w:type="dxa"/>
            <w:tcBorders>
              <w:top w:val="single" w:sz="4" w:space="0" w:color="auto"/>
              <w:left w:val="nil"/>
              <w:bottom w:val="single" w:sz="4" w:space="0" w:color="auto"/>
              <w:right w:val="nil"/>
            </w:tcBorders>
            <w:shd w:val="clear" w:color="auto" w:fill="auto"/>
            <w:vAlign w:val="center"/>
            <w:hideMark/>
          </w:tcPr>
          <w:p w14:paraId="60C89CDA" w14:textId="77777777" w:rsidR="007D1E87" w:rsidRPr="009E2740" w:rsidRDefault="007D1E87"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Coeficiente</w:t>
            </w:r>
          </w:p>
        </w:tc>
        <w:tc>
          <w:tcPr>
            <w:tcW w:w="1580" w:type="dxa"/>
            <w:tcBorders>
              <w:top w:val="single" w:sz="4" w:space="0" w:color="auto"/>
              <w:left w:val="nil"/>
              <w:bottom w:val="single" w:sz="4" w:space="0" w:color="auto"/>
              <w:right w:val="nil"/>
            </w:tcBorders>
            <w:shd w:val="clear" w:color="auto" w:fill="auto"/>
            <w:vAlign w:val="center"/>
            <w:hideMark/>
          </w:tcPr>
          <w:p w14:paraId="0B363D67" w14:textId="77777777" w:rsidR="007D1E87" w:rsidRPr="009E2740" w:rsidRDefault="007D1E87"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Erro Padrão</w:t>
            </w:r>
          </w:p>
        </w:tc>
        <w:tc>
          <w:tcPr>
            <w:tcW w:w="1480" w:type="dxa"/>
            <w:tcBorders>
              <w:top w:val="single" w:sz="4" w:space="0" w:color="auto"/>
              <w:left w:val="nil"/>
              <w:bottom w:val="single" w:sz="4" w:space="0" w:color="auto"/>
              <w:right w:val="nil"/>
            </w:tcBorders>
            <w:shd w:val="clear" w:color="auto" w:fill="auto"/>
            <w:vAlign w:val="center"/>
            <w:hideMark/>
          </w:tcPr>
          <w:p w14:paraId="3ADE429A" w14:textId="77777777" w:rsidR="007D1E87" w:rsidRPr="009E2740" w:rsidRDefault="007D1E87"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Estatística t</w:t>
            </w:r>
          </w:p>
        </w:tc>
        <w:tc>
          <w:tcPr>
            <w:tcW w:w="1560" w:type="dxa"/>
            <w:tcBorders>
              <w:top w:val="single" w:sz="4" w:space="0" w:color="auto"/>
              <w:left w:val="nil"/>
              <w:bottom w:val="single" w:sz="4" w:space="0" w:color="auto"/>
              <w:right w:val="nil"/>
            </w:tcBorders>
            <w:shd w:val="clear" w:color="auto" w:fill="auto"/>
            <w:vAlign w:val="center"/>
            <w:hideMark/>
          </w:tcPr>
          <w:p w14:paraId="7BADF1E5" w14:textId="77777777" w:rsidR="007D1E87" w:rsidRPr="009E2740" w:rsidRDefault="007D1E87"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P-Valor</w:t>
            </w:r>
          </w:p>
        </w:tc>
      </w:tr>
      <w:tr w:rsidR="008C4FAA" w:rsidRPr="009E2740" w14:paraId="1CE5AB6C" w14:textId="77777777" w:rsidTr="007D1E87">
        <w:trPr>
          <w:trHeight w:val="300"/>
          <w:jc w:val="center"/>
        </w:trPr>
        <w:tc>
          <w:tcPr>
            <w:tcW w:w="1900" w:type="dxa"/>
            <w:tcBorders>
              <w:top w:val="nil"/>
              <w:left w:val="nil"/>
              <w:bottom w:val="nil"/>
              <w:right w:val="nil"/>
            </w:tcBorders>
            <w:shd w:val="clear" w:color="auto" w:fill="auto"/>
            <w:vAlign w:val="center"/>
            <w:hideMark/>
          </w:tcPr>
          <w:p w14:paraId="5897C601"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LPIB(-1)</w:t>
            </w:r>
          </w:p>
        </w:tc>
        <w:tc>
          <w:tcPr>
            <w:tcW w:w="1860" w:type="dxa"/>
            <w:tcBorders>
              <w:top w:val="nil"/>
              <w:left w:val="nil"/>
              <w:bottom w:val="nil"/>
              <w:right w:val="nil"/>
            </w:tcBorders>
            <w:shd w:val="clear" w:color="auto" w:fill="auto"/>
            <w:vAlign w:val="center"/>
            <w:hideMark/>
          </w:tcPr>
          <w:p w14:paraId="5193F5C5"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0.74</w:t>
            </w:r>
          </w:p>
        </w:tc>
        <w:tc>
          <w:tcPr>
            <w:tcW w:w="1580" w:type="dxa"/>
            <w:tcBorders>
              <w:top w:val="nil"/>
              <w:left w:val="nil"/>
              <w:bottom w:val="nil"/>
              <w:right w:val="nil"/>
            </w:tcBorders>
            <w:shd w:val="clear" w:color="auto" w:fill="auto"/>
            <w:vAlign w:val="center"/>
            <w:hideMark/>
          </w:tcPr>
          <w:p w14:paraId="34486580"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0.05</w:t>
            </w:r>
          </w:p>
        </w:tc>
        <w:tc>
          <w:tcPr>
            <w:tcW w:w="1480" w:type="dxa"/>
            <w:tcBorders>
              <w:top w:val="nil"/>
              <w:left w:val="nil"/>
              <w:bottom w:val="nil"/>
              <w:right w:val="nil"/>
            </w:tcBorders>
            <w:shd w:val="clear" w:color="auto" w:fill="auto"/>
            <w:vAlign w:val="center"/>
            <w:hideMark/>
          </w:tcPr>
          <w:p w14:paraId="586ABEA8"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15.07</w:t>
            </w:r>
          </w:p>
        </w:tc>
        <w:tc>
          <w:tcPr>
            <w:tcW w:w="1560" w:type="dxa"/>
            <w:tcBorders>
              <w:top w:val="nil"/>
              <w:left w:val="nil"/>
              <w:bottom w:val="nil"/>
              <w:right w:val="nil"/>
            </w:tcBorders>
            <w:shd w:val="clear" w:color="auto" w:fill="auto"/>
            <w:vAlign w:val="center"/>
            <w:hideMark/>
          </w:tcPr>
          <w:p w14:paraId="12212719"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4F8D77C9" w14:textId="77777777" w:rsidTr="007D1E87">
        <w:trPr>
          <w:trHeight w:val="300"/>
          <w:jc w:val="center"/>
        </w:trPr>
        <w:tc>
          <w:tcPr>
            <w:tcW w:w="1900" w:type="dxa"/>
            <w:tcBorders>
              <w:top w:val="nil"/>
              <w:left w:val="nil"/>
              <w:bottom w:val="nil"/>
              <w:right w:val="nil"/>
            </w:tcBorders>
            <w:shd w:val="clear" w:color="auto" w:fill="auto"/>
            <w:vAlign w:val="center"/>
            <w:hideMark/>
          </w:tcPr>
          <w:p w14:paraId="31EE10B2"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LNCARGA</w:t>
            </w:r>
          </w:p>
        </w:tc>
        <w:tc>
          <w:tcPr>
            <w:tcW w:w="1860" w:type="dxa"/>
            <w:tcBorders>
              <w:top w:val="nil"/>
              <w:left w:val="nil"/>
              <w:bottom w:val="nil"/>
              <w:right w:val="nil"/>
            </w:tcBorders>
            <w:shd w:val="clear" w:color="auto" w:fill="auto"/>
            <w:vAlign w:val="center"/>
            <w:hideMark/>
          </w:tcPr>
          <w:p w14:paraId="15035AED"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0.54</w:t>
            </w:r>
          </w:p>
        </w:tc>
        <w:tc>
          <w:tcPr>
            <w:tcW w:w="1580" w:type="dxa"/>
            <w:tcBorders>
              <w:top w:val="nil"/>
              <w:left w:val="nil"/>
              <w:bottom w:val="nil"/>
              <w:right w:val="nil"/>
            </w:tcBorders>
            <w:shd w:val="clear" w:color="auto" w:fill="auto"/>
            <w:vAlign w:val="center"/>
            <w:hideMark/>
          </w:tcPr>
          <w:p w14:paraId="3CC3FCE8"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0.27</w:t>
            </w:r>
          </w:p>
        </w:tc>
        <w:tc>
          <w:tcPr>
            <w:tcW w:w="1480" w:type="dxa"/>
            <w:tcBorders>
              <w:top w:val="nil"/>
              <w:left w:val="nil"/>
              <w:bottom w:val="nil"/>
              <w:right w:val="nil"/>
            </w:tcBorders>
            <w:shd w:val="clear" w:color="auto" w:fill="auto"/>
            <w:vAlign w:val="center"/>
            <w:hideMark/>
          </w:tcPr>
          <w:p w14:paraId="45CA1CB5"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2.00</w:t>
            </w:r>
          </w:p>
        </w:tc>
        <w:tc>
          <w:tcPr>
            <w:tcW w:w="1560" w:type="dxa"/>
            <w:tcBorders>
              <w:top w:val="nil"/>
              <w:left w:val="nil"/>
              <w:bottom w:val="nil"/>
              <w:right w:val="nil"/>
            </w:tcBorders>
            <w:shd w:val="clear" w:color="auto" w:fill="auto"/>
            <w:vAlign w:val="center"/>
            <w:hideMark/>
          </w:tcPr>
          <w:p w14:paraId="75BC3014"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0.05</w:t>
            </w:r>
          </w:p>
        </w:tc>
      </w:tr>
      <w:tr w:rsidR="008C4FAA" w:rsidRPr="009E2740" w14:paraId="7290C02C" w14:textId="77777777" w:rsidTr="007D1E87">
        <w:trPr>
          <w:trHeight w:val="300"/>
          <w:jc w:val="center"/>
        </w:trPr>
        <w:tc>
          <w:tcPr>
            <w:tcW w:w="1900" w:type="dxa"/>
            <w:tcBorders>
              <w:top w:val="nil"/>
              <w:left w:val="nil"/>
              <w:bottom w:val="nil"/>
              <w:right w:val="nil"/>
            </w:tcBorders>
            <w:shd w:val="clear" w:color="auto" w:fill="auto"/>
            <w:vAlign w:val="center"/>
            <w:hideMark/>
          </w:tcPr>
          <w:p w14:paraId="01393210"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LNCARGA(-1)</w:t>
            </w:r>
          </w:p>
        </w:tc>
        <w:tc>
          <w:tcPr>
            <w:tcW w:w="1860" w:type="dxa"/>
            <w:tcBorders>
              <w:top w:val="nil"/>
              <w:left w:val="nil"/>
              <w:bottom w:val="nil"/>
              <w:right w:val="nil"/>
            </w:tcBorders>
            <w:shd w:val="clear" w:color="auto" w:fill="auto"/>
            <w:vAlign w:val="center"/>
            <w:hideMark/>
          </w:tcPr>
          <w:p w14:paraId="0A4253B3"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0.60</w:t>
            </w:r>
          </w:p>
        </w:tc>
        <w:tc>
          <w:tcPr>
            <w:tcW w:w="1580" w:type="dxa"/>
            <w:tcBorders>
              <w:top w:val="nil"/>
              <w:left w:val="nil"/>
              <w:bottom w:val="nil"/>
              <w:right w:val="nil"/>
            </w:tcBorders>
            <w:shd w:val="clear" w:color="auto" w:fill="auto"/>
            <w:vAlign w:val="center"/>
            <w:hideMark/>
          </w:tcPr>
          <w:p w14:paraId="2D91C33C"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0.18</w:t>
            </w:r>
          </w:p>
        </w:tc>
        <w:tc>
          <w:tcPr>
            <w:tcW w:w="1480" w:type="dxa"/>
            <w:tcBorders>
              <w:top w:val="nil"/>
              <w:left w:val="nil"/>
              <w:bottom w:val="nil"/>
              <w:right w:val="nil"/>
            </w:tcBorders>
            <w:shd w:val="clear" w:color="auto" w:fill="auto"/>
            <w:vAlign w:val="center"/>
            <w:hideMark/>
          </w:tcPr>
          <w:p w14:paraId="4BFBA588"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3.25</w:t>
            </w:r>
          </w:p>
        </w:tc>
        <w:tc>
          <w:tcPr>
            <w:tcW w:w="1560" w:type="dxa"/>
            <w:tcBorders>
              <w:top w:val="nil"/>
              <w:left w:val="nil"/>
              <w:bottom w:val="nil"/>
              <w:right w:val="nil"/>
            </w:tcBorders>
            <w:shd w:val="clear" w:color="auto" w:fill="auto"/>
            <w:vAlign w:val="center"/>
            <w:hideMark/>
          </w:tcPr>
          <w:p w14:paraId="100A349A"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16F91BBB" w14:textId="77777777" w:rsidTr="007D1E87">
        <w:trPr>
          <w:trHeight w:val="300"/>
          <w:jc w:val="center"/>
        </w:trPr>
        <w:tc>
          <w:tcPr>
            <w:tcW w:w="1900" w:type="dxa"/>
            <w:tcBorders>
              <w:top w:val="nil"/>
              <w:left w:val="nil"/>
              <w:bottom w:val="nil"/>
              <w:right w:val="nil"/>
            </w:tcBorders>
            <w:shd w:val="clear" w:color="auto" w:fill="auto"/>
            <w:vAlign w:val="center"/>
            <w:hideMark/>
          </w:tcPr>
          <w:p w14:paraId="36295C15"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LNCARGA(-2)</w:t>
            </w:r>
          </w:p>
        </w:tc>
        <w:tc>
          <w:tcPr>
            <w:tcW w:w="1860" w:type="dxa"/>
            <w:tcBorders>
              <w:top w:val="nil"/>
              <w:left w:val="nil"/>
              <w:bottom w:val="nil"/>
              <w:right w:val="nil"/>
            </w:tcBorders>
            <w:shd w:val="clear" w:color="auto" w:fill="auto"/>
            <w:vAlign w:val="center"/>
            <w:hideMark/>
          </w:tcPr>
          <w:p w14:paraId="6BBE7475"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0.01</w:t>
            </w:r>
          </w:p>
        </w:tc>
        <w:tc>
          <w:tcPr>
            <w:tcW w:w="1580" w:type="dxa"/>
            <w:tcBorders>
              <w:top w:val="nil"/>
              <w:left w:val="nil"/>
              <w:bottom w:val="nil"/>
              <w:right w:val="nil"/>
            </w:tcBorders>
            <w:shd w:val="clear" w:color="auto" w:fill="auto"/>
            <w:vAlign w:val="center"/>
            <w:hideMark/>
          </w:tcPr>
          <w:p w14:paraId="04869CC0"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0.04</w:t>
            </w:r>
          </w:p>
        </w:tc>
        <w:tc>
          <w:tcPr>
            <w:tcW w:w="1480" w:type="dxa"/>
            <w:tcBorders>
              <w:top w:val="nil"/>
              <w:left w:val="nil"/>
              <w:bottom w:val="nil"/>
              <w:right w:val="nil"/>
            </w:tcBorders>
            <w:shd w:val="clear" w:color="auto" w:fill="auto"/>
            <w:vAlign w:val="center"/>
            <w:hideMark/>
          </w:tcPr>
          <w:p w14:paraId="3B38291F"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0.26</w:t>
            </w:r>
          </w:p>
        </w:tc>
        <w:tc>
          <w:tcPr>
            <w:tcW w:w="1560" w:type="dxa"/>
            <w:tcBorders>
              <w:top w:val="nil"/>
              <w:left w:val="nil"/>
              <w:bottom w:val="nil"/>
              <w:right w:val="nil"/>
            </w:tcBorders>
            <w:shd w:val="clear" w:color="auto" w:fill="auto"/>
            <w:vAlign w:val="center"/>
            <w:hideMark/>
          </w:tcPr>
          <w:p w14:paraId="748E6D04"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0.80</w:t>
            </w:r>
          </w:p>
        </w:tc>
      </w:tr>
      <w:tr w:rsidR="008C4FAA" w:rsidRPr="009E2740" w14:paraId="3E320E4B" w14:textId="77777777" w:rsidTr="007D1E87">
        <w:trPr>
          <w:trHeight w:val="300"/>
          <w:jc w:val="center"/>
        </w:trPr>
        <w:tc>
          <w:tcPr>
            <w:tcW w:w="1900" w:type="dxa"/>
            <w:tcBorders>
              <w:top w:val="nil"/>
              <w:left w:val="nil"/>
              <w:bottom w:val="nil"/>
              <w:right w:val="nil"/>
            </w:tcBorders>
            <w:shd w:val="clear" w:color="auto" w:fill="auto"/>
            <w:vAlign w:val="center"/>
            <w:hideMark/>
          </w:tcPr>
          <w:p w14:paraId="6DA99059"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LNCARGA(-3)</w:t>
            </w:r>
          </w:p>
        </w:tc>
        <w:tc>
          <w:tcPr>
            <w:tcW w:w="1860" w:type="dxa"/>
            <w:tcBorders>
              <w:top w:val="nil"/>
              <w:left w:val="nil"/>
              <w:bottom w:val="nil"/>
              <w:right w:val="nil"/>
            </w:tcBorders>
            <w:shd w:val="clear" w:color="auto" w:fill="auto"/>
            <w:vAlign w:val="center"/>
            <w:hideMark/>
          </w:tcPr>
          <w:p w14:paraId="1D13A81C"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0.19</w:t>
            </w:r>
          </w:p>
        </w:tc>
        <w:tc>
          <w:tcPr>
            <w:tcW w:w="1580" w:type="dxa"/>
            <w:tcBorders>
              <w:top w:val="nil"/>
              <w:left w:val="nil"/>
              <w:bottom w:val="nil"/>
              <w:right w:val="nil"/>
            </w:tcBorders>
            <w:shd w:val="clear" w:color="auto" w:fill="auto"/>
            <w:vAlign w:val="center"/>
            <w:hideMark/>
          </w:tcPr>
          <w:p w14:paraId="162504BA"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0.05</w:t>
            </w:r>
          </w:p>
        </w:tc>
        <w:tc>
          <w:tcPr>
            <w:tcW w:w="1480" w:type="dxa"/>
            <w:tcBorders>
              <w:top w:val="nil"/>
              <w:left w:val="nil"/>
              <w:bottom w:val="nil"/>
              <w:right w:val="nil"/>
            </w:tcBorders>
            <w:shd w:val="clear" w:color="auto" w:fill="auto"/>
            <w:vAlign w:val="center"/>
            <w:hideMark/>
          </w:tcPr>
          <w:p w14:paraId="25332325"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3.92</w:t>
            </w:r>
          </w:p>
        </w:tc>
        <w:tc>
          <w:tcPr>
            <w:tcW w:w="1560" w:type="dxa"/>
            <w:tcBorders>
              <w:top w:val="nil"/>
              <w:left w:val="nil"/>
              <w:bottom w:val="nil"/>
              <w:right w:val="nil"/>
            </w:tcBorders>
            <w:shd w:val="clear" w:color="auto" w:fill="auto"/>
            <w:vAlign w:val="center"/>
            <w:hideMark/>
          </w:tcPr>
          <w:p w14:paraId="35D81889"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7854F127" w14:textId="77777777" w:rsidTr="007D1E87">
        <w:trPr>
          <w:trHeight w:val="300"/>
          <w:jc w:val="center"/>
        </w:trPr>
        <w:tc>
          <w:tcPr>
            <w:tcW w:w="1900" w:type="dxa"/>
            <w:tcBorders>
              <w:top w:val="nil"/>
              <w:left w:val="nil"/>
              <w:bottom w:val="nil"/>
              <w:right w:val="nil"/>
            </w:tcBorders>
            <w:shd w:val="clear" w:color="auto" w:fill="auto"/>
            <w:vAlign w:val="center"/>
            <w:hideMark/>
          </w:tcPr>
          <w:p w14:paraId="215B3AE0"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LNCARGA(-4)</w:t>
            </w:r>
          </w:p>
        </w:tc>
        <w:tc>
          <w:tcPr>
            <w:tcW w:w="1860" w:type="dxa"/>
            <w:tcBorders>
              <w:top w:val="nil"/>
              <w:left w:val="nil"/>
              <w:bottom w:val="nil"/>
              <w:right w:val="nil"/>
            </w:tcBorders>
            <w:shd w:val="clear" w:color="auto" w:fill="auto"/>
            <w:vAlign w:val="center"/>
            <w:hideMark/>
          </w:tcPr>
          <w:p w14:paraId="43EE5EDE"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0.20</w:t>
            </w:r>
          </w:p>
        </w:tc>
        <w:tc>
          <w:tcPr>
            <w:tcW w:w="1580" w:type="dxa"/>
            <w:tcBorders>
              <w:top w:val="nil"/>
              <w:left w:val="nil"/>
              <w:bottom w:val="nil"/>
              <w:right w:val="nil"/>
            </w:tcBorders>
            <w:shd w:val="clear" w:color="auto" w:fill="auto"/>
            <w:vAlign w:val="center"/>
            <w:hideMark/>
          </w:tcPr>
          <w:p w14:paraId="2ABA4D08"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0.07</w:t>
            </w:r>
          </w:p>
        </w:tc>
        <w:tc>
          <w:tcPr>
            <w:tcW w:w="1480" w:type="dxa"/>
            <w:tcBorders>
              <w:top w:val="nil"/>
              <w:left w:val="nil"/>
              <w:bottom w:val="nil"/>
              <w:right w:val="nil"/>
            </w:tcBorders>
            <w:shd w:val="clear" w:color="auto" w:fill="auto"/>
            <w:vAlign w:val="center"/>
            <w:hideMark/>
          </w:tcPr>
          <w:p w14:paraId="4829F257"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2.73</w:t>
            </w:r>
          </w:p>
        </w:tc>
        <w:tc>
          <w:tcPr>
            <w:tcW w:w="1560" w:type="dxa"/>
            <w:tcBorders>
              <w:top w:val="nil"/>
              <w:left w:val="nil"/>
              <w:bottom w:val="nil"/>
              <w:right w:val="nil"/>
            </w:tcBorders>
            <w:shd w:val="clear" w:color="auto" w:fill="auto"/>
            <w:vAlign w:val="center"/>
            <w:hideMark/>
          </w:tcPr>
          <w:p w14:paraId="0C42C38F"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0.01</w:t>
            </w:r>
          </w:p>
        </w:tc>
      </w:tr>
      <w:tr w:rsidR="008C4FAA" w:rsidRPr="009E2740" w14:paraId="49A9338E" w14:textId="77777777" w:rsidTr="007D1E87">
        <w:trPr>
          <w:trHeight w:val="300"/>
          <w:jc w:val="center"/>
        </w:trPr>
        <w:tc>
          <w:tcPr>
            <w:tcW w:w="1900" w:type="dxa"/>
            <w:tcBorders>
              <w:top w:val="nil"/>
              <w:left w:val="nil"/>
              <w:bottom w:val="nil"/>
              <w:right w:val="nil"/>
            </w:tcBorders>
            <w:shd w:val="clear" w:color="auto" w:fill="auto"/>
            <w:vAlign w:val="center"/>
            <w:hideMark/>
          </w:tcPr>
          <w:p w14:paraId="6DB46BD0"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LNPRIV</w:t>
            </w:r>
          </w:p>
        </w:tc>
        <w:tc>
          <w:tcPr>
            <w:tcW w:w="1860" w:type="dxa"/>
            <w:tcBorders>
              <w:top w:val="nil"/>
              <w:left w:val="nil"/>
              <w:bottom w:val="nil"/>
              <w:right w:val="nil"/>
            </w:tcBorders>
            <w:shd w:val="clear" w:color="auto" w:fill="auto"/>
            <w:vAlign w:val="center"/>
            <w:hideMark/>
          </w:tcPr>
          <w:p w14:paraId="3D98F423"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2.20</w:t>
            </w:r>
          </w:p>
        </w:tc>
        <w:tc>
          <w:tcPr>
            <w:tcW w:w="1580" w:type="dxa"/>
            <w:tcBorders>
              <w:top w:val="nil"/>
              <w:left w:val="nil"/>
              <w:bottom w:val="nil"/>
              <w:right w:val="nil"/>
            </w:tcBorders>
            <w:shd w:val="clear" w:color="auto" w:fill="auto"/>
            <w:vAlign w:val="center"/>
            <w:hideMark/>
          </w:tcPr>
          <w:p w14:paraId="2FDABA02"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0.97</w:t>
            </w:r>
          </w:p>
        </w:tc>
        <w:tc>
          <w:tcPr>
            <w:tcW w:w="1480" w:type="dxa"/>
            <w:tcBorders>
              <w:top w:val="nil"/>
              <w:left w:val="nil"/>
              <w:bottom w:val="nil"/>
              <w:right w:val="nil"/>
            </w:tcBorders>
            <w:shd w:val="clear" w:color="auto" w:fill="auto"/>
            <w:vAlign w:val="center"/>
            <w:hideMark/>
          </w:tcPr>
          <w:p w14:paraId="751EA9A7"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2.27</w:t>
            </w:r>
          </w:p>
        </w:tc>
        <w:tc>
          <w:tcPr>
            <w:tcW w:w="1560" w:type="dxa"/>
            <w:tcBorders>
              <w:top w:val="nil"/>
              <w:left w:val="nil"/>
              <w:bottom w:val="nil"/>
              <w:right w:val="nil"/>
            </w:tcBorders>
            <w:shd w:val="clear" w:color="auto" w:fill="auto"/>
            <w:vAlign w:val="center"/>
            <w:hideMark/>
          </w:tcPr>
          <w:p w14:paraId="345F5E16"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0.03</w:t>
            </w:r>
          </w:p>
        </w:tc>
      </w:tr>
      <w:tr w:rsidR="008C4FAA" w:rsidRPr="009E2740" w14:paraId="49AA9E34" w14:textId="77777777" w:rsidTr="007D1E87">
        <w:trPr>
          <w:trHeight w:val="300"/>
          <w:jc w:val="center"/>
        </w:trPr>
        <w:tc>
          <w:tcPr>
            <w:tcW w:w="1900" w:type="dxa"/>
            <w:tcBorders>
              <w:top w:val="nil"/>
              <w:left w:val="nil"/>
              <w:bottom w:val="nil"/>
              <w:right w:val="nil"/>
            </w:tcBorders>
            <w:shd w:val="clear" w:color="auto" w:fill="auto"/>
            <w:vAlign w:val="center"/>
            <w:hideMark/>
          </w:tcPr>
          <w:p w14:paraId="7B2BA5F3"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LNPRIV(-1)</w:t>
            </w:r>
          </w:p>
        </w:tc>
        <w:tc>
          <w:tcPr>
            <w:tcW w:w="1860" w:type="dxa"/>
            <w:tcBorders>
              <w:top w:val="nil"/>
              <w:left w:val="nil"/>
              <w:bottom w:val="nil"/>
              <w:right w:val="nil"/>
            </w:tcBorders>
            <w:shd w:val="clear" w:color="auto" w:fill="auto"/>
            <w:vAlign w:val="center"/>
            <w:hideMark/>
          </w:tcPr>
          <w:p w14:paraId="548A5389"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1.67</w:t>
            </w:r>
          </w:p>
        </w:tc>
        <w:tc>
          <w:tcPr>
            <w:tcW w:w="1580" w:type="dxa"/>
            <w:tcBorders>
              <w:top w:val="nil"/>
              <w:left w:val="nil"/>
              <w:bottom w:val="nil"/>
              <w:right w:val="nil"/>
            </w:tcBorders>
            <w:shd w:val="clear" w:color="auto" w:fill="auto"/>
            <w:vAlign w:val="center"/>
            <w:hideMark/>
          </w:tcPr>
          <w:p w14:paraId="59B39D23"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0.55</w:t>
            </w:r>
          </w:p>
        </w:tc>
        <w:tc>
          <w:tcPr>
            <w:tcW w:w="1480" w:type="dxa"/>
            <w:tcBorders>
              <w:top w:val="nil"/>
              <w:left w:val="nil"/>
              <w:bottom w:val="nil"/>
              <w:right w:val="nil"/>
            </w:tcBorders>
            <w:shd w:val="clear" w:color="auto" w:fill="auto"/>
            <w:vAlign w:val="center"/>
            <w:hideMark/>
          </w:tcPr>
          <w:p w14:paraId="5AA036E8"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3.05</w:t>
            </w:r>
          </w:p>
        </w:tc>
        <w:tc>
          <w:tcPr>
            <w:tcW w:w="1560" w:type="dxa"/>
            <w:tcBorders>
              <w:top w:val="nil"/>
              <w:left w:val="nil"/>
              <w:bottom w:val="nil"/>
              <w:right w:val="nil"/>
            </w:tcBorders>
            <w:shd w:val="clear" w:color="auto" w:fill="auto"/>
            <w:vAlign w:val="center"/>
            <w:hideMark/>
          </w:tcPr>
          <w:p w14:paraId="4F675166"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val="center"/>
        </w:trPr>
        <w:tc>
          <w:tcPr>
            <w:tcW w:w="1900" w:type="dxa"/>
            <w:tcBorders>
              <w:top w:val="nil"/>
              <w:left w:val="nil"/>
              <w:bottom w:val="nil"/>
              <w:right w:val="nil"/>
            </w:tcBorders>
            <w:shd w:val="clear" w:color="auto" w:fill="auto"/>
            <w:vAlign w:val="center"/>
            <w:hideMark/>
          </w:tcPr>
          <w:p w14:paraId="31841D2A"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LRF</w:t>
            </w:r>
          </w:p>
        </w:tc>
        <w:tc>
          <w:tcPr>
            <w:tcW w:w="1860" w:type="dxa"/>
            <w:tcBorders>
              <w:top w:val="nil"/>
              <w:left w:val="nil"/>
              <w:bottom w:val="nil"/>
              <w:right w:val="nil"/>
            </w:tcBorders>
            <w:shd w:val="clear" w:color="auto" w:fill="auto"/>
            <w:vAlign w:val="center"/>
            <w:hideMark/>
          </w:tcPr>
          <w:p w14:paraId="345F99CB"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0.05</w:t>
            </w:r>
          </w:p>
        </w:tc>
        <w:tc>
          <w:tcPr>
            <w:tcW w:w="1580" w:type="dxa"/>
            <w:tcBorders>
              <w:top w:val="nil"/>
              <w:left w:val="nil"/>
              <w:bottom w:val="nil"/>
              <w:right w:val="nil"/>
            </w:tcBorders>
            <w:shd w:val="clear" w:color="auto" w:fill="auto"/>
            <w:vAlign w:val="center"/>
            <w:hideMark/>
          </w:tcPr>
          <w:p w14:paraId="529BC9CD"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0.02</w:t>
            </w:r>
          </w:p>
        </w:tc>
        <w:tc>
          <w:tcPr>
            <w:tcW w:w="1480" w:type="dxa"/>
            <w:tcBorders>
              <w:top w:val="nil"/>
              <w:left w:val="nil"/>
              <w:bottom w:val="nil"/>
              <w:right w:val="nil"/>
            </w:tcBorders>
            <w:shd w:val="clear" w:color="auto" w:fill="auto"/>
            <w:vAlign w:val="center"/>
            <w:hideMark/>
          </w:tcPr>
          <w:p w14:paraId="3D999B22"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2.43</w:t>
            </w:r>
          </w:p>
        </w:tc>
        <w:tc>
          <w:tcPr>
            <w:tcW w:w="1560" w:type="dxa"/>
            <w:tcBorders>
              <w:top w:val="nil"/>
              <w:left w:val="nil"/>
              <w:bottom w:val="nil"/>
              <w:right w:val="nil"/>
            </w:tcBorders>
            <w:shd w:val="clear" w:color="auto" w:fill="auto"/>
            <w:vAlign w:val="center"/>
            <w:hideMark/>
          </w:tcPr>
          <w:p w14:paraId="48E14323"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0.02</w:t>
            </w:r>
          </w:p>
        </w:tc>
      </w:tr>
      <w:tr w:rsidR="008C4FAA" w:rsidRPr="009E2740" w14:paraId="68A0356D" w14:textId="77777777" w:rsidTr="007D1E87">
        <w:trPr>
          <w:trHeight w:val="300"/>
          <w:jc w:val="center"/>
        </w:trPr>
        <w:tc>
          <w:tcPr>
            <w:tcW w:w="1900" w:type="dxa"/>
            <w:tcBorders>
              <w:top w:val="nil"/>
              <w:left w:val="nil"/>
              <w:bottom w:val="nil"/>
              <w:right w:val="nil"/>
            </w:tcBorders>
            <w:shd w:val="clear" w:color="auto" w:fill="auto"/>
            <w:vAlign w:val="center"/>
            <w:hideMark/>
          </w:tcPr>
          <w:p w14:paraId="2787AA81"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Constante</w:t>
            </w:r>
          </w:p>
        </w:tc>
        <w:tc>
          <w:tcPr>
            <w:tcW w:w="1860" w:type="dxa"/>
            <w:tcBorders>
              <w:top w:val="nil"/>
              <w:left w:val="nil"/>
              <w:bottom w:val="nil"/>
              <w:right w:val="nil"/>
            </w:tcBorders>
            <w:shd w:val="clear" w:color="auto" w:fill="auto"/>
            <w:vAlign w:val="center"/>
            <w:hideMark/>
          </w:tcPr>
          <w:p w14:paraId="1AA4EED5"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6.82</w:t>
            </w:r>
          </w:p>
        </w:tc>
        <w:tc>
          <w:tcPr>
            <w:tcW w:w="1580" w:type="dxa"/>
            <w:tcBorders>
              <w:top w:val="nil"/>
              <w:left w:val="nil"/>
              <w:bottom w:val="nil"/>
              <w:right w:val="nil"/>
            </w:tcBorders>
            <w:shd w:val="clear" w:color="auto" w:fill="auto"/>
            <w:vAlign w:val="center"/>
            <w:hideMark/>
          </w:tcPr>
          <w:p w14:paraId="446B1E4C"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1.31</w:t>
            </w:r>
          </w:p>
        </w:tc>
        <w:tc>
          <w:tcPr>
            <w:tcW w:w="1480" w:type="dxa"/>
            <w:tcBorders>
              <w:top w:val="nil"/>
              <w:left w:val="nil"/>
              <w:bottom w:val="nil"/>
              <w:right w:val="nil"/>
            </w:tcBorders>
            <w:shd w:val="clear" w:color="auto" w:fill="auto"/>
            <w:vAlign w:val="center"/>
            <w:hideMark/>
          </w:tcPr>
          <w:p w14:paraId="5C7616EF"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5.19</w:t>
            </w:r>
          </w:p>
        </w:tc>
        <w:tc>
          <w:tcPr>
            <w:tcW w:w="1560" w:type="dxa"/>
            <w:tcBorders>
              <w:top w:val="nil"/>
              <w:left w:val="nil"/>
              <w:bottom w:val="nil"/>
              <w:right w:val="nil"/>
            </w:tcBorders>
            <w:shd w:val="clear" w:color="auto" w:fill="auto"/>
            <w:vAlign w:val="center"/>
            <w:hideMark/>
          </w:tcPr>
          <w:p w14:paraId="395ABA0C"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1DA12F97" w14:textId="77777777" w:rsidTr="007D1E87">
        <w:trPr>
          <w:trHeight w:val="300"/>
          <w:jc w:val="center"/>
        </w:trPr>
        <w:tc>
          <w:tcPr>
            <w:tcW w:w="1900" w:type="dxa"/>
            <w:tcBorders>
              <w:top w:val="nil"/>
              <w:left w:val="nil"/>
              <w:bottom w:val="single" w:sz="4" w:space="0" w:color="auto"/>
              <w:right w:val="nil"/>
            </w:tcBorders>
            <w:shd w:val="clear" w:color="auto" w:fill="auto"/>
            <w:vAlign w:val="center"/>
            <w:hideMark/>
          </w:tcPr>
          <w:p w14:paraId="652E72FB"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Tendência</w:t>
            </w:r>
          </w:p>
        </w:tc>
        <w:tc>
          <w:tcPr>
            <w:tcW w:w="1860" w:type="dxa"/>
            <w:tcBorders>
              <w:top w:val="nil"/>
              <w:left w:val="nil"/>
              <w:bottom w:val="single" w:sz="4" w:space="0" w:color="auto"/>
              <w:right w:val="nil"/>
            </w:tcBorders>
            <w:shd w:val="clear" w:color="auto" w:fill="auto"/>
            <w:vAlign w:val="center"/>
            <w:hideMark/>
          </w:tcPr>
          <w:p w14:paraId="41FE05F6"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0.01</w:t>
            </w:r>
          </w:p>
        </w:tc>
        <w:tc>
          <w:tcPr>
            <w:tcW w:w="1580" w:type="dxa"/>
            <w:tcBorders>
              <w:top w:val="nil"/>
              <w:left w:val="nil"/>
              <w:bottom w:val="single" w:sz="4" w:space="0" w:color="auto"/>
              <w:right w:val="nil"/>
            </w:tcBorders>
            <w:shd w:val="clear" w:color="auto" w:fill="auto"/>
            <w:vAlign w:val="center"/>
            <w:hideMark/>
          </w:tcPr>
          <w:p w14:paraId="49379518"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c>
          <w:tcPr>
            <w:tcW w:w="1480" w:type="dxa"/>
            <w:tcBorders>
              <w:top w:val="nil"/>
              <w:left w:val="nil"/>
              <w:bottom w:val="single" w:sz="4" w:space="0" w:color="auto"/>
              <w:right w:val="nil"/>
            </w:tcBorders>
            <w:shd w:val="clear" w:color="auto" w:fill="auto"/>
            <w:vAlign w:val="center"/>
            <w:hideMark/>
          </w:tcPr>
          <w:p w14:paraId="745F94AE"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2.93</w:t>
            </w:r>
          </w:p>
        </w:tc>
        <w:tc>
          <w:tcPr>
            <w:tcW w:w="1560" w:type="dxa"/>
            <w:tcBorders>
              <w:top w:val="nil"/>
              <w:left w:val="nil"/>
              <w:bottom w:val="single" w:sz="4" w:space="0" w:color="auto"/>
              <w:right w:val="nil"/>
            </w:tcBorders>
            <w:shd w:val="clear" w:color="auto" w:fill="auto"/>
            <w:vAlign w:val="center"/>
            <w:hideMark/>
          </w:tcPr>
          <w:p w14:paraId="11D7C4AF"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0.01</w:t>
            </w:r>
          </w:p>
        </w:tc>
      </w:tr>
      <w:tr w:rsidR="008C4FAA" w:rsidRPr="009E2740" w14:paraId="4121CDE4" w14:textId="77777777" w:rsidTr="007D1E87">
        <w:trPr>
          <w:trHeight w:val="300"/>
          <w:jc w:val="center"/>
        </w:trPr>
        <w:tc>
          <w:tcPr>
            <w:tcW w:w="1900" w:type="dxa"/>
            <w:tcBorders>
              <w:top w:val="nil"/>
              <w:left w:val="nil"/>
              <w:bottom w:val="nil"/>
              <w:right w:val="nil"/>
            </w:tcBorders>
            <w:shd w:val="clear" w:color="auto" w:fill="auto"/>
            <w:vAlign w:val="center"/>
            <w:hideMark/>
          </w:tcPr>
          <w:p w14:paraId="4BAB684E"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R</w:t>
            </w:r>
            <w:r w:rsidRPr="009E2740">
              <w:rPr>
                <w:rFonts w:ascii="Times New Roman" w:eastAsia="Times New Roman" w:hAnsi="Times New Roman" w:cs="Times New Roman"/>
                <w:sz w:val="18"/>
                <w:szCs w:val="18"/>
                <w:vertAlign w:val="superscript"/>
                <w:lang w:eastAsia="pt-BR"/>
              </w:rPr>
              <w:t>2</w:t>
            </w:r>
          </w:p>
        </w:tc>
        <w:tc>
          <w:tcPr>
            <w:tcW w:w="1860" w:type="dxa"/>
            <w:tcBorders>
              <w:top w:val="nil"/>
              <w:left w:val="nil"/>
              <w:bottom w:val="nil"/>
              <w:right w:val="nil"/>
            </w:tcBorders>
            <w:shd w:val="clear" w:color="auto" w:fill="auto"/>
            <w:vAlign w:val="center"/>
            <w:hideMark/>
          </w:tcPr>
          <w:p w14:paraId="09CD57E0"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1.00</w:t>
            </w:r>
          </w:p>
        </w:tc>
        <w:tc>
          <w:tcPr>
            <w:tcW w:w="3060" w:type="dxa"/>
            <w:gridSpan w:val="2"/>
            <w:tcBorders>
              <w:top w:val="nil"/>
              <w:left w:val="nil"/>
              <w:bottom w:val="nil"/>
              <w:right w:val="nil"/>
            </w:tcBorders>
            <w:shd w:val="clear" w:color="auto" w:fill="auto"/>
            <w:vAlign w:val="center"/>
            <w:hideMark/>
          </w:tcPr>
          <w:p w14:paraId="25B0D031"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 xml:space="preserve">    AIC </w:t>
            </w:r>
          </w:p>
        </w:tc>
        <w:tc>
          <w:tcPr>
            <w:tcW w:w="1560" w:type="dxa"/>
            <w:tcBorders>
              <w:top w:val="nil"/>
              <w:left w:val="nil"/>
              <w:bottom w:val="nil"/>
              <w:right w:val="nil"/>
            </w:tcBorders>
            <w:shd w:val="clear" w:color="auto" w:fill="auto"/>
            <w:vAlign w:val="center"/>
            <w:hideMark/>
          </w:tcPr>
          <w:p w14:paraId="0B2FBAE6"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-4.61</w:t>
            </w:r>
          </w:p>
        </w:tc>
      </w:tr>
      <w:tr w:rsidR="008C4FAA" w:rsidRPr="009E2740" w14:paraId="15BD833C" w14:textId="77777777" w:rsidTr="007D1E87">
        <w:trPr>
          <w:trHeight w:val="300"/>
          <w:jc w:val="center"/>
        </w:trPr>
        <w:tc>
          <w:tcPr>
            <w:tcW w:w="1900" w:type="dxa"/>
            <w:tcBorders>
              <w:top w:val="nil"/>
              <w:left w:val="nil"/>
              <w:bottom w:val="nil"/>
              <w:right w:val="nil"/>
            </w:tcBorders>
            <w:shd w:val="clear" w:color="auto" w:fill="auto"/>
            <w:vAlign w:val="center"/>
            <w:hideMark/>
          </w:tcPr>
          <w:p w14:paraId="48E4707B"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Estatística F</w:t>
            </w:r>
          </w:p>
        </w:tc>
        <w:tc>
          <w:tcPr>
            <w:tcW w:w="1860" w:type="dxa"/>
            <w:tcBorders>
              <w:top w:val="nil"/>
              <w:left w:val="nil"/>
              <w:bottom w:val="nil"/>
              <w:right w:val="nil"/>
            </w:tcBorders>
            <w:shd w:val="clear" w:color="auto" w:fill="auto"/>
            <w:vAlign w:val="center"/>
            <w:hideMark/>
          </w:tcPr>
          <w:p w14:paraId="7EBBF18D"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9323.24</w:t>
            </w:r>
          </w:p>
        </w:tc>
        <w:tc>
          <w:tcPr>
            <w:tcW w:w="3060" w:type="dxa"/>
            <w:gridSpan w:val="2"/>
            <w:tcBorders>
              <w:top w:val="nil"/>
              <w:left w:val="nil"/>
              <w:bottom w:val="nil"/>
              <w:right w:val="nil"/>
            </w:tcBorders>
            <w:shd w:val="clear" w:color="auto" w:fill="auto"/>
            <w:vAlign w:val="center"/>
            <w:hideMark/>
          </w:tcPr>
          <w:p w14:paraId="0B2EAA62"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    BIC</w:t>
            </w:r>
          </w:p>
        </w:tc>
        <w:tc>
          <w:tcPr>
            <w:tcW w:w="1560" w:type="dxa"/>
            <w:tcBorders>
              <w:top w:val="nil"/>
              <w:left w:val="nil"/>
              <w:bottom w:val="nil"/>
              <w:right w:val="nil"/>
            </w:tcBorders>
            <w:shd w:val="clear" w:color="auto" w:fill="auto"/>
            <w:vAlign w:val="center"/>
            <w:hideMark/>
          </w:tcPr>
          <w:p w14:paraId="184B2455"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-4.23</w:t>
            </w:r>
          </w:p>
        </w:tc>
      </w:tr>
      <w:tr w:rsidR="008C4FAA" w:rsidRPr="009E2740" w14:paraId="57EEA2E4" w14:textId="77777777" w:rsidTr="007D1E87">
        <w:trPr>
          <w:trHeight w:val="330"/>
          <w:jc w:val="center"/>
        </w:trPr>
        <w:tc>
          <w:tcPr>
            <w:tcW w:w="1900" w:type="dxa"/>
            <w:tcBorders>
              <w:top w:val="nil"/>
              <w:left w:val="nil"/>
              <w:bottom w:val="single" w:sz="4" w:space="0" w:color="auto"/>
              <w:right w:val="nil"/>
            </w:tcBorders>
            <w:shd w:val="clear" w:color="auto" w:fill="auto"/>
            <w:vAlign w:val="center"/>
            <w:hideMark/>
          </w:tcPr>
          <w:p w14:paraId="22604AAC"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Prob(F-statistic)</w:t>
            </w:r>
          </w:p>
        </w:tc>
        <w:tc>
          <w:tcPr>
            <w:tcW w:w="1860" w:type="dxa"/>
            <w:tcBorders>
              <w:top w:val="nil"/>
              <w:left w:val="nil"/>
              <w:bottom w:val="single" w:sz="4" w:space="0" w:color="auto"/>
              <w:right w:val="nil"/>
            </w:tcBorders>
            <w:shd w:val="clear" w:color="auto" w:fill="auto"/>
            <w:vAlign w:val="center"/>
            <w:hideMark/>
          </w:tcPr>
          <w:p w14:paraId="631D72F6" w14:textId="77777777" w:rsidR="007D1E87" w:rsidRPr="009E2740" w:rsidRDefault="007D1E8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c>
          <w:tcPr>
            <w:tcW w:w="1580" w:type="dxa"/>
            <w:tcBorders>
              <w:top w:val="nil"/>
              <w:left w:val="nil"/>
              <w:bottom w:val="single" w:sz="4" w:space="0" w:color="auto"/>
              <w:right w:val="nil"/>
            </w:tcBorders>
            <w:shd w:val="clear" w:color="auto" w:fill="auto"/>
            <w:noWrap/>
            <w:vAlign w:val="bottom"/>
            <w:hideMark/>
          </w:tcPr>
          <w:p w14:paraId="7BD03655" w14:textId="77777777" w:rsidR="007D1E87" w:rsidRPr="009E2740" w:rsidRDefault="007D1E87" w:rsidP="009E2740">
            <w:pPr>
              <w:spacing w:after="0" w:line="240" w:lineRule="auto"/>
              <w:jc w:val="center"/>
              <w:rPr>
                <w:rFonts w:ascii="Times New Roman" w:eastAsia="Times New Roman" w:hAnsi="Times New Roman" w:cs="Times New Roman"/>
                <w:sz w:val="22"/>
                <w:szCs w:val="22"/>
                <w:lang w:val="pt-BR" w:eastAsia="pt-BR"/>
              </w:rPr>
            </w:pPr>
            <w:r w:rsidRPr="009E2740">
              <w:rPr>
                <w:rFonts w:ascii="Times New Roman" w:eastAsia="Times New Roman" w:hAnsi="Times New Roman" w:cs="Times New Roman"/>
                <w:sz w:val="22"/>
                <w:szCs w:val="22"/>
                <w:lang w:val="pt-BR" w:eastAsia="pt-BR"/>
              </w:rPr>
              <w:t> </w:t>
            </w:r>
          </w:p>
        </w:tc>
        <w:tc>
          <w:tcPr>
            <w:tcW w:w="1480" w:type="dxa"/>
            <w:tcBorders>
              <w:top w:val="nil"/>
              <w:left w:val="nil"/>
              <w:bottom w:val="single" w:sz="4" w:space="0" w:color="auto"/>
              <w:right w:val="nil"/>
            </w:tcBorders>
            <w:shd w:val="clear" w:color="auto" w:fill="auto"/>
            <w:noWrap/>
            <w:vAlign w:val="bottom"/>
            <w:hideMark/>
          </w:tcPr>
          <w:p w14:paraId="7DC15B74" w14:textId="77777777" w:rsidR="007D1E87" w:rsidRPr="009E2740" w:rsidRDefault="007D1E87" w:rsidP="009E2740">
            <w:pPr>
              <w:spacing w:after="0" w:line="240" w:lineRule="auto"/>
              <w:jc w:val="center"/>
              <w:rPr>
                <w:rFonts w:ascii="Times New Roman" w:eastAsia="Times New Roman" w:hAnsi="Times New Roman" w:cs="Times New Roman"/>
                <w:sz w:val="22"/>
                <w:szCs w:val="22"/>
                <w:lang w:val="pt-BR" w:eastAsia="pt-BR"/>
              </w:rPr>
            </w:pPr>
            <w:r w:rsidRPr="009E2740">
              <w:rPr>
                <w:rFonts w:ascii="Times New Roman" w:eastAsia="Times New Roman" w:hAnsi="Times New Roman" w:cs="Times New Roman"/>
                <w:sz w:val="22"/>
                <w:szCs w:val="22"/>
                <w:lang w:val="pt-BR" w:eastAsia="pt-BR"/>
              </w:rPr>
              <w:t> </w:t>
            </w:r>
          </w:p>
        </w:tc>
        <w:tc>
          <w:tcPr>
            <w:tcW w:w="1560" w:type="dxa"/>
            <w:tcBorders>
              <w:top w:val="nil"/>
              <w:left w:val="nil"/>
              <w:bottom w:val="single" w:sz="4" w:space="0" w:color="auto"/>
              <w:right w:val="nil"/>
            </w:tcBorders>
            <w:shd w:val="clear" w:color="auto" w:fill="auto"/>
            <w:noWrap/>
            <w:vAlign w:val="bottom"/>
            <w:hideMark/>
          </w:tcPr>
          <w:p w14:paraId="7DDE65A7" w14:textId="77777777" w:rsidR="007D1E87" w:rsidRPr="009E2740" w:rsidRDefault="007D1E87" w:rsidP="009E2740">
            <w:pPr>
              <w:spacing w:after="0" w:line="240" w:lineRule="auto"/>
              <w:jc w:val="center"/>
              <w:rPr>
                <w:rFonts w:ascii="Times New Roman" w:eastAsia="Times New Roman" w:hAnsi="Times New Roman" w:cs="Times New Roman"/>
                <w:sz w:val="22"/>
                <w:szCs w:val="22"/>
                <w:lang w:val="pt-BR" w:eastAsia="pt-BR"/>
              </w:rPr>
            </w:pPr>
            <w:r w:rsidRPr="009E2740">
              <w:rPr>
                <w:rFonts w:ascii="Times New Roman" w:eastAsia="Times New Roman" w:hAnsi="Times New Roman" w:cs="Times New Roman"/>
                <w:sz w:val="22"/>
                <w:szCs w:val="22"/>
                <w:lang w:val="pt-BR" w:eastAsia="pt-BR"/>
              </w:rPr>
              <w:t> </w:t>
            </w:r>
          </w:p>
        </w:tc>
      </w:tr>
    </w:tbl>
    <w:p w14:paraId="0B629C74" w14:textId="29C80D67" w:rsidR="009D5465" w:rsidRPr="009E2740" w:rsidRDefault="00257DD0" w:rsidP="009E2740">
      <w:pPr>
        <w:spacing w:after="0" w:line="240" w:lineRule="auto"/>
        <w:ind w:left="709"/>
        <w:rPr>
          <w:rFonts w:ascii="Times New Roman" w:hAnsi="Times New Roman" w:cs="Times New Roman"/>
          <w:lang w:val="pt-BR"/>
        </w:rPr>
      </w:pPr>
      <w:r w:rsidRPr="009E2740">
        <w:rPr>
          <w:rFonts w:ascii="Times New Roman" w:hAnsi="Times New Roman" w:cs="Times New Roman"/>
          <w:lang w:val="pt-BR"/>
        </w:rPr>
        <w:t>Fonte:</w:t>
      </w:r>
      <w:r w:rsidR="00E46E05">
        <w:rPr>
          <w:rFonts w:ascii="Times New Roman" w:hAnsi="Times New Roman" w:cs="Times New Roman"/>
          <w:lang w:val="pt-BR"/>
        </w:rPr>
        <w:t xml:space="preserve"> Elaborado pelos a</w:t>
      </w:r>
      <w:r w:rsidRPr="009E2740">
        <w:rPr>
          <w:rFonts w:ascii="Times New Roman" w:hAnsi="Times New Roman" w:cs="Times New Roman"/>
          <w:lang w:val="pt-BR"/>
        </w:rPr>
        <w:t>utores</w:t>
      </w:r>
    </w:p>
    <w:p w14:paraId="6118BC38" w14:textId="77777777" w:rsidR="00257DD0" w:rsidRPr="009E2740" w:rsidRDefault="00257DD0" w:rsidP="009E2740">
      <w:pPr>
        <w:spacing w:after="0" w:line="240" w:lineRule="auto"/>
        <w:ind w:left="709"/>
        <w:rPr>
          <w:rFonts w:ascii="Times New Roman" w:hAnsi="Times New Roman" w:cs="Times New Roman"/>
          <w:lang w:val="pt-BR"/>
        </w:rPr>
      </w:pPr>
      <w:r w:rsidRPr="009E2740">
        <w:rPr>
          <w:rFonts w:ascii="Times New Roman" w:hAnsi="Times New Roman" w:cs="Times New Roman"/>
          <w:lang w:val="pt-BR"/>
        </w:rPr>
        <w:t>Nota: Erros padrões robustos</w:t>
      </w:r>
      <w:r w:rsidR="007D1E87" w:rsidRPr="009E2740">
        <w:rPr>
          <w:rFonts w:ascii="Times New Roman" w:hAnsi="Times New Roman" w:cs="Times New Roman"/>
          <w:lang w:val="pt-BR"/>
        </w:rPr>
        <w:t>.</w:t>
      </w:r>
      <w:r w:rsidRPr="009E2740">
        <w:rPr>
          <w:rFonts w:ascii="Times New Roman" w:hAnsi="Times New Roman" w:cs="Times New Roman"/>
          <w:lang w:val="pt-BR"/>
        </w:rPr>
        <w:t xml:space="preserve"> </w:t>
      </w:r>
    </w:p>
    <w:p w14:paraId="5902DBDC" w14:textId="77777777" w:rsidR="009F4900" w:rsidRPr="009E2740" w:rsidRDefault="009F4900" w:rsidP="009E2740">
      <w:pPr>
        <w:spacing w:after="0" w:line="240" w:lineRule="auto"/>
        <w:ind w:firstLine="709"/>
        <w:jc w:val="both"/>
        <w:rPr>
          <w:rFonts w:ascii="Times New Roman" w:hAnsi="Times New Roman" w:cs="Times New Roman"/>
          <w:lang w:val="pt-BR"/>
        </w:rPr>
      </w:pPr>
    </w:p>
    <w:p w14:paraId="604A6FCD" w14:textId="7CDFC9F2" w:rsidR="00391BA8" w:rsidRPr="009E2740" w:rsidRDefault="00336EFF"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O teste de Breusch-Godfrey não indicou evidências de autocorrelação dos resíduos de primeira ordem</w:t>
      </w:r>
      <w:r w:rsidRPr="009E2740">
        <w:rPr>
          <w:rStyle w:val="FootnoteReference"/>
          <w:rFonts w:ascii="Times New Roman" w:hAnsi="Times New Roman" w:cs="Times New Roman"/>
          <w:lang w:val="pt-BR"/>
        </w:rPr>
        <w:footnoteReference w:id="15"/>
      </w:r>
      <w:r w:rsidRPr="009E2740">
        <w:rPr>
          <w:rFonts w:ascii="Times New Roman" w:hAnsi="Times New Roman" w:cs="Times New Roman"/>
          <w:lang w:val="pt-BR"/>
        </w:rPr>
        <w:t>. Desta forma, o passo seguinte foi checar o teste dos limites (</w:t>
      </w:r>
      <w:r w:rsidRPr="009E2740">
        <w:rPr>
          <w:rFonts w:ascii="Times New Roman" w:hAnsi="Times New Roman" w:cs="Times New Roman"/>
          <w:i/>
          <w:lang w:val="pt-BR"/>
        </w:rPr>
        <w:t>bounds test</w:t>
      </w:r>
      <w:r w:rsidRPr="009E2740">
        <w:rPr>
          <w:rFonts w:ascii="Times New Roman" w:hAnsi="Times New Roman" w:cs="Times New Roman"/>
          <w:lang w:val="pt-BR"/>
        </w:rPr>
        <w:t xml:space="preserve">) para a existência (ou não) de cointegração entre as variáveis. O resultado </w:t>
      </w:r>
      <w:r w:rsidR="00364B33" w:rsidRPr="009E2740">
        <w:rPr>
          <w:rFonts w:ascii="Times New Roman" w:hAnsi="Times New Roman" w:cs="Times New Roman"/>
          <w:lang w:val="pt-BR"/>
        </w:rPr>
        <w:t xml:space="preserve">do teste encontra-se </w:t>
      </w:r>
      <w:r w:rsidR="00792A4C" w:rsidRPr="009E2740">
        <w:rPr>
          <w:rFonts w:ascii="Times New Roman" w:hAnsi="Times New Roman" w:cs="Times New Roman"/>
          <w:lang w:val="pt-BR"/>
        </w:rPr>
        <w:t xml:space="preserve">na </w:t>
      </w:r>
      <w:r w:rsidR="002D53D1" w:rsidRPr="009E2740">
        <w:rPr>
          <w:rFonts w:ascii="Times New Roman" w:hAnsi="Times New Roman" w:cs="Times New Roman"/>
          <w:lang w:val="pt-BR"/>
        </w:rPr>
        <w:t>Tabela 3</w:t>
      </w:r>
      <w:r w:rsidR="00364B33" w:rsidRPr="009E2740">
        <w:rPr>
          <w:rFonts w:ascii="Times New Roman" w:hAnsi="Times New Roman" w:cs="Times New Roman"/>
          <w:lang w:val="pt-BR"/>
        </w:rPr>
        <w:t>, resultando em razoável evidência a favor da h</w:t>
      </w:r>
      <w:r w:rsidRPr="009E2740">
        <w:rPr>
          <w:rFonts w:ascii="Times New Roman" w:hAnsi="Times New Roman" w:cs="Times New Roman"/>
          <w:lang w:val="pt-BR"/>
        </w:rPr>
        <w:t>ipótese de que exista uma relação de cointegração entre as variáveis</w:t>
      </w:r>
      <w:r w:rsidR="00364B33" w:rsidRPr="009E2740">
        <w:rPr>
          <w:rFonts w:ascii="Times New Roman" w:hAnsi="Times New Roman" w:cs="Times New Roman"/>
          <w:lang w:val="pt-BR"/>
        </w:rPr>
        <w:t xml:space="preserve"> (o valor do teste está bem acima do limite superior, indicando a rejeição da hipótese nula de não-cointegração)</w:t>
      </w:r>
      <w:r w:rsidRPr="009E2740">
        <w:rPr>
          <w:rFonts w:ascii="Times New Roman" w:hAnsi="Times New Roman" w:cs="Times New Roman"/>
          <w:lang w:val="pt-BR"/>
        </w:rPr>
        <w:t xml:space="preserve">. </w:t>
      </w:r>
    </w:p>
    <w:p w14:paraId="5DB97C09" w14:textId="77777777" w:rsidR="009F4900" w:rsidRPr="009E2740" w:rsidRDefault="009F4900" w:rsidP="009E2740">
      <w:pPr>
        <w:spacing w:after="0" w:line="240" w:lineRule="auto"/>
        <w:jc w:val="center"/>
        <w:rPr>
          <w:rFonts w:ascii="Times New Roman" w:hAnsi="Times New Roman" w:cs="Times New Roman"/>
          <w:lang w:val="pt-BR"/>
        </w:rPr>
      </w:pPr>
    </w:p>
    <w:p w14:paraId="479157A5" w14:textId="77777777" w:rsidR="009E2740" w:rsidRPr="00E46E05" w:rsidRDefault="009E2740" w:rsidP="009E2740">
      <w:pPr>
        <w:spacing w:after="0" w:line="240" w:lineRule="auto"/>
        <w:jc w:val="center"/>
        <w:rPr>
          <w:rFonts w:ascii="Times New Roman" w:hAnsi="Times New Roman" w:cs="Times New Roman"/>
          <w:lang w:val="pt-BR"/>
        </w:rPr>
      </w:pPr>
    </w:p>
    <w:p w14:paraId="2DDC35D3" w14:textId="77777777" w:rsidR="009E2740" w:rsidRPr="00E46E05" w:rsidRDefault="009E2740" w:rsidP="009E2740">
      <w:pPr>
        <w:spacing w:after="0" w:line="240" w:lineRule="auto"/>
        <w:jc w:val="center"/>
        <w:rPr>
          <w:rFonts w:ascii="Times New Roman" w:hAnsi="Times New Roman" w:cs="Times New Roman"/>
          <w:lang w:val="pt-BR"/>
        </w:rPr>
      </w:pPr>
    </w:p>
    <w:p w14:paraId="7409B42B" w14:textId="77777777" w:rsidR="009E2740" w:rsidRPr="00E46E05" w:rsidRDefault="009E2740" w:rsidP="009E2740">
      <w:pPr>
        <w:spacing w:after="0" w:line="240" w:lineRule="auto"/>
        <w:jc w:val="center"/>
        <w:rPr>
          <w:rFonts w:ascii="Times New Roman" w:hAnsi="Times New Roman" w:cs="Times New Roman"/>
          <w:lang w:val="pt-BR"/>
        </w:rPr>
      </w:pPr>
    </w:p>
    <w:p w14:paraId="3351D1A1" w14:textId="77777777" w:rsidR="009E2740" w:rsidRPr="00E46E05" w:rsidRDefault="009E2740" w:rsidP="009E2740">
      <w:pPr>
        <w:spacing w:after="0" w:line="240" w:lineRule="auto"/>
        <w:jc w:val="center"/>
        <w:rPr>
          <w:rFonts w:ascii="Times New Roman" w:hAnsi="Times New Roman" w:cs="Times New Roman"/>
          <w:lang w:val="pt-BR"/>
        </w:rPr>
      </w:pPr>
    </w:p>
    <w:p w14:paraId="64E3D8A4" w14:textId="77777777" w:rsidR="009E2740" w:rsidRPr="00E46E05" w:rsidRDefault="009E2740" w:rsidP="009E2740">
      <w:pPr>
        <w:spacing w:after="0" w:line="240" w:lineRule="auto"/>
        <w:jc w:val="center"/>
        <w:rPr>
          <w:rFonts w:ascii="Times New Roman" w:hAnsi="Times New Roman" w:cs="Times New Roman"/>
          <w:lang w:val="pt-BR"/>
        </w:rPr>
      </w:pPr>
    </w:p>
    <w:p w14:paraId="4A186B04" w14:textId="305341ED" w:rsidR="00A91F7C" w:rsidRPr="009E2740" w:rsidRDefault="00A91F7C" w:rsidP="009E2740">
      <w:pPr>
        <w:spacing w:after="0" w:line="240" w:lineRule="auto"/>
        <w:jc w:val="center"/>
        <w:rPr>
          <w:rFonts w:ascii="Times New Roman" w:hAnsi="Times New Roman" w:cs="Times New Roman"/>
        </w:rPr>
      </w:pPr>
      <w:r w:rsidRPr="009E2740">
        <w:rPr>
          <w:rFonts w:ascii="Times New Roman" w:hAnsi="Times New Roman" w:cs="Times New Roman"/>
        </w:rPr>
        <w:t xml:space="preserve">Tabela </w:t>
      </w:r>
      <w:r w:rsidR="002D53D1" w:rsidRPr="009E2740">
        <w:rPr>
          <w:rFonts w:ascii="Times New Roman" w:hAnsi="Times New Roman" w:cs="Times New Roman"/>
        </w:rPr>
        <w:t xml:space="preserve">3 </w:t>
      </w:r>
      <w:r w:rsidRPr="009E2740">
        <w:rPr>
          <w:rFonts w:ascii="Times New Roman" w:hAnsi="Times New Roman" w:cs="Times New Roman"/>
        </w:rPr>
        <w:t>– Modelo ARDL – Bounds Test</w:t>
      </w:r>
    </w:p>
    <w:tbl>
      <w:tblPr>
        <w:tblW w:w="4040" w:type="dxa"/>
        <w:jc w:val="center"/>
        <w:tblCellMar>
          <w:left w:w="70" w:type="dxa"/>
          <w:right w:w="70" w:type="dxa"/>
        </w:tblCellMar>
        <w:tblLook w:val="04A0" w:firstRow="1" w:lastRow="0" w:firstColumn="1" w:lastColumn="0" w:noHBand="0" w:noVBand="1"/>
      </w:tblPr>
      <w:tblGrid>
        <w:gridCol w:w="2120"/>
        <w:gridCol w:w="960"/>
        <w:gridCol w:w="960"/>
      </w:tblGrid>
      <w:tr w:rsidR="008C4FAA" w:rsidRPr="009E2740" w14:paraId="6AA32CAB" w14:textId="77777777" w:rsidTr="00A91F7C">
        <w:trPr>
          <w:trHeight w:val="300"/>
          <w:jc w:val="center"/>
        </w:trPr>
        <w:tc>
          <w:tcPr>
            <w:tcW w:w="2120" w:type="dxa"/>
            <w:tcBorders>
              <w:top w:val="single" w:sz="4" w:space="0" w:color="auto"/>
              <w:left w:val="nil"/>
              <w:bottom w:val="single" w:sz="4" w:space="0" w:color="auto"/>
              <w:right w:val="nil"/>
            </w:tcBorders>
            <w:shd w:val="clear" w:color="auto" w:fill="auto"/>
            <w:vAlign w:val="center"/>
            <w:hideMark/>
          </w:tcPr>
          <w:p w14:paraId="25CE458E" w14:textId="77777777" w:rsidR="00A91F7C" w:rsidRPr="009E2740" w:rsidRDefault="00A91F7C" w:rsidP="009E2740">
            <w:pPr>
              <w:spacing w:after="0" w:line="240" w:lineRule="auto"/>
              <w:jc w:val="center"/>
              <w:rPr>
                <w:rFonts w:ascii="Times New Roman" w:eastAsia="Times New Roman" w:hAnsi="Times New Roman" w:cs="Times New Roman"/>
                <w:b/>
                <w:bCs/>
                <w:sz w:val="18"/>
                <w:szCs w:val="18"/>
                <w:lang w:eastAsia="pt-BR"/>
              </w:rPr>
            </w:pPr>
          </w:p>
        </w:tc>
        <w:tc>
          <w:tcPr>
            <w:tcW w:w="960" w:type="dxa"/>
            <w:tcBorders>
              <w:top w:val="single" w:sz="4" w:space="0" w:color="auto"/>
              <w:left w:val="nil"/>
              <w:bottom w:val="single" w:sz="4" w:space="0" w:color="auto"/>
              <w:right w:val="nil"/>
            </w:tcBorders>
            <w:shd w:val="clear" w:color="auto" w:fill="auto"/>
            <w:vAlign w:val="center"/>
            <w:hideMark/>
          </w:tcPr>
          <w:p w14:paraId="754F2EE7" w14:textId="77777777" w:rsidR="00A91F7C" w:rsidRPr="009E2740" w:rsidRDefault="00A91F7C"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Valor</w:t>
            </w:r>
          </w:p>
        </w:tc>
        <w:tc>
          <w:tcPr>
            <w:tcW w:w="960" w:type="dxa"/>
            <w:tcBorders>
              <w:top w:val="single" w:sz="4" w:space="0" w:color="auto"/>
              <w:left w:val="nil"/>
              <w:bottom w:val="single" w:sz="4" w:space="0" w:color="auto"/>
              <w:right w:val="nil"/>
            </w:tcBorders>
            <w:shd w:val="clear" w:color="auto" w:fill="auto"/>
            <w:vAlign w:val="center"/>
            <w:hideMark/>
          </w:tcPr>
          <w:p w14:paraId="79C73758" w14:textId="77777777" w:rsidR="00A91F7C" w:rsidRPr="009E2740" w:rsidRDefault="00A91F7C"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k</w:t>
            </w:r>
          </w:p>
        </w:tc>
      </w:tr>
      <w:tr w:rsidR="008C4FAA" w:rsidRPr="009E2740" w14:paraId="79466533" w14:textId="77777777" w:rsidTr="00A91F7C">
        <w:trPr>
          <w:trHeight w:val="300"/>
          <w:jc w:val="center"/>
        </w:trPr>
        <w:tc>
          <w:tcPr>
            <w:tcW w:w="2120" w:type="dxa"/>
            <w:tcBorders>
              <w:top w:val="nil"/>
              <w:left w:val="nil"/>
              <w:bottom w:val="single" w:sz="4" w:space="0" w:color="auto"/>
              <w:right w:val="nil"/>
            </w:tcBorders>
            <w:shd w:val="clear" w:color="auto" w:fill="auto"/>
            <w:vAlign w:val="center"/>
            <w:hideMark/>
          </w:tcPr>
          <w:p w14:paraId="10F58626"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b/>
                <w:bCs/>
                <w:sz w:val="18"/>
                <w:szCs w:val="18"/>
                <w:lang w:eastAsia="pt-BR"/>
              </w:rPr>
              <w:t>Estatística F</w:t>
            </w:r>
          </w:p>
        </w:tc>
        <w:tc>
          <w:tcPr>
            <w:tcW w:w="960" w:type="dxa"/>
            <w:tcBorders>
              <w:top w:val="nil"/>
              <w:left w:val="nil"/>
              <w:bottom w:val="single" w:sz="4" w:space="0" w:color="auto"/>
              <w:right w:val="nil"/>
            </w:tcBorders>
            <w:shd w:val="clear" w:color="auto" w:fill="auto"/>
            <w:vAlign w:val="center"/>
            <w:hideMark/>
          </w:tcPr>
          <w:p w14:paraId="3628141B"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 23.51168</w:t>
            </w:r>
          </w:p>
        </w:tc>
        <w:tc>
          <w:tcPr>
            <w:tcW w:w="960" w:type="dxa"/>
            <w:tcBorders>
              <w:top w:val="nil"/>
              <w:left w:val="nil"/>
              <w:bottom w:val="single" w:sz="4" w:space="0" w:color="auto"/>
              <w:right w:val="nil"/>
            </w:tcBorders>
            <w:shd w:val="clear" w:color="auto" w:fill="auto"/>
            <w:vAlign w:val="center"/>
            <w:hideMark/>
          </w:tcPr>
          <w:p w14:paraId="3A982168"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w:t>
            </w:r>
          </w:p>
        </w:tc>
      </w:tr>
      <w:tr w:rsidR="008C4FAA" w:rsidRPr="009E2740" w14:paraId="21FA15DE" w14:textId="77777777" w:rsidTr="00A91F7C">
        <w:trPr>
          <w:trHeight w:val="300"/>
          <w:jc w:val="center"/>
        </w:trPr>
        <w:tc>
          <w:tcPr>
            <w:tcW w:w="2120" w:type="dxa"/>
            <w:tcBorders>
              <w:top w:val="nil"/>
              <w:left w:val="nil"/>
              <w:bottom w:val="nil"/>
              <w:right w:val="nil"/>
            </w:tcBorders>
            <w:shd w:val="clear" w:color="auto" w:fill="auto"/>
            <w:vAlign w:val="center"/>
            <w:hideMark/>
          </w:tcPr>
          <w:p w14:paraId="1CA54E3D"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p>
        </w:tc>
        <w:tc>
          <w:tcPr>
            <w:tcW w:w="960" w:type="dxa"/>
            <w:tcBorders>
              <w:top w:val="nil"/>
              <w:left w:val="nil"/>
              <w:bottom w:val="nil"/>
              <w:right w:val="nil"/>
            </w:tcBorders>
            <w:shd w:val="clear" w:color="auto" w:fill="auto"/>
            <w:vAlign w:val="center"/>
            <w:hideMark/>
          </w:tcPr>
          <w:p w14:paraId="0CB7459E"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p>
        </w:tc>
        <w:tc>
          <w:tcPr>
            <w:tcW w:w="960" w:type="dxa"/>
            <w:tcBorders>
              <w:top w:val="nil"/>
              <w:left w:val="nil"/>
              <w:bottom w:val="nil"/>
              <w:right w:val="nil"/>
            </w:tcBorders>
            <w:shd w:val="clear" w:color="auto" w:fill="auto"/>
            <w:vAlign w:val="center"/>
            <w:hideMark/>
          </w:tcPr>
          <w:p w14:paraId="6DF66E80"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p>
        </w:tc>
      </w:tr>
      <w:tr w:rsidR="008C4FAA" w:rsidRPr="00E46E05" w14:paraId="4C2D3BB9" w14:textId="77777777" w:rsidTr="00A91F7C">
        <w:trPr>
          <w:trHeight w:val="300"/>
          <w:jc w:val="center"/>
        </w:trPr>
        <w:tc>
          <w:tcPr>
            <w:tcW w:w="4040" w:type="dxa"/>
            <w:gridSpan w:val="3"/>
            <w:tcBorders>
              <w:top w:val="nil"/>
              <w:left w:val="nil"/>
              <w:bottom w:val="single" w:sz="4" w:space="0" w:color="auto"/>
              <w:right w:val="nil"/>
            </w:tcBorders>
            <w:shd w:val="clear" w:color="auto" w:fill="auto"/>
            <w:vAlign w:val="center"/>
            <w:hideMark/>
          </w:tcPr>
          <w:p w14:paraId="1225B8BF" w14:textId="77777777" w:rsidR="00A91F7C" w:rsidRPr="009E2740" w:rsidRDefault="00A91F7C"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val="pt-BR" w:eastAsia="pt-BR"/>
              </w:rPr>
              <w:t>Valores Críticos dos Bounds (limiares)</w:t>
            </w:r>
          </w:p>
        </w:tc>
      </w:tr>
      <w:tr w:rsidR="008C4FAA" w:rsidRPr="009E2740" w14:paraId="52F641E3" w14:textId="77777777" w:rsidTr="00A91F7C">
        <w:trPr>
          <w:trHeight w:val="300"/>
          <w:jc w:val="center"/>
        </w:trPr>
        <w:tc>
          <w:tcPr>
            <w:tcW w:w="2120" w:type="dxa"/>
            <w:tcBorders>
              <w:top w:val="nil"/>
              <w:left w:val="nil"/>
              <w:bottom w:val="single" w:sz="4" w:space="0" w:color="auto"/>
              <w:right w:val="nil"/>
            </w:tcBorders>
            <w:shd w:val="clear" w:color="auto" w:fill="auto"/>
            <w:vAlign w:val="center"/>
            <w:hideMark/>
          </w:tcPr>
          <w:p w14:paraId="7E58F4DB" w14:textId="77777777" w:rsidR="00A91F7C" w:rsidRPr="009E2740" w:rsidRDefault="00A91F7C"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Significância</w:t>
            </w:r>
          </w:p>
        </w:tc>
        <w:tc>
          <w:tcPr>
            <w:tcW w:w="960" w:type="dxa"/>
            <w:tcBorders>
              <w:top w:val="nil"/>
              <w:left w:val="nil"/>
              <w:bottom w:val="single" w:sz="4" w:space="0" w:color="auto"/>
              <w:right w:val="nil"/>
            </w:tcBorders>
            <w:shd w:val="clear" w:color="auto" w:fill="auto"/>
            <w:vAlign w:val="center"/>
            <w:hideMark/>
          </w:tcPr>
          <w:p w14:paraId="35B66ECB" w14:textId="77777777" w:rsidR="00A91F7C" w:rsidRPr="009E2740" w:rsidRDefault="00A91F7C"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I(0) Bound</w:t>
            </w:r>
          </w:p>
        </w:tc>
        <w:tc>
          <w:tcPr>
            <w:tcW w:w="960" w:type="dxa"/>
            <w:tcBorders>
              <w:top w:val="nil"/>
              <w:left w:val="nil"/>
              <w:bottom w:val="single" w:sz="4" w:space="0" w:color="auto"/>
              <w:right w:val="nil"/>
            </w:tcBorders>
            <w:shd w:val="clear" w:color="auto" w:fill="auto"/>
            <w:vAlign w:val="center"/>
            <w:hideMark/>
          </w:tcPr>
          <w:p w14:paraId="32C537B1" w14:textId="77777777" w:rsidR="00A91F7C" w:rsidRPr="009E2740" w:rsidRDefault="00A91F7C"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I(1) Bound</w:t>
            </w:r>
          </w:p>
        </w:tc>
      </w:tr>
      <w:tr w:rsidR="008C4FAA" w:rsidRPr="009E2740" w14:paraId="16E4AFBD" w14:textId="77777777" w:rsidTr="00A91F7C">
        <w:trPr>
          <w:trHeight w:val="300"/>
          <w:jc w:val="center"/>
        </w:trPr>
        <w:tc>
          <w:tcPr>
            <w:tcW w:w="2120" w:type="dxa"/>
            <w:tcBorders>
              <w:top w:val="nil"/>
              <w:left w:val="nil"/>
              <w:bottom w:val="nil"/>
              <w:right w:val="nil"/>
            </w:tcBorders>
            <w:shd w:val="clear" w:color="auto" w:fill="auto"/>
            <w:vAlign w:val="center"/>
            <w:hideMark/>
          </w:tcPr>
          <w:p w14:paraId="4C4A9155"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10%</w:t>
            </w:r>
          </w:p>
        </w:tc>
        <w:tc>
          <w:tcPr>
            <w:tcW w:w="960" w:type="dxa"/>
            <w:tcBorders>
              <w:top w:val="nil"/>
              <w:left w:val="nil"/>
              <w:bottom w:val="nil"/>
              <w:right w:val="nil"/>
            </w:tcBorders>
            <w:shd w:val="clear" w:color="auto" w:fill="auto"/>
            <w:vAlign w:val="center"/>
            <w:hideMark/>
          </w:tcPr>
          <w:p w14:paraId="63B64AFC"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3.38</w:t>
            </w:r>
          </w:p>
        </w:tc>
        <w:tc>
          <w:tcPr>
            <w:tcW w:w="960" w:type="dxa"/>
            <w:tcBorders>
              <w:top w:val="nil"/>
              <w:left w:val="nil"/>
              <w:bottom w:val="nil"/>
              <w:right w:val="nil"/>
            </w:tcBorders>
            <w:shd w:val="clear" w:color="auto" w:fill="auto"/>
            <w:vAlign w:val="center"/>
            <w:hideMark/>
          </w:tcPr>
          <w:p w14:paraId="63678EF8"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4.02</w:t>
            </w:r>
          </w:p>
        </w:tc>
      </w:tr>
      <w:tr w:rsidR="008C4FAA" w:rsidRPr="009E2740" w14:paraId="7119F445" w14:textId="77777777" w:rsidTr="00A91F7C">
        <w:trPr>
          <w:trHeight w:val="300"/>
          <w:jc w:val="center"/>
        </w:trPr>
        <w:tc>
          <w:tcPr>
            <w:tcW w:w="2120" w:type="dxa"/>
            <w:tcBorders>
              <w:top w:val="nil"/>
              <w:left w:val="nil"/>
              <w:bottom w:val="nil"/>
              <w:right w:val="nil"/>
            </w:tcBorders>
            <w:shd w:val="clear" w:color="auto" w:fill="auto"/>
            <w:vAlign w:val="center"/>
            <w:hideMark/>
          </w:tcPr>
          <w:p w14:paraId="5E36B1DC"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5%</w:t>
            </w:r>
          </w:p>
        </w:tc>
        <w:tc>
          <w:tcPr>
            <w:tcW w:w="960" w:type="dxa"/>
            <w:tcBorders>
              <w:top w:val="nil"/>
              <w:left w:val="nil"/>
              <w:bottom w:val="nil"/>
              <w:right w:val="nil"/>
            </w:tcBorders>
            <w:shd w:val="clear" w:color="auto" w:fill="auto"/>
            <w:vAlign w:val="center"/>
            <w:hideMark/>
          </w:tcPr>
          <w:p w14:paraId="73523AB5"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3.88</w:t>
            </w:r>
          </w:p>
        </w:tc>
        <w:tc>
          <w:tcPr>
            <w:tcW w:w="960" w:type="dxa"/>
            <w:tcBorders>
              <w:top w:val="nil"/>
              <w:left w:val="nil"/>
              <w:bottom w:val="nil"/>
              <w:right w:val="nil"/>
            </w:tcBorders>
            <w:shd w:val="clear" w:color="auto" w:fill="auto"/>
            <w:vAlign w:val="center"/>
            <w:hideMark/>
          </w:tcPr>
          <w:p w14:paraId="34A32046"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4.61</w:t>
            </w:r>
          </w:p>
        </w:tc>
      </w:tr>
      <w:tr w:rsidR="008C4FAA" w:rsidRPr="009E2740" w14:paraId="3F8F1E0D" w14:textId="77777777" w:rsidTr="00A91F7C">
        <w:trPr>
          <w:trHeight w:val="300"/>
          <w:jc w:val="center"/>
        </w:trPr>
        <w:tc>
          <w:tcPr>
            <w:tcW w:w="2120" w:type="dxa"/>
            <w:tcBorders>
              <w:top w:val="nil"/>
              <w:left w:val="nil"/>
              <w:bottom w:val="single" w:sz="4" w:space="0" w:color="auto"/>
              <w:right w:val="nil"/>
            </w:tcBorders>
            <w:shd w:val="clear" w:color="auto" w:fill="auto"/>
            <w:vAlign w:val="center"/>
            <w:hideMark/>
          </w:tcPr>
          <w:p w14:paraId="0BBCE8EA"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w:t>
            </w:r>
          </w:p>
        </w:tc>
        <w:tc>
          <w:tcPr>
            <w:tcW w:w="960" w:type="dxa"/>
            <w:tcBorders>
              <w:top w:val="nil"/>
              <w:left w:val="nil"/>
              <w:bottom w:val="single" w:sz="4" w:space="0" w:color="auto"/>
              <w:right w:val="nil"/>
            </w:tcBorders>
            <w:shd w:val="clear" w:color="auto" w:fill="auto"/>
            <w:vAlign w:val="center"/>
            <w:hideMark/>
          </w:tcPr>
          <w:p w14:paraId="69401792"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4.99</w:t>
            </w:r>
          </w:p>
        </w:tc>
        <w:tc>
          <w:tcPr>
            <w:tcW w:w="960" w:type="dxa"/>
            <w:tcBorders>
              <w:top w:val="nil"/>
              <w:left w:val="nil"/>
              <w:bottom w:val="single" w:sz="4" w:space="0" w:color="auto"/>
              <w:right w:val="nil"/>
            </w:tcBorders>
            <w:shd w:val="clear" w:color="auto" w:fill="auto"/>
            <w:vAlign w:val="center"/>
            <w:hideMark/>
          </w:tcPr>
          <w:p w14:paraId="5AD52F94" w14:textId="77777777" w:rsidR="00A91F7C" w:rsidRPr="009E2740" w:rsidRDefault="00A91F7C"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5.85</w:t>
            </w:r>
          </w:p>
        </w:tc>
      </w:tr>
    </w:tbl>
    <w:p w14:paraId="7080B807" w14:textId="3457984A" w:rsidR="00A91F7C" w:rsidRPr="00E46E05" w:rsidRDefault="00E01624" w:rsidP="009E2740">
      <w:pPr>
        <w:spacing w:after="0" w:line="240" w:lineRule="auto"/>
        <w:rPr>
          <w:rFonts w:ascii="Times New Roman" w:hAnsi="Times New Roman" w:cs="Times New Roman"/>
          <w:szCs w:val="20"/>
          <w:lang w:val="pt-BR"/>
        </w:rPr>
      </w:pPr>
      <w:r w:rsidRPr="009E2740">
        <w:rPr>
          <w:rFonts w:ascii="Times New Roman" w:hAnsi="Times New Roman" w:cs="Times New Roman"/>
          <w:b/>
          <w:sz w:val="20"/>
          <w:szCs w:val="20"/>
          <w:lang w:val="pt-BR"/>
        </w:rPr>
        <w:tab/>
      </w:r>
      <w:r w:rsidRPr="009E2740">
        <w:rPr>
          <w:rFonts w:ascii="Times New Roman" w:hAnsi="Times New Roman" w:cs="Times New Roman"/>
          <w:b/>
          <w:sz w:val="20"/>
          <w:szCs w:val="20"/>
          <w:lang w:val="pt-BR"/>
        </w:rPr>
        <w:tab/>
      </w:r>
      <w:r w:rsidRPr="009E2740">
        <w:rPr>
          <w:rFonts w:ascii="Times New Roman" w:hAnsi="Times New Roman" w:cs="Times New Roman"/>
          <w:b/>
          <w:sz w:val="20"/>
          <w:szCs w:val="20"/>
          <w:lang w:val="pt-BR"/>
        </w:rPr>
        <w:tab/>
      </w:r>
      <w:r w:rsidRPr="009E2740">
        <w:rPr>
          <w:rFonts w:ascii="Times New Roman" w:hAnsi="Times New Roman" w:cs="Times New Roman"/>
          <w:b/>
          <w:sz w:val="20"/>
          <w:szCs w:val="20"/>
          <w:lang w:val="pt-BR"/>
        </w:rPr>
        <w:tab/>
      </w:r>
      <w:r w:rsidR="00A91F7C" w:rsidRPr="00E46E05">
        <w:rPr>
          <w:rFonts w:ascii="Times New Roman" w:hAnsi="Times New Roman" w:cs="Times New Roman"/>
          <w:szCs w:val="20"/>
          <w:lang w:val="pt-BR"/>
        </w:rPr>
        <w:t xml:space="preserve">Fonte: </w:t>
      </w:r>
      <w:r w:rsidR="00E46E05" w:rsidRPr="00E46E05">
        <w:rPr>
          <w:rFonts w:ascii="Times New Roman" w:hAnsi="Times New Roman" w:cs="Times New Roman"/>
          <w:szCs w:val="20"/>
          <w:lang w:val="pt-BR"/>
        </w:rPr>
        <w:t xml:space="preserve">Elaborado pelos </w:t>
      </w:r>
      <w:r w:rsidR="00E46E05">
        <w:rPr>
          <w:rFonts w:ascii="Times New Roman" w:hAnsi="Times New Roman" w:cs="Times New Roman"/>
          <w:szCs w:val="20"/>
          <w:lang w:val="pt-BR"/>
        </w:rPr>
        <w:t>a</w:t>
      </w:r>
      <w:r w:rsidR="00A91F7C" w:rsidRPr="00E46E05">
        <w:rPr>
          <w:rFonts w:ascii="Times New Roman" w:hAnsi="Times New Roman" w:cs="Times New Roman"/>
          <w:szCs w:val="20"/>
          <w:lang w:val="pt-BR"/>
        </w:rPr>
        <w:t>utores</w:t>
      </w:r>
    </w:p>
    <w:p w14:paraId="1520E68C" w14:textId="77777777" w:rsidR="00364B33" w:rsidRPr="009E2740" w:rsidRDefault="00364B33" w:rsidP="009E2740">
      <w:pPr>
        <w:spacing w:line="240" w:lineRule="auto"/>
        <w:rPr>
          <w:rFonts w:ascii="Times New Roman" w:hAnsi="Times New Roman" w:cs="Times New Roman"/>
          <w:lang w:val="pt-BR"/>
        </w:rPr>
      </w:pPr>
    </w:p>
    <w:p w14:paraId="2A394208" w14:textId="79862C25" w:rsidR="00391BA8" w:rsidRPr="009E2740" w:rsidRDefault="00391BA8" w:rsidP="009E2740">
      <w:pPr>
        <w:spacing w:line="240" w:lineRule="auto"/>
        <w:rPr>
          <w:rFonts w:ascii="Times New Roman" w:hAnsi="Times New Roman" w:cs="Times New Roman"/>
          <w:lang w:val="pt-BR"/>
        </w:rPr>
      </w:pPr>
      <w:r w:rsidRPr="009E2740">
        <w:rPr>
          <w:rFonts w:ascii="Times New Roman" w:hAnsi="Times New Roman" w:cs="Times New Roman"/>
          <w:lang w:val="pt-BR"/>
        </w:rPr>
        <w:tab/>
      </w:r>
      <w:r w:rsidR="00336EFF" w:rsidRPr="009E2740">
        <w:rPr>
          <w:rFonts w:ascii="Times New Roman" w:hAnsi="Times New Roman" w:cs="Times New Roman"/>
          <w:lang w:val="pt-BR"/>
        </w:rPr>
        <w:t>Finalmente, a</w:t>
      </w:r>
      <w:r w:rsidRPr="009E2740">
        <w:rPr>
          <w:rFonts w:ascii="Times New Roman" w:hAnsi="Times New Roman" w:cs="Times New Roman"/>
          <w:lang w:val="pt-BR"/>
        </w:rPr>
        <w:t xml:space="preserve"> relação </w:t>
      </w:r>
      <w:r w:rsidR="00336EFF" w:rsidRPr="009E2740">
        <w:rPr>
          <w:rFonts w:ascii="Times New Roman" w:hAnsi="Times New Roman" w:cs="Times New Roman"/>
          <w:lang w:val="pt-BR"/>
        </w:rPr>
        <w:t>de cointegração encontrada foi</w:t>
      </w:r>
      <w:r w:rsidR="00364B33" w:rsidRPr="009E2740">
        <w:rPr>
          <w:rFonts w:ascii="Times New Roman" w:hAnsi="Times New Roman" w:cs="Times New Roman"/>
          <w:lang w:val="pt-BR"/>
        </w:rPr>
        <w:t xml:space="preserve"> estimada e encontra-se a seguir</w:t>
      </w:r>
      <w:r w:rsidR="002D53D1" w:rsidRPr="009E2740">
        <w:rPr>
          <w:rFonts w:ascii="Times New Roman" w:hAnsi="Times New Roman" w:cs="Times New Roman"/>
          <w:lang w:val="pt-BR"/>
        </w:rPr>
        <w:t xml:space="preserve"> (Tabela 4)</w:t>
      </w:r>
      <w:r w:rsidR="00364B33" w:rsidRPr="009E2740">
        <w:rPr>
          <w:rFonts w:ascii="Times New Roman" w:hAnsi="Times New Roman" w:cs="Times New Roman"/>
          <w:lang w:val="pt-BR"/>
        </w:rPr>
        <w:t>.</w:t>
      </w:r>
    </w:p>
    <w:p w14:paraId="71A6F715" w14:textId="5F4FC41F" w:rsidR="0089101D" w:rsidRPr="009E2740" w:rsidRDefault="0089101D" w:rsidP="009E2740">
      <w:pPr>
        <w:spacing w:after="0" w:line="240" w:lineRule="auto"/>
        <w:jc w:val="center"/>
        <w:rPr>
          <w:rFonts w:ascii="Times New Roman" w:hAnsi="Times New Roman" w:cs="Times New Roman"/>
          <w:lang w:val="pt-BR"/>
        </w:rPr>
      </w:pPr>
      <w:r w:rsidRPr="009E2740">
        <w:rPr>
          <w:rFonts w:ascii="Times New Roman" w:hAnsi="Times New Roman" w:cs="Times New Roman"/>
          <w:lang w:val="pt-BR"/>
        </w:rPr>
        <w:t xml:space="preserve">Tabela </w:t>
      </w:r>
      <w:r w:rsidR="002D53D1" w:rsidRPr="009E2740">
        <w:rPr>
          <w:rFonts w:ascii="Times New Roman" w:hAnsi="Times New Roman" w:cs="Times New Roman"/>
          <w:lang w:val="pt-BR"/>
        </w:rPr>
        <w:t xml:space="preserve">4 </w:t>
      </w:r>
      <w:r w:rsidRPr="009E2740">
        <w:rPr>
          <w:rFonts w:ascii="Times New Roman" w:hAnsi="Times New Roman" w:cs="Times New Roman"/>
          <w:lang w:val="pt-BR"/>
        </w:rPr>
        <w:t xml:space="preserve">– Modelo ARDL </w:t>
      </w:r>
      <w:r w:rsidR="009F4900" w:rsidRPr="009E2740">
        <w:rPr>
          <w:rFonts w:ascii="Times New Roman" w:hAnsi="Times New Roman" w:cs="Times New Roman"/>
          <w:lang w:val="pt-BR"/>
        </w:rPr>
        <w:t>e s</w:t>
      </w:r>
      <w:r w:rsidRPr="009E2740">
        <w:rPr>
          <w:rFonts w:ascii="Times New Roman" w:hAnsi="Times New Roman" w:cs="Times New Roman"/>
          <w:lang w:val="pt-BR"/>
        </w:rPr>
        <w:t>ua Forma de Longo Prazo</w:t>
      </w:r>
    </w:p>
    <w:tbl>
      <w:tblPr>
        <w:tblW w:w="5800" w:type="dxa"/>
        <w:jc w:val="center"/>
        <w:tblCellMar>
          <w:left w:w="70" w:type="dxa"/>
          <w:right w:w="70" w:type="dxa"/>
        </w:tblCellMar>
        <w:tblLook w:val="04A0" w:firstRow="1" w:lastRow="0" w:firstColumn="1" w:lastColumn="0" w:noHBand="0" w:noVBand="1"/>
      </w:tblPr>
      <w:tblGrid>
        <w:gridCol w:w="1941"/>
        <w:gridCol w:w="1000"/>
        <w:gridCol w:w="952"/>
        <w:gridCol w:w="959"/>
        <w:gridCol w:w="948"/>
      </w:tblGrid>
      <w:tr w:rsidR="008C4FAA" w:rsidRPr="009E2740" w14:paraId="3A88D7FC" w14:textId="77777777" w:rsidTr="00652B27">
        <w:trPr>
          <w:trHeight w:val="570"/>
          <w:jc w:val="center"/>
        </w:trPr>
        <w:tc>
          <w:tcPr>
            <w:tcW w:w="1956" w:type="dxa"/>
            <w:tcBorders>
              <w:top w:val="single" w:sz="4" w:space="0" w:color="auto"/>
              <w:left w:val="nil"/>
              <w:bottom w:val="single" w:sz="4" w:space="0" w:color="auto"/>
              <w:right w:val="nil"/>
            </w:tcBorders>
            <w:shd w:val="clear" w:color="auto" w:fill="auto"/>
            <w:vAlign w:val="center"/>
            <w:hideMark/>
          </w:tcPr>
          <w:p w14:paraId="2D61DA17" w14:textId="77777777" w:rsidR="00652B27" w:rsidRPr="009E2740" w:rsidRDefault="00652B27"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Variável</w:t>
            </w:r>
          </w:p>
        </w:tc>
        <w:tc>
          <w:tcPr>
            <w:tcW w:w="970" w:type="dxa"/>
            <w:tcBorders>
              <w:top w:val="single" w:sz="4" w:space="0" w:color="auto"/>
              <w:left w:val="nil"/>
              <w:bottom w:val="single" w:sz="4" w:space="0" w:color="auto"/>
              <w:right w:val="nil"/>
            </w:tcBorders>
            <w:shd w:val="clear" w:color="auto" w:fill="auto"/>
            <w:vAlign w:val="center"/>
            <w:hideMark/>
          </w:tcPr>
          <w:p w14:paraId="1DF868C4" w14:textId="77777777" w:rsidR="00652B27" w:rsidRPr="009E2740" w:rsidRDefault="00652B27" w:rsidP="009E2740">
            <w:pPr>
              <w:spacing w:after="0" w:line="240" w:lineRule="auto"/>
              <w:jc w:val="right"/>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Coeficiente</w:t>
            </w:r>
          </w:p>
        </w:tc>
        <w:tc>
          <w:tcPr>
            <w:tcW w:w="958" w:type="dxa"/>
            <w:tcBorders>
              <w:top w:val="single" w:sz="4" w:space="0" w:color="auto"/>
              <w:left w:val="nil"/>
              <w:bottom w:val="single" w:sz="4" w:space="0" w:color="auto"/>
              <w:right w:val="nil"/>
            </w:tcBorders>
            <w:shd w:val="clear" w:color="auto" w:fill="auto"/>
            <w:vAlign w:val="center"/>
            <w:hideMark/>
          </w:tcPr>
          <w:p w14:paraId="5DD7FAD2" w14:textId="77777777" w:rsidR="00652B27" w:rsidRPr="009E2740" w:rsidRDefault="00652B27" w:rsidP="009E2740">
            <w:pPr>
              <w:spacing w:after="0" w:line="240" w:lineRule="auto"/>
              <w:jc w:val="right"/>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Erro Padrão</w:t>
            </w:r>
          </w:p>
        </w:tc>
        <w:tc>
          <w:tcPr>
            <w:tcW w:w="959" w:type="dxa"/>
            <w:tcBorders>
              <w:top w:val="single" w:sz="4" w:space="0" w:color="auto"/>
              <w:left w:val="nil"/>
              <w:bottom w:val="single" w:sz="4" w:space="0" w:color="auto"/>
              <w:right w:val="nil"/>
            </w:tcBorders>
            <w:shd w:val="clear" w:color="auto" w:fill="auto"/>
            <w:vAlign w:val="center"/>
            <w:hideMark/>
          </w:tcPr>
          <w:p w14:paraId="41BE3F67" w14:textId="77777777" w:rsidR="00652B27" w:rsidRPr="009E2740" w:rsidRDefault="00652B27" w:rsidP="009E2740">
            <w:pPr>
              <w:spacing w:after="0" w:line="240" w:lineRule="auto"/>
              <w:jc w:val="right"/>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Estatística t</w:t>
            </w:r>
          </w:p>
        </w:tc>
        <w:tc>
          <w:tcPr>
            <w:tcW w:w="957" w:type="dxa"/>
            <w:tcBorders>
              <w:top w:val="single" w:sz="4" w:space="0" w:color="auto"/>
              <w:left w:val="nil"/>
              <w:bottom w:val="single" w:sz="4" w:space="0" w:color="auto"/>
              <w:right w:val="nil"/>
            </w:tcBorders>
            <w:shd w:val="clear" w:color="auto" w:fill="auto"/>
            <w:vAlign w:val="center"/>
            <w:hideMark/>
          </w:tcPr>
          <w:p w14:paraId="3A932896" w14:textId="77777777" w:rsidR="00652B27" w:rsidRPr="009E2740" w:rsidRDefault="00652B27" w:rsidP="009E2740">
            <w:pPr>
              <w:spacing w:after="0" w:line="240" w:lineRule="auto"/>
              <w:jc w:val="right"/>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P-Valor</w:t>
            </w:r>
          </w:p>
        </w:tc>
      </w:tr>
      <w:tr w:rsidR="008C4FAA" w:rsidRPr="009E2740" w14:paraId="67AB1396" w14:textId="77777777" w:rsidTr="00652B27">
        <w:trPr>
          <w:trHeight w:val="300"/>
          <w:jc w:val="center"/>
        </w:trPr>
        <w:tc>
          <w:tcPr>
            <w:tcW w:w="1956" w:type="dxa"/>
            <w:tcBorders>
              <w:top w:val="nil"/>
              <w:left w:val="nil"/>
              <w:bottom w:val="nil"/>
              <w:right w:val="nil"/>
            </w:tcBorders>
            <w:shd w:val="clear" w:color="auto" w:fill="auto"/>
            <w:vAlign w:val="center"/>
            <w:hideMark/>
          </w:tcPr>
          <w:p w14:paraId="2ED2C20E"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D(LNCARGA)</w:t>
            </w:r>
          </w:p>
        </w:tc>
        <w:tc>
          <w:tcPr>
            <w:tcW w:w="970" w:type="dxa"/>
            <w:tcBorders>
              <w:top w:val="nil"/>
              <w:left w:val="nil"/>
              <w:bottom w:val="nil"/>
              <w:right w:val="nil"/>
            </w:tcBorders>
            <w:shd w:val="clear" w:color="auto" w:fill="auto"/>
            <w:vAlign w:val="center"/>
            <w:hideMark/>
          </w:tcPr>
          <w:p w14:paraId="666B4EF4"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0.53</w:t>
            </w:r>
          </w:p>
        </w:tc>
        <w:tc>
          <w:tcPr>
            <w:tcW w:w="958" w:type="dxa"/>
            <w:tcBorders>
              <w:top w:val="nil"/>
              <w:left w:val="nil"/>
              <w:bottom w:val="nil"/>
              <w:right w:val="nil"/>
            </w:tcBorders>
            <w:shd w:val="clear" w:color="auto" w:fill="auto"/>
            <w:vAlign w:val="center"/>
            <w:hideMark/>
          </w:tcPr>
          <w:p w14:paraId="3DC0C580"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0.21</w:t>
            </w:r>
          </w:p>
        </w:tc>
        <w:tc>
          <w:tcPr>
            <w:tcW w:w="959" w:type="dxa"/>
            <w:tcBorders>
              <w:top w:val="nil"/>
              <w:left w:val="nil"/>
              <w:bottom w:val="nil"/>
              <w:right w:val="nil"/>
            </w:tcBorders>
            <w:shd w:val="clear" w:color="auto" w:fill="auto"/>
            <w:vAlign w:val="center"/>
            <w:hideMark/>
          </w:tcPr>
          <w:p w14:paraId="276597B1"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2.55</w:t>
            </w:r>
          </w:p>
        </w:tc>
        <w:tc>
          <w:tcPr>
            <w:tcW w:w="957" w:type="dxa"/>
            <w:tcBorders>
              <w:top w:val="nil"/>
              <w:left w:val="nil"/>
              <w:bottom w:val="nil"/>
              <w:right w:val="nil"/>
            </w:tcBorders>
            <w:shd w:val="clear" w:color="auto" w:fill="auto"/>
            <w:vAlign w:val="center"/>
            <w:hideMark/>
          </w:tcPr>
          <w:p w14:paraId="7F79331E"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0.01</w:t>
            </w:r>
          </w:p>
        </w:tc>
      </w:tr>
      <w:tr w:rsidR="008C4FAA" w:rsidRPr="009E2740" w14:paraId="76FB1F91" w14:textId="77777777" w:rsidTr="00652B27">
        <w:trPr>
          <w:trHeight w:val="300"/>
          <w:jc w:val="center"/>
        </w:trPr>
        <w:tc>
          <w:tcPr>
            <w:tcW w:w="1956" w:type="dxa"/>
            <w:tcBorders>
              <w:top w:val="nil"/>
              <w:left w:val="nil"/>
              <w:bottom w:val="nil"/>
              <w:right w:val="nil"/>
            </w:tcBorders>
            <w:shd w:val="clear" w:color="auto" w:fill="auto"/>
            <w:vAlign w:val="center"/>
            <w:hideMark/>
          </w:tcPr>
          <w:p w14:paraId="291B4DEA"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D(LNCARGA(-1))</w:t>
            </w:r>
          </w:p>
        </w:tc>
        <w:tc>
          <w:tcPr>
            <w:tcW w:w="970" w:type="dxa"/>
            <w:tcBorders>
              <w:top w:val="nil"/>
              <w:left w:val="nil"/>
              <w:bottom w:val="nil"/>
              <w:right w:val="nil"/>
            </w:tcBorders>
            <w:shd w:val="clear" w:color="auto" w:fill="auto"/>
            <w:vAlign w:val="center"/>
            <w:hideMark/>
          </w:tcPr>
          <w:p w14:paraId="1788DD7B"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-0.39</w:t>
            </w:r>
          </w:p>
        </w:tc>
        <w:tc>
          <w:tcPr>
            <w:tcW w:w="958" w:type="dxa"/>
            <w:tcBorders>
              <w:top w:val="nil"/>
              <w:left w:val="nil"/>
              <w:bottom w:val="nil"/>
              <w:right w:val="nil"/>
            </w:tcBorders>
            <w:shd w:val="clear" w:color="auto" w:fill="auto"/>
            <w:vAlign w:val="center"/>
            <w:hideMark/>
          </w:tcPr>
          <w:p w14:paraId="78A5787E"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0.06</w:t>
            </w:r>
          </w:p>
        </w:tc>
        <w:tc>
          <w:tcPr>
            <w:tcW w:w="959" w:type="dxa"/>
            <w:tcBorders>
              <w:top w:val="nil"/>
              <w:left w:val="nil"/>
              <w:bottom w:val="nil"/>
              <w:right w:val="nil"/>
            </w:tcBorders>
            <w:shd w:val="clear" w:color="auto" w:fill="auto"/>
            <w:vAlign w:val="center"/>
            <w:hideMark/>
          </w:tcPr>
          <w:p w14:paraId="7F0C7E8B"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-6.06</w:t>
            </w:r>
          </w:p>
        </w:tc>
        <w:tc>
          <w:tcPr>
            <w:tcW w:w="957" w:type="dxa"/>
            <w:tcBorders>
              <w:top w:val="nil"/>
              <w:left w:val="nil"/>
              <w:bottom w:val="nil"/>
              <w:right w:val="nil"/>
            </w:tcBorders>
            <w:shd w:val="clear" w:color="auto" w:fill="auto"/>
            <w:vAlign w:val="center"/>
            <w:hideMark/>
          </w:tcPr>
          <w:p w14:paraId="1D5F959B"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60319B36" w14:textId="77777777" w:rsidTr="00652B27">
        <w:trPr>
          <w:trHeight w:val="300"/>
          <w:jc w:val="center"/>
        </w:trPr>
        <w:tc>
          <w:tcPr>
            <w:tcW w:w="1956" w:type="dxa"/>
            <w:tcBorders>
              <w:top w:val="nil"/>
              <w:left w:val="nil"/>
              <w:bottom w:val="nil"/>
              <w:right w:val="nil"/>
            </w:tcBorders>
            <w:shd w:val="clear" w:color="auto" w:fill="auto"/>
            <w:vAlign w:val="center"/>
            <w:hideMark/>
          </w:tcPr>
          <w:p w14:paraId="1AF6E9BA"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D(LNCARGA(-2))</w:t>
            </w:r>
          </w:p>
        </w:tc>
        <w:tc>
          <w:tcPr>
            <w:tcW w:w="970" w:type="dxa"/>
            <w:tcBorders>
              <w:top w:val="nil"/>
              <w:left w:val="nil"/>
              <w:bottom w:val="nil"/>
              <w:right w:val="nil"/>
            </w:tcBorders>
            <w:shd w:val="clear" w:color="auto" w:fill="auto"/>
            <w:vAlign w:val="center"/>
            <w:hideMark/>
          </w:tcPr>
          <w:p w14:paraId="0D71355A"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-0.38</w:t>
            </w:r>
          </w:p>
        </w:tc>
        <w:tc>
          <w:tcPr>
            <w:tcW w:w="958" w:type="dxa"/>
            <w:tcBorders>
              <w:top w:val="nil"/>
              <w:left w:val="nil"/>
              <w:bottom w:val="nil"/>
              <w:right w:val="nil"/>
            </w:tcBorders>
            <w:shd w:val="clear" w:color="auto" w:fill="auto"/>
            <w:vAlign w:val="center"/>
            <w:hideMark/>
          </w:tcPr>
          <w:p w14:paraId="4B187AB0"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0.06</w:t>
            </w:r>
          </w:p>
        </w:tc>
        <w:tc>
          <w:tcPr>
            <w:tcW w:w="959" w:type="dxa"/>
            <w:tcBorders>
              <w:top w:val="nil"/>
              <w:left w:val="nil"/>
              <w:bottom w:val="nil"/>
              <w:right w:val="nil"/>
            </w:tcBorders>
            <w:shd w:val="clear" w:color="auto" w:fill="auto"/>
            <w:vAlign w:val="center"/>
            <w:hideMark/>
          </w:tcPr>
          <w:p w14:paraId="0527863C"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-5.88</w:t>
            </w:r>
          </w:p>
        </w:tc>
        <w:tc>
          <w:tcPr>
            <w:tcW w:w="957" w:type="dxa"/>
            <w:tcBorders>
              <w:top w:val="nil"/>
              <w:left w:val="nil"/>
              <w:bottom w:val="nil"/>
              <w:right w:val="nil"/>
            </w:tcBorders>
            <w:shd w:val="clear" w:color="auto" w:fill="auto"/>
            <w:vAlign w:val="center"/>
            <w:hideMark/>
          </w:tcPr>
          <w:p w14:paraId="58556C89"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302E27B0" w14:textId="77777777" w:rsidTr="00652B27">
        <w:trPr>
          <w:trHeight w:val="300"/>
          <w:jc w:val="center"/>
        </w:trPr>
        <w:tc>
          <w:tcPr>
            <w:tcW w:w="1956" w:type="dxa"/>
            <w:tcBorders>
              <w:top w:val="nil"/>
              <w:left w:val="nil"/>
              <w:bottom w:val="nil"/>
              <w:right w:val="nil"/>
            </w:tcBorders>
            <w:shd w:val="clear" w:color="auto" w:fill="auto"/>
            <w:vAlign w:val="center"/>
            <w:hideMark/>
          </w:tcPr>
          <w:p w14:paraId="6A1C3F7B"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D(LNCARGA(-3))</w:t>
            </w:r>
          </w:p>
        </w:tc>
        <w:tc>
          <w:tcPr>
            <w:tcW w:w="970" w:type="dxa"/>
            <w:tcBorders>
              <w:top w:val="nil"/>
              <w:left w:val="nil"/>
              <w:bottom w:val="nil"/>
              <w:right w:val="nil"/>
            </w:tcBorders>
            <w:shd w:val="clear" w:color="auto" w:fill="auto"/>
            <w:vAlign w:val="center"/>
            <w:hideMark/>
          </w:tcPr>
          <w:p w14:paraId="58BC3BDB"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-0.20</w:t>
            </w:r>
          </w:p>
        </w:tc>
        <w:tc>
          <w:tcPr>
            <w:tcW w:w="958" w:type="dxa"/>
            <w:tcBorders>
              <w:top w:val="nil"/>
              <w:left w:val="nil"/>
              <w:bottom w:val="nil"/>
              <w:right w:val="nil"/>
            </w:tcBorders>
            <w:shd w:val="clear" w:color="auto" w:fill="auto"/>
            <w:vAlign w:val="center"/>
            <w:hideMark/>
          </w:tcPr>
          <w:p w14:paraId="48512929"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0.06</w:t>
            </w:r>
          </w:p>
        </w:tc>
        <w:tc>
          <w:tcPr>
            <w:tcW w:w="959" w:type="dxa"/>
            <w:tcBorders>
              <w:top w:val="nil"/>
              <w:left w:val="nil"/>
              <w:bottom w:val="nil"/>
              <w:right w:val="nil"/>
            </w:tcBorders>
            <w:shd w:val="clear" w:color="auto" w:fill="auto"/>
            <w:vAlign w:val="center"/>
            <w:hideMark/>
          </w:tcPr>
          <w:p w14:paraId="6CA4D33F"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-3.21</w:t>
            </w:r>
          </w:p>
        </w:tc>
        <w:tc>
          <w:tcPr>
            <w:tcW w:w="957" w:type="dxa"/>
            <w:tcBorders>
              <w:top w:val="nil"/>
              <w:left w:val="nil"/>
              <w:bottom w:val="nil"/>
              <w:right w:val="nil"/>
            </w:tcBorders>
            <w:shd w:val="clear" w:color="auto" w:fill="auto"/>
            <w:vAlign w:val="center"/>
            <w:hideMark/>
          </w:tcPr>
          <w:p w14:paraId="0A49116D"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5BE0F2A6" w14:textId="77777777" w:rsidTr="00652B27">
        <w:trPr>
          <w:trHeight w:val="300"/>
          <w:jc w:val="center"/>
        </w:trPr>
        <w:tc>
          <w:tcPr>
            <w:tcW w:w="1956" w:type="dxa"/>
            <w:tcBorders>
              <w:top w:val="nil"/>
              <w:left w:val="nil"/>
              <w:bottom w:val="nil"/>
              <w:right w:val="nil"/>
            </w:tcBorders>
            <w:shd w:val="clear" w:color="auto" w:fill="auto"/>
            <w:vAlign w:val="center"/>
            <w:hideMark/>
          </w:tcPr>
          <w:p w14:paraId="75B56167"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D(LNPRIV)</w:t>
            </w:r>
          </w:p>
        </w:tc>
        <w:tc>
          <w:tcPr>
            <w:tcW w:w="970" w:type="dxa"/>
            <w:tcBorders>
              <w:top w:val="nil"/>
              <w:left w:val="nil"/>
              <w:bottom w:val="nil"/>
              <w:right w:val="nil"/>
            </w:tcBorders>
            <w:shd w:val="clear" w:color="auto" w:fill="auto"/>
            <w:vAlign w:val="center"/>
            <w:hideMark/>
          </w:tcPr>
          <w:p w14:paraId="4A669DC9"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2.18</w:t>
            </w:r>
          </w:p>
        </w:tc>
        <w:tc>
          <w:tcPr>
            <w:tcW w:w="958" w:type="dxa"/>
            <w:tcBorders>
              <w:top w:val="nil"/>
              <w:left w:val="nil"/>
              <w:bottom w:val="nil"/>
              <w:right w:val="nil"/>
            </w:tcBorders>
            <w:shd w:val="clear" w:color="auto" w:fill="auto"/>
            <w:vAlign w:val="center"/>
            <w:hideMark/>
          </w:tcPr>
          <w:p w14:paraId="5DBFFB1D"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0.66</w:t>
            </w:r>
          </w:p>
        </w:tc>
        <w:tc>
          <w:tcPr>
            <w:tcW w:w="959" w:type="dxa"/>
            <w:tcBorders>
              <w:top w:val="nil"/>
              <w:left w:val="nil"/>
              <w:bottom w:val="nil"/>
              <w:right w:val="nil"/>
            </w:tcBorders>
            <w:shd w:val="clear" w:color="auto" w:fill="auto"/>
            <w:vAlign w:val="center"/>
            <w:hideMark/>
          </w:tcPr>
          <w:p w14:paraId="2911723C"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3.30</w:t>
            </w:r>
          </w:p>
        </w:tc>
        <w:tc>
          <w:tcPr>
            <w:tcW w:w="957" w:type="dxa"/>
            <w:tcBorders>
              <w:top w:val="nil"/>
              <w:left w:val="nil"/>
              <w:bottom w:val="nil"/>
              <w:right w:val="nil"/>
            </w:tcBorders>
            <w:shd w:val="clear" w:color="auto" w:fill="auto"/>
            <w:vAlign w:val="center"/>
            <w:hideMark/>
          </w:tcPr>
          <w:p w14:paraId="1D583473"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5027FA4F" w14:textId="77777777" w:rsidTr="00652B27">
        <w:trPr>
          <w:trHeight w:val="300"/>
          <w:jc w:val="center"/>
        </w:trPr>
        <w:tc>
          <w:tcPr>
            <w:tcW w:w="1956" w:type="dxa"/>
            <w:tcBorders>
              <w:top w:val="nil"/>
              <w:left w:val="nil"/>
              <w:bottom w:val="nil"/>
              <w:right w:val="nil"/>
            </w:tcBorders>
            <w:shd w:val="clear" w:color="auto" w:fill="auto"/>
            <w:vAlign w:val="center"/>
            <w:hideMark/>
          </w:tcPr>
          <w:p w14:paraId="5FC9A019"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D(LRF)</w:t>
            </w:r>
          </w:p>
        </w:tc>
        <w:tc>
          <w:tcPr>
            <w:tcW w:w="970" w:type="dxa"/>
            <w:tcBorders>
              <w:top w:val="nil"/>
              <w:left w:val="nil"/>
              <w:bottom w:val="nil"/>
              <w:right w:val="nil"/>
            </w:tcBorders>
            <w:shd w:val="clear" w:color="auto" w:fill="auto"/>
            <w:vAlign w:val="center"/>
            <w:hideMark/>
          </w:tcPr>
          <w:p w14:paraId="550FB819"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0.05</w:t>
            </w:r>
          </w:p>
        </w:tc>
        <w:tc>
          <w:tcPr>
            <w:tcW w:w="958" w:type="dxa"/>
            <w:tcBorders>
              <w:top w:val="nil"/>
              <w:left w:val="nil"/>
              <w:bottom w:val="nil"/>
              <w:right w:val="nil"/>
            </w:tcBorders>
            <w:shd w:val="clear" w:color="auto" w:fill="auto"/>
            <w:vAlign w:val="center"/>
            <w:hideMark/>
          </w:tcPr>
          <w:p w14:paraId="571668D4"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0.02</w:t>
            </w:r>
          </w:p>
        </w:tc>
        <w:tc>
          <w:tcPr>
            <w:tcW w:w="959" w:type="dxa"/>
            <w:tcBorders>
              <w:top w:val="nil"/>
              <w:left w:val="nil"/>
              <w:bottom w:val="nil"/>
              <w:right w:val="nil"/>
            </w:tcBorders>
            <w:shd w:val="clear" w:color="auto" w:fill="auto"/>
            <w:vAlign w:val="center"/>
            <w:hideMark/>
          </w:tcPr>
          <w:p w14:paraId="11C06D60"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2.01</w:t>
            </w:r>
          </w:p>
        </w:tc>
        <w:tc>
          <w:tcPr>
            <w:tcW w:w="957" w:type="dxa"/>
            <w:tcBorders>
              <w:top w:val="nil"/>
              <w:left w:val="nil"/>
              <w:bottom w:val="nil"/>
              <w:right w:val="nil"/>
            </w:tcBorders>
            <w:shd w:val="clear" w:color="auto" w:fill="auto"/>
            <w:vAlign w:val="center"/>
            <w:hideMark/>
          </w:tcPr>
          <w:p w14:paraId="1E30C5FB"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0.05</w:t>
            </w:r>
          </w:p>
        </w:tc>
      </w:tr>
      <w:tr w:rsidR="008C4FAA" w:rsidRPr="009E2740" w14:paraId="7D895491" w14:textId="77777777" w:rsidTr="00652B27">
        <w:trPr>
          <w:trHeight w:val="300"/>
          <w:jc w:val="center"/>
        </w:trPr>
        <w:tc>
          <w:tcPr>
            <w:tcW w:w="1956" w:type="dxa"/>
            <w:tcBorders>
              <w:top w:val="nil"/>
              <w:left w:val="nil"/>
              <w:bottom w:val="nil"/>
              <w:right w:val="nil"/>
            </w:tcBorders>
            <w:shd w:val="clear" w:color="auto" w:fill="auto"/>
            <w:vAlign w:val="center"/>
            <w:hideMark/>
          </w:tcPr>
          <w:p w14:paraId="28BA9785"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Constante</w:t>
            </w:r>
          </w:p>
        </w:tc>
        <w:tc>
          <w:tcPr>
            <w:tcW w:w="970" w:type="dxa"/>
            <w:tcBorders>
              <w:top w:val="nil"/>
              <w:left w:val="nil"/>
              <w:bottom w:val="nil"/>
              <w:right w:val="nil"/>
            </w:tcBorders>
            <w:shd w:val="clear" w:color="auto" w:fill="auto"/>
            <w:vAlign w:val="center"/>
            <w:hideMark/>
          </w:tcPr>
          <w:p w14:paraId="19539599"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6.82</w:t>
            </w:r>
          </w:p>
        </w:tc>
        <w:tc>
          <w:tcPr>
            <w:tcW w:w="958" w:type="dxa"/>
            <w:tcBorders>
              <w:top w:val="nil"/>
              <w:left w:val="nil"/>
              <w:bottom w:val="nil"/>
              <w:right w:val="nil"/>
            </w:tcBorders>
            <w:shd w:val="clear" w:color="auto" w:fill="auto"/>
            <w:vAlign w:val="center"/>
            <w:hideMark/>
          </w:tcPr>
          <w:p w14:paraId="369EBE9D"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0.65</w:t>
            </w:r>
          </w:p>
        </w:tc>
        <w:tc>
          <w:tcPr>
            <w:tcW w:w="959" w:type="dxa"/>
            <w:tcBorders>
              <w:top w:val="nil"/>
              <w:left w:val="nil"/>
              <w:bottom w:val="nil"/>
              <w:right w:val="nil"/>
            </w:tcBorders>
            <w:shd w:val="clear" w:color="auto" w:fill="auto"/>
            <w:vAlign w:val="center"/>
            <w:hideMark/>
          </w:tcPr>
          <w:p w14:paraId="03035113"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10.50</w:t>
            </w:r>
          </w:p>
        </w:tc>
        <w:tc>
          <w:tcPr>
            <w:tcW w:w="957" w:type="dxa"/>
            <w:tcBorders>
              <w:top w:val="nil"/>
              <w:left w:val="nil"/>
              <w:bottom w:val="nil"/>
              <w:right w:val="nil"/>
            </w:tcBorders>
            <w:shd w:val="clear" w:color="auto" w:fill="auto"/>
            <w:vAlign w:val="center"/>
            <w:hideMark/>
          </w:tcPr>
          <w:p w14:paraId="3149F6AF"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36E47C69" w14:textId="77777777" w:rsidTr="00652B27">
        <w:trPr>
          <w:trHeight w:val="540"/>
          <w:jc w:val="center"/>
        </w:trPr>
        <w:tc>
          <w:tcPr>
            <w:tcW w:w="1956" w:type="dxa"/>
            <w:tcBorders>
              <w:top w:val="nil"/>
              <w:left w:val="nil"/>
              <w:bottom w:val="nil"/>
              <w:right w:val="nil"/>
            </w:tcBorders>
            <w:shd w:val="clear" w:color="auto" w:fill="auto"/>
            <w:vAlign w:val="center"/>
            <w:hideMark/>
          </w:tcPr>
          <w:p w14:paraId="187E29FA"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Equação de Cointegração(-1)</w:t>
            </w:r>
          </w:p>
        </w:tc>
        <w:tc>
          <w:tcPr>
            <w:tcW w:w="970" w:type="dxa"/>
            <w:tcBorders>
              <w:top w:val="nil"/>
              <w:left w:val="nil"/>
              <w:bottom w:val="nil"/>
              <w:right w:val="nil"/>
            </w:tcBorders>
            <w:shd w:val="clear" w:color="auto" w:fill="auto"/>
            <w:vAlign w:val="center"/>
            <w:hideMark/>
          </w:tcPr>
          <w:p w14:paraId="3B1D137E"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-0.26</w:t>
            </w:r>
          </w:p>
        </w:tc>
        <w:tc>
          <w:tcPr>
            <w:tcW w:w="958" w:type="dxa"/>
            <w:tcBorders>
              <w:top w:val="nil"/>
              <w:left w:val="nil"/>
              <w:bottom w:val="nil"/>
              <w:right w:val="nil"/>
            </w:tcBorders>
            <w:shd w:val="clear" w:color="auto" w:fill="auto"/>
            <w:vAlign w:val="center"/>
            <w:hideMark/>
          </w:tcPr>
          <w:p w14:paraId="6581A109"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0.02</w:t>
            </w:r>
          </w:p>
        </w:tc>
        <w:tc>
          <w:tcPr>
            <w:tcW w:w="959" w:type="dxa"/>
            <w:tcBorders>
              <w:top w:val="nil"/>
              <w:left w:val="nil"/>
              <w:bottom w:val="nil"/>
              <w:right w:val="nil"/>
            </w:tcBorders>
            <w:shd w:val="clear" w:color="auto" w:fill="auto"/>
            <w:vAlign w:val="center"/>
            <w:hideMark/>
          </w:tcPr>
          <w:p w14:paraId="390BD56C"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-10.43</w:t>
            </w:r>
          </w:p>
        </w:tc>
        <w:tc>
          <w:tcPr>
            <w:tcW w:w="957" w:type="dxa"/>
            <w:tcBorders>
              <w:top w:val="nil"/>
              <w:left w:val="nil"/>
              <w:bottom w:val="nil"/>
              <w:right w:val="nil"/>
            </w:tcBorders>
            <w:shd w:val="clear" w:color="auto" w:fill="auto"/>
            <w:vAlign w:val="center"/>
            <w:hideMark/>
          </w:tcPr>
          <w:p w14:paraId="16077371"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1F01E773" w14:textId="77777777" w:rsidTr="00652B27">
        <w:trPr>
          <w:trHeight w:val="300"/>
          <w:jc w:val="center"/>
        </w:trPr>
        <w:tc>
          <w:tcPr>
            <w:tcW w:w="1956" w:type="dxa"/>
            <w:tcBorders>
              <w:top w:val="nil"/>
              <w:left w:val="nil"/>
              <w:bottom w:val="nil"/>
              <w:right w:val="nil"/>
            </w:tcBorders>
            <w:shd w:val="clear" w:color="auto" w:fill="auto"/>
            <w:vAlign w:val="center"/>
            <w:hideMark/>
          </w:tcPr>
          <w:p w14:paraId="7685911F"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p>
        </w:tc>
        <w:tc>
          <w:tcPr>
            <w:tcW w:w="970" w:type="dxa"/>
            <w:tcBorders>
              <w:top w:val="nil"/>
              <w:left w:val="nil"/>
              <w:bottom w:val="nil"/>
              <w:right w:val="nil"/>
            </w:tcBorders>
            <w:shd w:val="clear" w:color="auto" w:fill="auto"/>
            <w:vAlign w:val="center"/>
            <w:hideMark/>
          </w:tcPr>
          <w:p w14:paraId="7D1D4F50"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p>
        </w:tc>
        <w:tc>
          <w:tcPr>
            <w:tcW w:w="958" w:type="dxa"/>
            <w:tcBorders>
              <w:top w:val="nil"/>
              <w:left w:val="nil"/>
              <w:bottom w:val="nil"/>
              <w:right w:val="nil"/>
            </w:tcBorders>
            <w:shd w:val="clear" w:color="auto" w:fill="auto"/>
            <w:vAlign w:val="center"/>
            <w:hideMark/>
          </w:tcPr>
          <w:p w14:paraId="6878B668"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p>
        </w:tc>
        <w:tc>
          <w:tcPr>
            <w:tcW w:w="959" w:type="dxa"/>
            <w:tcBorders>
              <w:top w:val="nil"/>
              <w:left w:val="nil"/>
              <w:bottom w:val="nil"/>
              <w:right w:val="nil"/>
            </w:tcBorders>
            <w:shd w:val="clear" w:color="auto" w:fill="auto"/>
            <w:vAlign w:val="center"/>
            <w:hideMark/>
          </w:tcPr>
          <w:p w14:paraId="79FAA7D8"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p>
        </w:tc>
        <w:tc>
          <w:tcPr>
            <w:tcW w:w="957" w:type="dxa"/>
            <w:tcBorders>
              <w:top w:val="nil"/>
              <w:left w:val="nil"/>
              <w:bottom w:val="nil"/>
              <w:right w:val="nil"/>
            </w:tcBorders>
            <w:shd w:val="clear" w:color="auto" w:fill="auto"/>
            <w:vAlign w:val="center"/>
            <w:hideMark/>
          </w:tcPr>
          <w:p w14:paraId="2005F12C"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p>
        </w:tc>
      </w:tr>
      <w:tr w:rsidR="008C4FAA" w:rsidRPr="009E2740" w14:paraId="002359A9" w14:textId="77777777" w:rsidTr="00652B27">
        <w:trPr>
          <w:trHeight w:val="300"/>
          <w:jc w:val="center"/>
        </w:trPr>
        <w:tc>
          <w:tcPr>
            <w:tcW w:w="5800" w:type="dxa"/>
            <w:gridSpan w:val="5"/>
            <w:tcBorders>
              <w:top w:val="single" w:sz="4" w:space="0" w:color="auto"/>
              <w:left w:val="nil"/>
              <w:bottom w:val="single" w:sz="4" w:space="0" w:color="auto"/>
              <w:right w:val="nil"/>
            </w:tcBorders>
            <w:shd w:val="clear" w:color="auto" w:fill="auto"/>
            <w:vAlign w:val="center"/>
            <w:hideMark/>
          </w:tcPr>
          <w:p w14:paraId="2718DEAD" w14:textId="77777777" w:rsidR="00652B27" w:rsidRPr="009E2740" w:rsidRDefault="00652B27" w:rsidP="009E2740">
            <w:pPr>
              <w:spacing w:after="0" w:line="240" w:lineRule="auto"/>
              <w:jc w:val="center"/>
              <w:rPr>
                <w:rFonts w:ascii="Times New Roman" w:eastAsia="Times New Roman" w:hAnsi="Times New Roman" w:cs="Times New Roman"/>
                <w:b/>
                <w:bCs/>
                <w:sz w:val="18"/>
                <w:szCs w:val="18"/>
                <w:lang w:val="pt-BR" w:eastAsia="pt-BR"/>
              </w:rPr>
            </w:pPr>
            <w:r w:rsidRPr="009E2740">
              <w:rPr>
                <w:rFonts w:ascii="Times New Roman" w:eastAsia="Times New Roman" w:hAnsi="Times New Roman" w:cs="Times New Roman"/>
                <w:b/>
                <w:bCs/>
                <w:sz w:val="18"/>
                <w:szCs w:val="18"/>
                <w:lang w:eastAsia="pt-BR"/>
              </w:rPr>
              <w:t>Coeficientes de Longo Prazo</w:t>
            </w:r>
          </w:p>
        </w:tc>
      </w:tr>
      <w:tr w:rsidR="008C4FAA" w:rsidRPr="009E2740" w14:paraId="09AD2523" w14:textId="77777777" w:rsidTr="00652B27">
        <w:trPr>
          <w:trHeight w:val="300"/>
          <w:jc w:val="center"/>
        </w:trPr>
        <w:tc>
          <w:tcPr>
            <w:tcW w:w="1956" w:type="dxa"/>
            <w:tcBorders>
              <w:top w:val="nil"/>
              <w:left w:val="nil"/>
              <w:bottom w:val="nil"/>
              <w:right w:val="nil"/>
            </w:tcBorders>
            <w:shd w:val="clear" w:color="auto" w:fill="auto"/>
            <w:vAlign w:val="center"/>
            <w:hideMark/>
          </w:tcPr>
          <w:p w14:paraId="67334E75"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LNCARGA</w:t>
            </w:r>
          </w:p>
        </w:tc>
        <w:tc>
          <w:tcPr>
            <w:tcW w:w="970" w:type="dxa"/>
            <w:tcBorders>
              <w:top w:val="nil"/>
              <w:left w:val="nil"/>
              <w:bottom w:val="nil"/>
              <w:right w:val="nil"/>
            </w:tcBorders>
            <w:shd w:val="clear" w:color="auto" w:fill="auto"/>
            <w:vAlign w:val="center"/>
            <w:hideMark/>
          </w:tcPr>
          <w:p w14:paraId="3655C2D6"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5.92</w:t>
            </w:r>
          </w:p>
        </w:tc>
        <w:tc>
          <w:tcPr>
            <w:tcW w:w="958" w:type="dxa"/>
            <w:tcBorders>
              <w:top w:val="nil"/>
              <w:left w:val="nil"/>
              <w:bottom w:val="nil"/>
              <w:right w:val="nil"/>
            </w:tcBorders>
            <w:shd w:val="clear" w:color="auto" w:fill="auto"/>
            <w:vAlign w:val="center"/>
            <w:hideMark/>
          </w:tcPr>
          <w:p w14:paraId="132055ED"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0.56</w:t>
            </w:r>
          </w:p>
        </w:tc>
        <w:tc>
          <w:tcPr>
            <w:tcW w:w="959" w:type="dxa"/>
            <w:tcBorders>
              <w:top w:val="nil"/>
              <w:left w:val="nil"/>
              <w:bottom w:val="nil"/>
              <w:right w:val="nil"/>
            </w:tcBorders>
            <w:shd w:val="clear" w:color="auto" w:fill="auto"/>
            <w:vAlign w:val="center"/>
            <w:hideMark/>
          </w:tcPr>
          <w:p w14:paraId="5A8D11D4"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10.57</w:t>
            </w:r>
          </w:p>
        </w:tc>
        <w:tc>
          <w:tcPr>
            <w:tcW w:w="957" w:type="dxa"/>
            <w:tcBorders>
              <w:top w:val="nil"/>
              <w:left w:val="nil"/>
              <w:bottom w:val="nil"/>
              <w:right w:val="nil"/>
            </w:tcBorders>
            <w:shd w:val="clear" w:color="auto" w:fill="auto"/>
            <w:vAlign w:val="center"/>
            <w:hideMark/>
          </w:tcPr>
          <w:p w14:paraId="70F1DCB6"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7D5BB9F9" w14:textId="77777777" w:rsidTr="00652B27">
        <w:trPr>
          <w:trHeight w:val="300"/>
          <w:jc w:val="center"/>
        </w:trPr>
        <w:tc>
          <w:tcPr>
            <w:tcW w:w="1956" w:type="dxa"/>
            <w:tcBorders>
              <w:top w:val="nil"/>
              <w:left w:val="nil"/>
              <w:bottom w:val="nil"/>
              <w:right w:val="nil"/>
            </w:tcBorders>
            <w:shd w:val="clear" w:color="auto" w:fill="auto"/>
            <w:vAlign w:val="center"/>
            <w:hideMark/>
          </w:tcPr>
          <w:p w14:paraId="52765C4C"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LNPRIV</w:t>
            </w:r>
          </w:p>
        </w:tc>
        <w:tc>
          <w:tcPr>
            <w:tcW w:w="970" w:type="dxa"/>
            <w:tcBorders>
              <w:top w:val="nil"/>
              <w:left w:val="nil"/>
              <w:bottom w:val="nil"/>
              <w:right w:val="nil"/>
            </w:tcBorders>
            <w:shd w:val="clear" w:color="auto" w:fill="auto"/>
            <w:vAlign w:val="center"/>
            <w:hideMark/>
          </w:tcPr>
          <w:p w14:paraId="21BFAC5F"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14.94</w:t>
            </w:r>
          </w:p>
        </w:tc>
        <w:tc>
          <w:tcPr>
            <w:tcW w:w="958" w:type="dxa"/>
            <w:tcBorders>
              <w:top w:val="nil"/>
              <w:left w:val="nil"/>
              <w:bottom w:val="nil"/>
              <w:right w:val="nil"/>
            </w:tcBorders>
            <w:shd w:val="clear" w:color="auto" w:fill="auto"/>
            <w:vAlign w:val="center"/>
            <w:hideMark/>
          </w:tcPr>
          <w:p w14:paraId="51448D68"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2.00</w:t>
            </w:r>
          </w:p>
        </w:tc>
        <w:tc>
          <w:tcPr>
            <w:tcW w:w="959" w:type="dxa"/>
            <w:tcBorders>
              <w:top w:val="nil"/>
              <w:left w:val="nil"/>
              <w:bottom w:val="nil"/>
              <w:right w:val="nil"/>
            </w:tcBorders>
            <w:shd w:val="clear" w:color="auto" w:fill="auto"/>
            <w:vAlign w:val="center"/>
            <w:hideMark/>
          </w:tcPr>
          <w:p w14:paraId="4DF1A0E7"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7.46</w:t>
            </w:r>
          </w:p>
        </w:tc>
        <w:tc>
          <w:tcPr>
            <w:tcW w:w="957" w:type="dxa"/>
            <w:tcBorders>
              <w:top w:val="nil"/>
              <w:left w:val="nil"/>
              <w:bottom w:val="nil"/>
              <w:right w:val="nil"/>
            </w:tcBorders>
            <w:shd w:val="clear" w:color="auto" w:fill="auto"/>
            <w:vAlign w:val="center"/>
            <w:hideMark/>
          </w:tcPr>
          <w:p w14:paraId="49B69AC1"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r w:rsidR="008C4FAA" w:rsidRPr="009E2740" w14:paraId="72D35A9C" w14:textId="77777777" w:rsidTr="00652B27">
        <w:trPr>
          <w:trHeight w:val="300"/>
          <w:jc w:val="center"/>
        </w:trPr>
        <w:tc>
          <w:tcPr>
            <w:tcW w:w="1956" w:type="dxa"/>
            <w:tcBorders>
              <w:top w:val="nil"/>
              <w:left w:val="nil"/>
              <w:bottom w:val="nil"/>
              <w:right w:val="nil"/>
            </w:tcBorders>
            <w:shd w:val="clear" w:color="auto" w:fill="auto"/>
            <w:vAlign w:val="center"/>
            <w:hideMark/>
          </w:tcPr>
          <w:p w14:paraId="42FA79D2"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LRF</w:t>
            </w:r>
          </w:p>
        </w:tc>
        <w:tc>
          <w:tcPr>
            <w:tcW w:w="970" w:type="dxa"/>
            <w:tcBorders>
              <w:top w:val="nil"/>
              <w:left w:val="nil"/>
              <w:bottom w:val="nil"/>
              <w:right w:val="nil"/>
            </w:tcBorders>
            <w:shd w:val="clear" w:color="auto" w:fill="auto"/>
            <w:vAlign w:val="center"/>
            <w:hideMark/>
          </w:tcPr>
          <w:p w14:paraId="1E204A94"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0.19</w:t>
            </w:r>
          </w:p>
        </w:tc>
        <w:tc>
          <w:tcPr>
            <w:tcW w:w="958" w:type="dxa"/>
            <w:tcBorders>
              <w:top w:val="nil"/>
              <w:left w:val="nil"/>
              <w:bottom w:val="nil"/>
              <w:right w:val="nil"/>
            </w:tcBorders>
            <w:shd w:val="clear" w:color="auto" w:fill="auto"/>
            <w:vAlign w:val="center"/>
            <w:hideMark/>
          </w:tcPr>
          <w:p w14:paraId="57D9C8B6"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0.07</w:t>
            </w:r>
          </w:p>
        </w:tc>
        <w:tc>
          <w:tcPr>
            <w:tcW w:w="959" w:type="dxa"/>
            <w:tcBorders>
              <w:top w:val="nil"/>
              <w:left w:val="nil"/>
              <w:bottom w:val="nil"/>
              <w:right w:val="nil"/>
            </w:tcBorders>
            <w:shd w:val="clear" w:color="auto" w:fill="auto"/>
            <w:vAlign w:val="center"/>
            <w:hideMark/>
          </w:tcPr>
          <w:p w14:paraId="58F5C9C1"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2.66</w:t>
            </w:r>
          </w:p>
        </w:tc>
        <w:tc>
          <w:tcPr>
            <w:tcW w:w="957" w:type="dxa"/>
            <w:tcBorders>
              <w:top w:val="nil"/>
              <w:left w:val="nil"/>
              <w:bottom w:val="nil"/>
              <w:right w:val="nil"/>
            </w:tcBorders>
            <w:shd w:val="clear" w:color="auto" w:fill="auto"/>
            <w:vAlign w:val="center"/>
            <w:hideMark/>
          </w:tcPr>
          <w:p w14:paraId="6849D092"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0.01</w:t>
            </w:r>
          </w:p>
        </w:tc>
      </w:tr>
      <w:tr w:rsidR="008C4FAA" w:rsidRPr="009E2740" w14:paraId="3936C8A8" w14:textId="77777777" w:rsidTr="00652B27">
        <w:trPr>
          <w:trHeight w:val="300"/>
          <w:jc w:val="center"/>
        </w:trPr>
        <w:tc>
          <w:tcPr>
            <w:tcW w:w="1956" w:type="dxa"/>
            <w:tcBorders>
              <w:top w:val="nil"/>
              <w:left w:val="nil"/>
              <w:bottom w:val="single" w:sz="4" w:space="0" w:color="auto"/>
              <w:right w:val="nil"/>
            </w:tcBorders>
            <w:shd w:val="clear" w:color="auto" w:fill="auto"/>
            <w:vAlign w:val="center"/>
            <w:hideMark/>
          </w:tcPr>
          <w:p w14:paraId="31481041" w14:textId="77777777" w:rsidR="00652B27" w:rsidRPr="009E2740" w:rsidRDefault="00652B27" w:rsidP="009E2740">
            <w:pPr>
              <w:spacing w:after="0" w:line="240" w:lineRule="auto"/>
              <w:jc w:val="center"/>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Tendência</w:t>
            </w:r>
          </w:p>
        </w:tc>
        <w:tc>
          <w:tcPr>
            <w:tcW w:w="970" w:type="dxa"/>
            <w:tcBorders>
              <w:top w:val="nil"/>
              <w:left w:val="nil"/>
              <w:bottom w:val="single" w:sz="4" w:space="0" w:color="auto"/>
              <w:right w:val="nil"/>
            </w:tcBorders>
            <w:shd w:val="clear" w:color="auto" w:fill="auto"/>
            <w:vAlign w:val="center"/>
            <w:hideMark/>
          </w:tcPr>
          <w:p w14:paraId="34A45193"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0.02</w:t>
            </w:r>
          </w:p>
        </w:tc>
        <w:tc>
          <w:tcPr>
            <w:tcW w:w="958" w:type="dxa"/>
            <w:tcBorders>
              <w:top w:val="nil"/>
              <w:left w:val="nil"/>
              <w:bottom w:val="single" w:sz="4" w:space="0" w:color="auto"/>
              <w:right w:val="nil"/>
            </w:tcBorders>
            <w:shd w:val="clear" w:color="auto" w:fill="auto"/>
            <w:vAlign w:val="center"/>
            <w:hideMark/>
          </w:tcPr>
          <w:p w14:paraId="1EDA4494"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c>
          <w:tcPr>
            <w:tcW w:w="959" w:type="dxa"/>
            <w:tcBorders>
              <w:top w:val="nil"/>
              <w:left w:val="nil"/>
              <w:bottom w:val="single" w:sz="4" w:space="0" w:color="auto"/>
              <w:right w:val="nil"/>
            </w:tcBorders>
            <w:shd w:val="clear" w:color="auto" w:fill="auto"/>
            <w:vAlign w:val="center"/>
            <w:hideMark/>
          </w:tcPr>
          <w:p w14:paraId="3685A2E1"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6.28</w:t>
            </w:r>
          </w:p>
        </w:tc>
        <w:tc>
          <w:tcPr>
            <w:tcW w:w="957" w:type="dxa"/>
            <w:tcBorders>
              <w:top w:val="nil"/>
              <w:left w:val="nil"/>
              <w:bottom w:val="single" w:sz="4" w:space="0" w:color="auto"/>
              <w:right w:val="nil"/>
            </w:tcBorders>
            <w:shd w:val="clear" w:color="auto" w:fill="auto"/>
            <w:vAlign w:val="center"/>
            <w:hideMark/>
          </w:tcPr>
          <w:p w14:paraId="3FC665A9" w14:textId="77777777" w:rsidR="00652B27" w:rsidRPr="009E2740" w:rsidRDefault="00652B27" w:rsidP="009E2740">
            <w:pPr>
              <w:spacing w:after="0" w:line="240" w:lineRule="auto"/>
              <w:jc w:val="right"/>
              <w:rPr>
                <w:rFonts w:ascii="Times New Roman" w:eastAsia="Times New Roman" w:hAnsi="Times New Roman" w:cs="Times New Roman"/>
                <w:sz w:val="18"/>
                <w:szCs w:val="18"/>
                <w:lang w:val="pt-BR" w:eastAsia="pt-BR"/>
              </w:rPr>
            </w:pPr>
            <w:r w:rsidRPr="009E2740">
              <w:rPr>
                <w:rFonts w:ascii="Times New Roman" w:eastAsia="Times New Roman" w:hAnsi="Times New Roman" w:cs="Times New Roman"/>
                <w:sz w:val="18"/>
                <w:szCs w:val="18"/>
                <w:lang w:eastAsia="pt-BR"/>
              </w:rPr>
              <w:t>0.00</w:t>
            </w:r>
          </w:p>
        </w:tc>
      </w:tr>
    </w:tbl>
    <w:p w14:paraId="2F883579" w14:textId="773B6EED" w:rsidR="00652B27" w:rsidRPr="00E46E05" w:rsidRDefault="00652B27" w:rsidP="009E2740">
      <w:pPr>
        <w:spacing w:after="0" w:line="240" w:lineRule="auto"/>
        <w:ind w:left="1701"/>
        <w:rPr>
          <w:rFonts w:ascii="Times New Roman" w:hAnsi="Times New Roman" w:cs="Times New Roman"/>
          <w:szCs w:val="20"/>
          <w:lang w:val="pt-BR"/>
        </w:rPr>
      </w:pPr>
      <w:r w:rsidRPr="00E46E05">
        <w:rPr>
          <w:rFonts w:ascii="Times New Roman" w:hAnsi="Times New Roman" w:cs="Times New Roman"/>
          <w:szCs w:val="20"/>
          <w:lang w:val="pt-BR"/>
        </w:rPr>
        <w:t xml:space="preserve">Fonte: </w:t>
      </w:r>
      <w:r w:rsidR="00E46E05" w:rsidRPr="00E46E05">
        <w:rPr>
          <w:rFonts w:ascii="Times New Roman" w:hAnsi="Times New Roman" w:cs="Times New Roman"/>
          <w:szCs w:val="20"/>
          <w:lang w:val="pt-BR"/>
        </w:rPr>
        <w:t>Elaborado pelos a</w:t>
      </w:r>
      <w:r w:rsidRPr="00E46E05">
        <w:rPr>
          <w:rFonts w:ascii="Times New Roman" w:hAnsi="Times New Roman" w:cs="Times New Roman"/>
          <w:szCs w:val="20"/>
          <w:lang w:val="pt-BR"/>
        </w:rPr>
        <w:t>utores</w:t>
      </w:r>
    </w:p>
    <w:p w14:paraId="17783861" w14:textId="77777777" w:rsidR="0089101D" w:rsidRPr="009E2740" w:rsidRDefault="0089101D" w:rsidP="009E2740">
      <w:pPr>
        <w:spacing w:line="240" w:lineRule="auto"/>
        <w:rPr>
          <w:rFonts w:ascii="Times New Roman" w:hAnsi="Times New Roman" w:cs="Times New Roman"/>
          <w:lang w:val="pt-BR"/>
        </w:rPr>
      </w:pPr>
    </w:p>
    <w:p w14:paraId="7A179769" w14:textId="364F6F9D" w:rsidR="0052621F" w:rsidRPr="009E2740" w:rsidRDefault="003521EB"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ab/>
      </w:r>
      <w:r w:rsidR="00391BA8" w:rsidRPr="009E2740">
        <w:rPr>
          <w:rFonts w:ascii="Times New Roman" w:hAnsi="Times New Roman" w:cs="Times New Roman"/>
          <w:lang w:val="pt-BR"/>
        </w:rPr>
        <w:t xml:space="preserve">Observe que se trata de uma relação </w:t>
      </w:r>
      <w:r w:rsidR="002D53D1" w:rsidRPr="009E2740">
        <w:rPr>
          <w:rFonts w:ascii="Times New Roman" w:hAnsi="Times New Roman" w:cs="Times New Roman"/>
          <w:lang w:val="pt-BR"/>
        </w:rPr>
        <w:t xml:space="preserve">estacionária </w:t>
      </w:r>
      <w:r w:rsidR="00391BA8" w:rsidRPr="009E2740">
        <w:rPr>
          <w:rFonts w:ascii="Times New Roman" w:hAnsi="Times New Roman" w:cs="Times New Roman"/>
          <w:lang w:val="pt-BR"/>
        </w:rPr>
        <w:t>em torno de uma tendência determinista.</w:t>
      </w:r>
      <w:r w:rsidR="0052621F" w:rsidRPr="009E2740">
        <w:rPr>
          <w:rFonts w:ascii="Times New Roman" w:hAnsi="Times New Roman" w:cs="Times New Roman"/>
          <w:lang w:val="pt-BR"/>
        </w:rPr>
        <w:t xml:space="preserve"> Além disso, observe que o efeito da </w:t>
      </w:r>
      <w:r w:rsidR="0052621F" w:rsidRPr="009E2740">
        <w:rPr>
          <w:rFonts w:ascii="Times New Roman" w:hAnsi="Times New Roman" w:cs="Times New Roman"/>
          <w:i/>
          <w:lang w:val="pt-BR"/>
        </w:rPr>
        <w:t>dummy</w:t>
      </w:r>
      <w:r w:rsidR="0052621F" w:rsidRPr="009E2740">
        <w:rPr>
          <w:rFonts w:ascii="Times New Roman" w:hAnsi="Times New Roman" w:cs="Times New Roman"/>
          <w:lang w:val="pt-BR"/>
        </w:rPr>
        <w:t xml:space="preserve"> da L</w:t>
      </w:r>
      <w:r w:rsidR="009E29C7" w:rsidRPr="009E2740">
        <w:rPr>
          <w:rFonts w:ascii="Times New Roman" w:hAnsi="Times New Roman" w:cs="Times New Roman"/>
          <w:lang w:val="pt-BR"/>
        </w:rPr>
        <w:t>RF</w:t>
      </w:r>
      <w:r w:rsidR="0052621F" w:rsidRPr="009E2740">
        <w:rPr>
          <w:rFonts w:ascii="Times New Roman" w:hAnsi="Times New Roman" w:cs="Times New Roman"/>
          <w:lang w:val="pt-BR"/>
        </w:rPr>
        <w:t xml:space="preserve"> é positiva e estatisticamente significativa</w:t>
      </w:r>
      <w:r w:rsidR="00C87D3E" w:rsidRPr="009E2740">
        <w:rPr>
          <w:rFonts w:ascii="Times New Roman" w:hAnsi="Times New Roman" w:cs="Times New Roman"/>
          <w:lang w:val="pt-BR"/>
        </w:rPr>
        <w:t xml:space="preserve"> com o coeficiente de valor 0.19</w:t>
      </w:r>
      <w:r w:rsidR="0052621F" w:rsidRPr="009E2740">
        <w:rPr>
          <w:rFonts w:ascii="Times New Roman" w:hAnsi="Times New Roman" w:cs="Times New Roman"/>
          <w:lang w:val="pt-BR"/>
        </w:rPr>
        <w:t xml:space="preserve">. </w:t>
      </w:r>
      <w:r w:rsidR="00C87D3E" w:rsidRPr="009E2740">
        <w:rPr>
          <w:rFonts w:ascii="Times New Roman" w:hAnsi="Times New Roman" w:cs="Times New Roman"/>
          <w:lang w:val="pt-BR"/>
        </w:rPr>
        <w:t>Isto se traduz em impactos marginais</w:t>
      </w:r>
      <w:r w:rsidR="002220FE" w:rsidRPr="009E2740">
        <w:rPr>
          <w:rStyle w:val="FootnoteReference"/>
          <w:rFonts w:ascii="Times New Roman" w:hAnsi="Times New Roman" w:cs="Times New Roman"/>
          <w:lang w:val="pt-BR"/>
        </w:rPr>
        <w:footnoteReference w:id="16"/>
      </w:r>
      <w:r w:rsidR="00C87D3E" w:rsidRPr="009E2740">
        <w:rPr>
          <w:rFonts w:ascii="Times New Roman" w:hAnsi="Times New Roman" w:cs="Times New Roman"/>
          <w:lang w:val="pt-BR"/>
        </w:rPr>
        <w:t xml:space="preserve"> de </w:t>
      </w:r>
      <w:r w:rsidR="0052621F" w:rsidRPr="009E2740">
        <w:rPr>
          <w:rFonts w:ascii="Times New Roman" w:hAnsi="Times New Roman" w:cs="Times New Roman"/>
          <w:lang w:val="pt-BR"/>
        </w:rPr>
        <w:t xml:space="preserve">21.05% no caso em que a </w:t>
      </w:r>
      <w:r w:rsidR="0052621F" w:rsidRPr="009E2740">
        <w:rPr>
          <w:rFonts w:ascii="Times New Roman" w:hAnsi="Times New Roman" w:cs="Times New Roman"/>
          <w:i/>
          <w:lang w:val="pt-BR"/>
        </w:rPr>
        <w:t>dummy</w:t>
      </w:r>
      <w:r w:rsidR="0052621F" w:rsidRPr="009E2740">
        <w:rPr>
          <w:rFonts w:ascii="Times New Roman" w:hAnsi="Times New Roman" w:cs="Times New Roman"/>
          <w:lang w:val="pt-BR"/>
        </w:rPr>
        <w:t xml:space="preserve"> passa de zero para um e -17.39% caso contrário. </w:t>
      </w:r>
      <w:r w:rsidR="009E29C7" w:rsidRPr="009E2740">
        <w:rPr>
          <w:rFonts w:ascii="Times New Roman" w:hAnsi="Times New Roman" w:cs="Times New Roman"/>
          <w:lang w:val="pt-BR"/>
        </w:rPr>
        <w:t>Ou seja, as evidências são de que a adoção da LRF têm impacto positivo no PIB (ou, alternativamente, de que sua remoção geraria um impacto negativo sobre o mesmo).</w:t>
      </w:r>
    </w:p>
    <w:p w14:paraId="76187D7E" w14:textId="62FF7742" w:rsidR="00391BA8" w:rsidRPr="009E2740" w:rsidRDefault="009E29C7"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ab/>
      </w:r>
      <w:r w:rsidR="00391BA8" w:rsidRPr="009E2740">
        <w:rPr>
          <w:rFonts w:ascii="Times New Roman" w:hAnsi="Times New Roman" w:cs="Times New Roman"/>
          <w:lang w:val="pt-BR"/>
        </w:rPr>
        <w:t>Os testes CUSUM e CUSUM ao quadrado</w:t>
      </w:r>
      <w:r w:rsidR="00772D3D" w:rsidRPr="009E2740">
        <w:rPr>
          <w:rStyle w:val="FootnoteReference"/>
          <w:rFonts w:ascii="Times New Roman" w:hAnsi="Times New Roman" w:cs="Times New Roman"/>
          <w:lang w:val="pt-BR"/>
        </w:rPr>
        <w:footnoteReference w:id="17"/>
      </w:r>
      <w:r w:rsidR="00391BA8" w:rsidRPr="009E2740">
        <w:rPr>
          <w:rFonts w:ascii="Times New Roman" w:hAnsi="Times New Roman" w:cs="Times New Roman"/>
          <w:lang w:val="pt-BR"/>
        </w:rPr>
        <w:t xml:space="preserve"> não apresentaram problemas de estabilidade</w:t>
      </w:r>
      <w:r w:rsidR="006A453C" w:rsidRPr="009E2740">
        <w:rPr>
          <w:rFonts w:ascii="Times New Roman" w:hAnsi="Times New Roman" w:cs="Times New Roman"/>
          <w:lang w:val="pt-BR"/>
        </w:rPr>
        <w:t xml:space="preserve"> (Figura 4)</w:t>
      </w:r>
      <w:r w:rsidR="00391BA8" w:rsidRPr="009E2740">
        <w:rPr>
          <w:rFonts w:ascii="Times New Roman" w:hAnsi="Times New Roman" w:cs="Times New Roman"/>
          <w:lang w:val="pt-BR"/>
        </w:rPr>
        <w:t>.</w:t>
      </w:r>
    </w:p>
    <w:p w14:paraId="212E065E" w14:textId="77777777" w:rsidR="00047893" w:rsidRPr="009E2740" w:rsidRDefault="00047893" w:rsidP="009E2740">
      <w:pPr>
        <w:spacing w:after="0" w:line="240" w:lineRule="auto"/>
        <w:jc w:val="center"/>
        <w:rPr>
          <w:rFonts w:ascii="Times New Roman" w:hAnsi="Times New Roman" w:cs="Times New Roman"/>
          <w:lang w:val="pt-BR"/>
        </w:rPr>
      </w:pPr>
    </w:p>
    <w:p w14:paraId="24934FC6" w14:textId="1955D494" w:rsidR="00F436F6" w:rsidRDefault="00F436F6" w:rsidP="001E32BF">
      <w:pPr>
        <w:spacing w:after="240" w:line="240" w:lineRule="auto"/>
        <w:jc w:val="center"/>
        <w:rPr>
          <w:rFonts w:ascii="Times New Roman" w:hAnsi="Times New Roman" w:cs="Times New Roman"/>
          <w:lang w:val="pt-BR"/>
        </w:rPr>
      </w:pPr>
      <w:r w:rsidRPr="009E2740">
        <w:rPr>
          <w:rFonts w:ascii="Times New Roman" w:hAnsi="Times New Roman" w:cs="Times New Roman"/>
          <w:lang w:val="pt-BR"/>
        </w:rPr>
        <w:t xml:space="preserve">Figura </w:t>
      </w:r>
      <w:r w:rsidR="006A453C" w:rsidRPr="009E2740">
        <w:rPr>
          <w:rFonts w:ascii="Times New Roman" w:hAnsi="Times New Roman" w:cs="Times New Roman"/>
          <w:lang w:val="pt-BR"/>
        </w:rPr>
        <w:t xml:space="preserve">4 </w:t>
      </w:r>
      <w:r w:rsidRPr="009E2740">
        <w:rPr>
          <w:rFonts w:ascii="Times New Roman" w:hAnsi="Times New Roman" w:cs="Times New Roman"/>
          <w:lang w:val="pt-BR"/>
        </w:rPr>
        <w:t>– Testes CUSUM e CUSUM ao Quadrado</w:t>
      </w:r>
    </w:p>
    <w:p w14:paraId="2FF8560A" w14:textId="6AC852F2" w:rsidR="00F436F6" w:rsidRPr="009E2740" w:rsidRDefault="002946A7" w:rsidP="009E2740">
      <w:pPr>
        <w:spacing w:line="240" w:lineRule="auto"/>
        <w:jc w:val="center"/>
        <w:rPr>
          <w:rFonts w:ascii="Times New Roman" w:hAnsi="Times New Roman" w:cs="Times New Roman"/>
          <w:sz w:val="20"/>
          <w:szCs w:val="20"/>
          <w:lang w:val="pt-BR"/>
        </w:rPr>
      </w:pPr>
      <w:r w:rsidRPr="001E32BF">
        <w:rPr>
          <w:rFonts w:ascii="Times New Roman" w:hAnsi="Times New Roman" w:cs="Times New Roman"/>
          <w:noProof/>
        </w:rPr>
        <w:lastRenderedPageBreak/>
        <w:drawing>
          <wp:inline distT="0" distB="0" distL="0" distR="0" wp14:anchorId="2AEC078B" wp14:editId="18A76D41">
            <wp:extent cx="3269412" cy="3321169"/>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sum.png"/>
                    <pic:cNvPicPr/>
                  </pic:nvPicPr>
                  <pic:blipFill>
                    <a:blip r:embed="rId55">
                      <a:extLst>
                        <a:ext uri="{28A0092B-C50C-407E-A947-70E740481C1C}">
                          <a14:useLocalDpi xmlns:a14="http://schemas.microsoft.com/office/drawing/2010/main" val="0"/>
                        </a:ext>
                      </a:extLst>
                    </a:blip>
                    <a:stretch>
                      <a:fillRect/>
                    </a:stretch>
                  </pic:blipFill>
                  <pic:spPr>
                    <a:xfrm>
                      <a:off x="0" y="0"/>
                      <a:ext cx="3273208" cy="3325025"/>
                    </a:xfrm>
                    <a:prstGeom prst="rect">
                      <a:avLst/>
                    </a:prstGeom>
                  </pic:spPr>
                </pic:pic>
              </a:graphicData>
            </a:graphic>
          </wp:inline>
        </w:drawing>
      </w:r>
      <w:r w:rsidR="00772D3D" w:rsidRPr="001E32BF">
        <w:rPr>
          <w:rFonts w:ascii="Times New Roman" w:hAnsi="Times New Roman" w:cs="Times New Roman"/>
          <w:lang w:val="pt-BR"/>
        </w:rPr>
        <w:br w:type="textWrapping" w:clear="all"/>
      </w:r>
      <w:r w:rsidR="00F436F6" w:rsidRPr="00E46E05">
        <w:rPr>
          <w:rFonts w:ascii="Times New Roman" w:hAnsi="Times New Roman" w:cs="Times New Roman"/>
          <w:szCs w:val="20"/>
          <w:lang w:val="pt-BR"/>
        </w:rPr>
        <w:t>Fonte:</w:t>
      </w:r>
      <w:r w:rsidR="00E46E05" w:rsidRPr="00E46E05">
        <w:rPr>
          <w:rFonts w:ascii="Times New Roman" w:hAnsi="Times New Roman" w:cs="Times New Roman"/>
          <w:szCs w:val="20"/>
          <w:lang w:val="pt-BR"/>
        </w:rPr>
        <w:t xml:space="preserve"> Elaborado pelos</w:t>
      </w:r>
      <w:r w:rsidR="00F436F6" w:rsidRPr="00E46E05">
        <w:rPr>
          <w:rFonts w:ascii="Times New Roman" w:hAnsi="Times New Roman" w:cs="Times New Roman"/>
          <w:szCs w:val="20"/>
          <w:lang w:val="pt-BR"/>
        </w:rPr>
        <w:t xml:space="preserve"> </w:t>
      </w:r>
      <w:r w:rsidR="00E46E05" w:rsidRPr="00E46E05">
        <w:rPr>
          <w:rFonts w:ascii="Times New Roman" w:hAnsi="Times New Roman" w:cs="Times New Roman"/>
          <w:szCs w:val="20"/>
          <w:lang w:val="pt-BR"/>
        </w:rPr>
        <w:t>a</w:t>
      </w:r>
      <w:r w:rsidR="00F436F6" w:rsidRPr="00E46E05">
        <w:rPr>
          <w:rFonts w:ascii="Times New Roman" w:hAnsi="Times New Roman" w:cs="Times New Roman"/>
          <w:szCs w:val="20"/>
          <w:lang w:val="pt-BR"/>
        </w:rPr>
        <w:t>utores</w:t>
      </w:r>
    </w:p>
    <w:p w14:paraId="35DA2628" w14:textId="77777777" w:rsidR="005324EE" w:rsidRPr="009E2740" w:rsidRDefault="005324EE" w:rsidP="009E2740">
      <w:pPr>
        <w:spacing w:after="0" w:line="240" w:lineRule="auto"/>
        <w:jc w:val="both"/>
        <w:rPr>
          <w:rFonts w:ascii="Times New Roman" w:hAnsi="Times New Roman" w:cs="Times New Roman"/>
          <w:lang w:val="pt-BR"/>
        </w:rPr>
      </w:pPr>
    </w:p>
    <w:p w14:paraId="65097959" w14:textId="5A570959" w:rsidR="00391BA8" w:rsidRPr="009E2740" w:rsidRDefault="00D26BE9"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Desta forma, c</w:t>
      </w:r>
      <w:r w:rsidR="00391BA8" w:rsidRPr="009E2740">
        <w:rPr>
          <w:rFonts w:ascii="Times New Roman" w:hAnsi="Times New Roman" w:cs="Times New Roman"/>
          <w:lang w:val="pt-BR"/>
        </w:rPr>
        <w:t>onforme os resultados, percebe-se que a carga tributária ótim</w:t>
      </w:r>
      <w:r w:rsidR="00E01624" w:rsidRPr="009E2740">
        <w:rPr>
          <w:rFonts w:ascii="Times New Roman" w:hAnsi="Times New Roman" w:cs="Times New Roman"/>
          <w:lang w:val="pt-BR"/>
        </w:rPr>
        <w:t>a</w:t>
      </w:r>
      <w:r w:rsidR="00EE0646" w:rsidRPr="009E2740">
        <w:rPr>
          <w:rFonts w:ascii="Times New Roman" w:hAnsi="Times New Roman" w:cs="Times New Roman"/>
          <w:lang w:val="pt-BR"/>
        </w:rPr>
        <w:t xml:space="preserve"> é igual a </w:t>
      </w:r>
      <w:r w:rsidR="00391BA8" w:rsidRPr="009E2740">
        <w:rPr>
          <w:rFonts w:ascii="Times New Roman" w:hAnsi="Times New Roman" w:cs="Times New Roman"/>
          <w:lang w:val="pt-BR"/>
        </w:rPr>
        <w:t>2</w:t>
      </w:r>
      <w:r w:rsidR="008C67A1" w:rsidRPr="009E2740">
        <w:rPr>
          <w:rFonts w:ascii="Times New Roman" w:hAnsi="Times New Roman" w:cs="Times New Roman"/>
          <w:lang w:val="pt-BR"/>
        </w:rPr>
        <w:t>8</w:t>
      </w:r>
      <w:r w:rsidR="00391BA8" w:rsidRPr="009E2740">
        <w:rPr>
          <w:rFonts w:ascii="Times New Roman" w:hAnsi="Times New Roman" w:cs="Times New Roman"/>
          <w:lang w:val="pt-BR"/>
        </w:rPr>
        <w:t>.</w:t>
      </w:r>
      <w:r w:rsidR="008C67A1" w:rsidRPr="009E2740">
        <w:rPr>
          <w:rFonts w:ascii="Times New Roman" w:hAnsi="Times New Roman" w:cs="Times New Roman"/>
          <w:lang w:val="pt-BR"/>
        </w:rPr>
        <w:t>38</w:t>
      </w:r>
      <w:r w:rsidR="006A453C" w:rsidRPr="009E2740">
        <w:rPr>
          <w:rFonts w:ascii="Times New Roman" w:hAnsi="Times New Roman" w:cs="Times New Roman"/>
          <w:lang w:val="pt-BR"/>
        </w:rPr>
        <w:t>%</w:t>
      </w:r>
      <w:r w:rsidR="006904D9" w:rsidRPr="009E2740">
        <w:rPr>
          <w:rFonts w:ascii="Times New Roman" w:hAnsi="Times New Roman" w:cs="Times New Roman"/>
          <w:lang w:val="pt-BR"/>
        </w:rPr>
        <w:t xml:space="preserve"> ([5.92/(5.92+14.94)]*100%)</w:t>
      </w:r>
      <w:r w:rsidR="00391BA8" w:rsidRPr="009E2740">
        <w:rPr>
          <w:rFonts w:ascii="Times New Roman" w:hAnsi="Times New Roman" w:cs="Times New Roman"/>
          <w:lang w:val="pt-BR"/>
        </w:rPr>
        <w:t xml:space="preserve"> no equilíbrio de longo prazo</w:t>
      </w:r>
      <w:r w:rsidR="00364B33" w:rsidRPr="009E2740">
        <w:rPr>
          <w:rFonts w:ascii="Times New Roman" w:hAnsi="Times New Roman" w:cs="Times New Roman"/>
          <w:lang w:val="pt-BR"/>
        </w:rPr>
        <w:t xml:space="preserve">. </w:t>
      </w:r>
      <w:r w:rsidR="003834D3" w:rsidRPr="009E2740">
        <w:rPr>
          <w:rFonts w:ascii="Times New Roman" w:hAnsi="Times New Roman" w:cs="Times New Roman"/>
          <w:lang w:val="pt-BR"/>
        </w:rPr>
        <w:t xml:space="preserve">Como em </w:t>
      </w:r>
      <w:r w:rsidR="003834D3"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"Shikida", "given" : "Claudio D", "non-dropping-particle" : "", "parse-names" : false, "suffix" : "" }, { "dropping-particle" : "de", "family" : "Araujo Jr.", "given" : "Ari Francisco", "non-dropping-particle" : "", "parse-names" : false, "suffix" : "" }, { "dropping-particle" : "", "family" : "Hillbrecht", "given" : "Ronald O.", "non-dropping-particle" : "", "parse-names" : false, "suffix" : "" } ], "container-title" : "RBEE. Revista Brasileira de Economia de Empresas", "id" : "ITEM-1", "issue" : "2", "issued" : { "date-parts" : [ [ "2005" ] ] }, "page" : "21-35", "title" : "Public Vices, Private Serfdom? Comments on the Optimal Size of the Brazilian State", "type" : "article-journal", "volume" : "5" }, "uris" : [ "http://www.mendeley.com/documents/?uuid=620da43b-4a20-4934-af01-84185ed4c78c" ] } ], "mendeley" : { "formattedCitation" : "(Shikida et al., 2005)", "plainTextFormattedCitation" : "(Shikida et al., 2005)", "previouslyFormattedCitation" : "(Shikida et al., 2005)" }, "properties" : { "noteIndex" : 0 }, "schema" : "https://github.com/citation-style-language/schema/raw/master/csl-citation.json" }</w:instrText>
      </w:r>
      <w:r w:rsidR="003834D3"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(Shikida et al., 2005)</w:t>
      </w:r>
      <w:r w:rsidR="003834D3" w:rsidRPr="009E2740">
        <w:rPr>
          <w:rFonts w:ascii="Times New Roman" w:hAnsi="Times New Roman" w:cs="Times New Roman"/>
          <w:lang w:val="pt-BR"/>
        </w:rPr>
        <w:fldChar w:fldCharType="end"/>
      </w:r>
      <w:r w:rsidR="003834D3" w:rsidRPr="009E2740">
        <w:rPr>
          <w:rFonts w:ascii="Times New Roman" w:hAnsi="Times New Roman" w:cs="Times New Roman"/>
          <w:lang w:val="pt-BR"/>
        </w:rPr>
        <w:t>, assum</w:t>
      </w:r>
      <w:r w:rsidR="002946A7" w:rsidRPr="009E2740">
        <w:rPr>
          <w:rFonts w:ascii="Times New Roman" w:hAnsi="Times New Roman" w:cs="Times New Roman"/>
          <w:lang w:val="pt-BR"/>
        </w:rPr>
        <w:t>iu-se</w:t>
      </w:r>
      <w:r w:rsidR="003834D3" w:rsidRPr="009E2740">
        <w:rPr>
          <w:rFonts w:ascii="Times New Roman" w:hAnsi="Times New Roman" w:cs="Times New Roman"/>
          <w:lang w:val="pt-BR"/>
        </w:rPr>
        <w:t xml:space="preserve">, para fins ilustrativos, que a carga tributária deve ser paga nos primeiros meses do ano e que ela seja igualmente distribuída entre toda a população. Neste caso, a </w:t>
      </w:r>
      <w:r w:rsidR="003834D3" w:rsidRPr="009E2740">
        <w:rPr>
          <w:rFonts w:ascii="Times New Roman" w:hAnsi="Times New Roman" w:cs="Times New Roman"/>
          <w:i/>
          <w:lang w:val="pt-BR"/>
        </w:rPr>
        <w:t xml:space="preserve">servidão </w:t>
      </w:r>
      <w:r w:rsidR="003834D3" w:rsidRPr="009E2740">
        <w:rPr>
          <w:rFonts w:ascii="Times New Roman" w:hAnsi="Times New Roman" w:cs="Times New Roman"/>
          <w:lang w:val="pt-BR"/>
        </w:rPr>
        <w:t>ao Estado terminaria a partir do dia 14 de Abril de 2016 (0.2838*365 =</w:t>
      </w:r>
      <w:r w:rsidR="001467AA" w:rsidRPr="009E2740">
        <w:rPr>
          <w:rFonts w:ascii="Times New Roman" w:hAnsi="Times New Roman" w:cs="Times New Roman"/>
          <w:lang w:val="pt-BR"/>
        </w:rPr>
        <w:t xml:space="preserve"> 103.58 ou 104 dias). </w:t>
      </w:r>
      <w:r w:rsidR="009B7D30" w:rsidRPr="009E2740">
        <w:rPr>
          <w:rFonts w:ascii="Times New Roman" w:hAnsi="Times New Roman" w:cs="Times New Roman"/>
          <w:lang w:val="pt-BR"/>
        </w:rPr>
        <w:t>Sob e</w:t>
      </w:r>
      <w:r w:rsidR="0052621F" w:rsidRPr="009E2740">
        <w:rPr>
          <w:rFonts w:ascii="Times New Roman" w:hAnsi="Times New Roman" w:cs="Times New Roman"/>
          <w:lang w:val="pt-BR"/>
        </w:rPr>
        <w:t xml:space="preserve">sta interpretação, </w:t>
      </w:r>
      <w:r w:rsidR="001467AA" w:rsidRPr="009E2740">
        <w:rPr>
          <w:rFonts w:ascii="Times New Roman" w:hAnsi="Times New Roman" w:cs="Times New Roman"/>
          <w:lang w:val="pt-BR"/>
        </w:rPr>
        <w:t>o indivíduo teria que trabalhar desde 01 de Janeiro até 13 de Abril pa</w:t>
      </w:r>
      <w:r w:rsidR="00E01624" w:rsidRPr="009E2740">
        <w:rPr>
          <w:rFonts w:ascii="Times New Roman" w:hAnsi="Times New Roman" w:cs="Times New Roman"/>
          <w:lang w:val="pt-BR"/>
        </w:rPr>
        <w:t>ra pagar os impostos de forma a maximizar o bem-estar</w:t>
      </w:r>
      <w:r w:rsidR="00E01624" w:rsidRPr="009E2740">
        <w:rPr>
          <w:rStyle w:val="FootnoteReference"/>
          <w:rFonts w:ascii="Times New Roman" w:hAnsi="Times New Roman" w:cs="Times New Roman"/>
          <w:lang w:val="pt-BR"/>
        </w:rPr>
        <w:footnoteReference w:id="18"/>
      </w:r>
      <w:r w:rsidR="001467AA" w:rsidRPr="009E2740">
        <w:rPr>
          <w:rFonts w:ascii="Times New Roman" w:hAnsi="Times New Roman" w:cs="Times New Roman"/>
          <w:lang w:val="pt-BR"/>
        </w:rPr>
        <w:t>.</w:t>
      </w:r>
    </w:p>
    <w:p w14:paraId="3781429E" w14:textId="77777777" w:rsidR="009E29C7" w:rsidRPr="009E2740" w:rsidRDefault="009E29C7"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ab/>
        <w:t>Como a carga tributária, em 2013, foi calculada em 33.74%</w:t>
      </w:r>
      <w:r w:rsidR="00E01624" w:rsidRPr="009E2740">
        <w:rPr>
          <w:rFonts w:ascii="Times New Roman" w:hAnsi="Times New Roman" w:cs="Times New Roman"/>
          <w:lang w:val="pt-BR"/>
        </w:rPr>
        <w:t xml:space="preserve"> (ou seja, no raciocínio da </w:t>
      </w:r>
      <w:r w:rsidR="00E01624" w:rsidRPr="009E2740">
        <w:rPr>
          <w:rFonts w:ascii="Times New Roman" w:hAnsi="Times New Roman" w:cs="Times New Roman"/>
          <w:i/>
          <w:lang w:val="pt-BR"/>
        </w:rPr>
        <w:t>servidão</w:t>
      </w:r>
      <w:r w:rsidR="00E01624" w:rsidRPr="009E2740">
        <w:rPr>
          <w:rFonts w:ascii="Times New Roman" w:hAnsi="Times New Roman" w:cs="Times New Roman"/>
          <w:lang w:val="pt-BR"/>
        </w:rPr>
        <w:t>, a liberdade de impostos ocorreria em 03 de Maio de 2016)</w:t>
      </w:r>
      <w:r w:rsidRPr="009E2740">
        <w:rPr>
          <w:rFonts w:ascii="Times New Roman" w:hAnsi="Times New Roman" w:cs="Times New Roman"/>
          <w:lang w:val="pt-BR"/>
        </w:rPr>
        <w:t xml:space="preserve">, parece haver evidências de que o Estado brasileiro segue acima do seu nível de carga tributária ótima. </w:t>
      </w:r>
    </w:p>
    <w:p w14:paraId="0BB305CE" w14:textId="26F8EA1A" w:rsidR="00317E2B" w:rsidRPr="009E2740" w:rsidRDefault="00317E2B"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Para efeitos de visualização, a </w:t>
      </w:r>
      <w:r w:rsidR="006A453C" w:rsidRPr="009E2740">
        <w:rPr>
          <w:rFonts w:ascii="Times New Roman" w:hAnsi="Times New Roman" w:cs="Times New Roman"/>
          <w:lang w:val="pt-BR"/>
        </w:rPr>
        <w:t xml:space="preserve">Figura 5 </w:t>
      </w:r>
      <w:r w:rsidRPr="009E2740">
        <w:rPr>
          <w:rFonts w:ascii="Times New Roman" w:hAnsi="Times New Roman" w:cs="Times New Roman"/>
          <w:lang w:val="pt-BR"/>
        </w:rPr>
        <w:t xml:space="preserve">mostra as cargas tributárias ótimas calculadas para o Brasil com dados anuais – respectivamente,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"author" : [ { "dropping-particle" : "", "family" : "Shikida", "given" : "Claudio D", "non-dropping-particle" : "", "parse-names" : false, "suffix" : "" }, { "dropping-particle" : "de", "family" : "Araujo Jr.", "given" : "Ari Francisco", "non-dropping-particle" : "", "parse-names" : false, "suffix" : "" }, { "dropping-particle" : "", "family" : "Hillbrecht", "given" : "Ronald O.", "non-dropping-particle" : "", "parse-names" : false, "suffix" : "" } ], "container-title" : "RBEE. Revista Brasileira de Economia de Empresas", "id" : "ITEM-1", "issue" : "2", "issued" : { "date-parts" : [ [ "2005" ] ] }, "page" : "21-35", "title" : "Public Vices, Private Serfdom? Comments on the Optimal Size of the Brazilian State", "type" : "article-journal", "volume" : "5" }, "uris" : [ "http://www.mendeley.com/documents/?uuid=620da43b-4a20-4934-af01-84185ed4c78c" ] } ], "mendeley" : { "formattedCitation" : "(Shikida et al., 2005)", "plainTextFormattedCitation" : "(Shikida et al., 2005)", "previouslyFormattedCitation" : "(Shikida et al., 2005)"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(Shikida et al., 2005)</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e este artigo – e a estimativa de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"DOI" : "10.1080/13504851.2014.987909", "ISSN" : "1350-4851", "abstract" : "This article provides empirical evidence regarding the effect of the size of government on economic growth in the Brazilian economy for the period from January 2000 to March 2013. In particular, an analysis is conducted to see whether the Armey curve fits well for the Brazilian case and the optimal government size is also estimated. The findings indicate that an increase in the size of government contributes to economic growth and that the optimal size for the Brazilian government would be approximately 22% of GDP. Brazil crossed over this limit in 2005.", "author" : [ { "dropping-particle" : "de", "family" : "Mendon\u00e7a", "given" : "Helder Ferreira", "non-dropping-particle" : "", "parse-names" : false, "suffix" : "" }, { "dropping-particle" : "", "family" : "Cacicedo", "given" : "Thiago", "non-dropping-particle" : "", "parse-names" : false, "suffix" : "" } ], "container-title" : "Applied Economics Letters", "id" : "ITEM-1", "issue" : "11", "issued" : { "date-parts" : [ [ "2015" ] ] }, "page" : "904-910", "title" : "Size of government and economic growth in the largest Latin American country", "type" : "article-journal", "volume" : "22" }, "uris" : [ "http://www.mendeley.com/documents/?uuid=10ca4753-035a-4740-83b6-d7357a9e93a1" ] } ], "mendeley" : { "formattedCitation" : "(Mendon\u00e7a &amp; Cacicedo, 2015)", "plainTextFormattedCitation" : "(Mendon\u00e7a &amp; Cacicedo, 2015)", "previouslyFormattedCitation" : "(Mendon\u00e7a &amp; Cacicedo, 2015)"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(Mendonça &amp; Cacicedo, 2015)</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com dados mensais. </w:t>
      </w:r>
    </w:p>
    <w:p w14:paraId="0E589794" w14:textId="77777777" w:rsidR="009B7D30" w:rsidRPr="009E2740" w:rsidRDefault="009B7D30" w:rsidP="009E2740">
      <w:pPr>
        <w:spacing w:after="0" w:line="240" w:lineRule="auto"/>
        <w:ind w:firstLine="709"/>
        <w:jc w:val="both"/>
        <w:rPr>
          <w:rFonts w:ascii="Times New Roman" w:hAnsi="Times New Roman" w:cs="Times New Roman"/>
          <w:lang w:val="pt-BR"/>
        </w:rPr>
      </w:pPr>
    </w:p>
    <w:p w14:paraId="77BBC9BA" w14:textId="4DCA505D" w:rsidR="009B7D30" w:rsidRPr="009E2740" w:rsidRDefault="009B7D30" w:rsidP="009E2740">
      <w:pPr>
        <w:spacing w:after="0" w:line="240" w:lineRule="auto"/>
        <w:ind w:firstLine="709"/>
        <w:jc w:val="center"/>
        <w:rPr>
          <w:rFonts w:ascii="Times New Roman" w:hAnsi="Times New Roman" w:cs="Times New Roman"/>
          <w:lang w:val="pt-BR"/>
        </w:rPr>
      </w:pPr>
      <w:r w:rsidRPr="009E2740">
        <w:rPr>
          <w:rFonts w:ascii="Times New Roman" w:hAnsi="Times New Roman" w:cs="Times New Roman"/>
          <w:lang w:val="pt-BR"/>
        </w:rPr>
        <w:t xml:space="preserve">Figura </w:t>
      </w:r>
      <w:r w:rsidR="006A453C" w:rsidRPr="009E2740">
        <w:rPr>
          <w:rFonts w:ascii="Times New Roman" w:hAnsi="Times New Roman" w:cs="Times New Roman"/>
          <w:lang w:val="pt-BR"/>
        </w:rPr>
        <w:t xml:space="preserve">5 </w:t>
      </w:r>
      <w:r w:rsidRPr="009E2740">
        <w:rPr>
          <w:rFonts w:ascii="Times New Roman" w:hAnsi="Times New Roman" w:cs="Times New Roman"/>
          <w:lang w:val="pt-BR"/>
        </w:rPr>
        <w:t>– Carga Tributária Ótima para o Brasil</w:t>
      </w:r>
    </w:p>
    <w:p w14:paraId="238E76BF" w14:textId="5E474247" w:rsidR="009B7D30" w:rsidRDefault="00317E2B" w:rsidP="00F93B1C">
      <w:pPr>
        <w:spacing w:after="0" w:line="240" w:lineRule="auto"/>
        <w:jc w:val="center"/>
        <w:rPr>
          <w:rFonts w:ascii="Times New Roman" w:hAnsi="Times New Roman" w:cs="Times New Roman"/>
          <w:lang w:val="pt-BR"/>
        </w:rPr>
      </w:pPr>
      <w:r w:rsidRPr="009E2740">
        <w:rPr>
          <w:rFonts w:ascii="Times New Roman" w:hAnsi="Times New Roman" w:cs="Times New Roman"/>
          <w:noProof/>
        </w:rPr>
        <w:lastRenderedPageBreak/>
        <w:drawing>
          <wp:inline distT="0" distB="0" distL="0" distR="0" wp14:anchorId="236843C4" wp14:editId="3A267F95">
            <wp:extent cx="5503653" cy="3510951"/>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08748" cy="3514201"/>
                    </a:xfrm>
                    <a:prstGeom prst="rect">
                      <a:avLst/>
                    </a:prstGeom>
                    <a:noFill/>
                  </pic:spPr>
                </pic:pic>
              </a:graphicData>
            </a:graphic>
          </wp:inline>
        </w:drawing>
      </w:r>
    </w:p>
    <w:p w14:paraId="2B6E5175" w14:textId="391A1CB6" w:rsidR="009B7D30" w:rsidRDefault="002946A7" w:rsidP="001E32BF">
      <w:pPr>
        <w:spacing w:after="0" w:line="240" w:lineRule="auto"/>
        <w:ind w:left="567"/>
        <w:jc w:val="both"/>
        <w:rPr>
          <w:rFonts w:ascii="Times New Roman" w:hAnsi="Times New Roman" w:cs="Times New Roman"/>
          <w:lang w:val="pt-BR"/>
        </w:rPr>
      </w:pPr>
      <w:r w:rsidRPr="009E2740">
        <w:rPr>
          <w:rFonts w:ascii="Times New Roman" w:hAnsi="Times New Roman" w:cs="Times New Roman"/>
          <w:lang w:val="pt-BR"/>
        </w:rPr>
        <w:t>Fonte: Elaborado pelos autores</w:t>
      </w:r>
    </w:p>
    <w:p w14:paraId="6A1726B6" w14:textId="77777777" w:rsidR="00F93B1C" w:rsidRPr="009E2740" w:rsidRDefault="00F93B1C" w:rsidP="009E2740">
      <w:pPr>
        <w:spacing w:after="0" w:line="240" w:lineRule="auto"/>
        <w:ind w:left="1843"/>
        <w:jc w:val="both"/>
        <w:rPr>
          <w:rFonts w:ascii="Times New Roman" w:hAnsi="Times New Roman" w:cs="Times New Roman"/>
          <w:lang w:val="pt-BR"/>
        </w:rPr>
      </w:pPr>
    </w:p>
    <w:p w14:paraId="77B83A86" w14:textId="42241BFE" w:rsidR="00317E2B" w:rsidRPr="009E2740" w:rsidRDefault="00317E2B"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O gráfico mostra que o valor de carga tributária ótima para o Brasil </w:t>
      </w:r>
      <w:r w:rsidR="00A6485F" w:rsidRPr="009E2740">
        <w:rPr>
          <w:rFonts w:ascii="Times New Roman" w:hAnsi="Times New Roman" w:cs="Times New Roman"/>
          <w:lang w:val="pt-BR"/>
        </w:rPr>
        <w:t>obtido neste artigo é compatível com aquele observado no início dos anos 90</w:t>
      </w:r>
      <w:r w:rsidR="00107921" w:rsidRPr="009E2740">
        <w:rPr>
          <w:rFonts w:ascii="Times New Roman" w:hAnsi="Times New Roman" w:cs="Times New Roman"/>
          <w:lang w:val="pt-BR"/>
        </w:rPr>
        <w:t>. Já a partir da segunda metade dos anos 90 o tamanho da carga tributária ultrapassa o tamanho ótimo e gradualmente se aproxima da marca dos 35%</w:t>
      </w:r>
      <w:r w:rsidR="00A6485F" w:rsidRPr="009E2740">
        <w:rPr>
          <w:rFonts w:ascii="Times New Roman" w:hAnsi="Times New Roman" w:cs="Times New Roman"/>
          <w:lang w:val="pt-BR"/>
        </w:rPr>
        <w:t xml:space="preserve">. </w:t>
      </w:r>
    </w:p>
    <w:p w14:paraId="4A36E21F" w14:textId="09CD239C" w:rsidR="007B2966" w:rsidRPr="009E2740" w:rsidRDefault="00740F21"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Como interpretar este resultado</w:t>
      </w:r>
      <w:r w:rsidR="007B2966" w:rsidRPr="009E2740">
        <w:rPr>
          <w:rFonts w:ascii="Times New Roman" w:hAnsi="Times New Roman" w:cs="Times New Roman"/>
          <w:lang w:val="pt-BR"/>
        </w:rPr>
        <w:t xml:space="preserve">? </w:t>
      </w:r>
      <w:r w:rsidR="00CD1066" w:rsidRPr="009E2740">
        <w:rPr>
          <w:rFonts w:ascii="Times New Roman" w:hAnsi="Times New Roman" w:cs="Times New Roman"/>
          <w:lang w:val="pt-BR"/>
        </w:rPr>
        <w:t>Utilizando os dados de 2013, a diferença entre a car</w:t>
      </w:r>
      <w:r w:rsidR="00A76DEC" w:rsidRPr="009E2740">
        <w:rPr>
          <w:rFonts w:ascii="Times New Roman" w:hAnsi="Times New Roman" w:cs="Times New Roman"/>
          <w:lang w:val="pt-BR"/>
        </w:rPr>
        <w:t xml:space="preserve">ga tributária </w:t>
      </w:r>
      <w:r w:rsidR="006904D9" w:rsidRPr="009E2740">
        <w:rPr>
          <w:rFonts w:ascii="Times New Roman" w:hAnsi="Times New Roman" w:cs="Times New Roman"/>
          <w:lang w:val="pt-BR"/>
        </w:rPr>
        <w:t>em relação à carga ótima aplica</w:t>
      </w:r>
      <w:r w:rsidR="00A76DEC" w:rsidRPr="009E2740">
        <w:rPr>
          <w:rFonts w:ascii="Times New Roman" w:hAnsi="Times New Roman" w:cs="Times New Roman"/>
          <w:lang w:val="pt-BR"/>
        </w:rPr>
        <w:t>d</w:t>
      </w:r>
      <w:r w:rsidR="00CD1066" w:rsidRPr="009E2740">
        <w:rPr>
          <w:rFonts w:ascii="Times New Roman" w:hAnsi="Times New Roman" w:cs="Times New Roman"/>
          <w:lang w:val="pt-BR"/>
        </w:rPr>
        <w:t>a</w:t>
      </w:r>
      <w:r w:rsidR="00A76DEC" w:rsidRPr="009E2740">
        <w:rPr>
          <w:rFonts w:ascii="Times New Roman" w:hAnsi="Times New Roman" w:cs="Times New Roman"/>
          <w:lang w:val="pt-BR"/>
        </w:rPr>
        <w:t xml:space="preserve"> ao PIB, </w:t>
      </w:r>
      <w:r w:rsidR="006904D9" w:rsidRPr="009E2740">
        <w:rPr>
          <w:rFonts w:ascii="Times New Roman" w:hAnsi="Times New Roman" w:cs="Times New Roman"/>
          <w:lang w:val="pt-BR"/>
        </w:rPr>
        <w:t>indica</w:t>
      </w:r>
      <w:r w:rsidR="00CD1066" w:rsidRPr="009E2740">
        <w:rPr>
          <w:rFonts w:ascii="Times New Roman" w:hAnsi="Times New Roman" w:cs="Times New Roman"/>
          <w:lang w:val="pt-BR"/>
        </w:rPr>
        <w:t xml:space="preserve"> que </w:t>
      </w:r>
      <w:r w:rsidR="00A76DEC" w:rsidRPr="009E2740">
        <w:rPr>
          <w:rFonts w:ascii="Times New Roman" w:hAnsi="Times New Roman" w:cs="Times New Roman"/>
          <w:lang w:val="pt-BR"/>
        </w:rPr>
        <w:t xml:space="preserve">o tamanho ótimo do governo </w:t>
      </w:r>
      <w:r w:rsidR="006904D9" w:rsidRPr="009E2740">
        <w:rPr>
          <w:rFonts w:ascii="Times New Roman" w:hAnsi="Times New Roman" w:cs="Times New Roman"/>
          <w:lang w:val="pt-BR"/>
        </w:rPr>
        <w:t>seria alcançado com uma</w:t>
      </w:r>
      <w:r w:rsidR="00A76DEC" w:rsidRPr="009E2740">
        <w:rPr>
          <w:rFonts w:ascii="Times New Roman" w:hAnsi="Times New Roman" w:cs="Times New Roman"/>
          <w:lang w:val="pt-BR"/>
        </w:rPr>
        <w:t xml:space="preserve"> redução de gastos aproximada de </w:t>
      </w:r>
      <w:r w:rsidR="00CD1066" w:rsidRPr="009E2740">
        <w:rPr>
          <w:rFonts w:ascii="Times New Roman" w:hAnsi="Times New Roman" w:cs="Times New Roman"/>
          <w:lang w:val="pt-BR"/>
        </w:rPr>
        <w:t>R$ 259.</w:t>
      </w:r>
      <w:r w:rsidR="006904D9" w:rsidRPr="009E2740">
        <w:rPr>
          <w:rFonts w:ascii="Times New Roman" w:hAnsi="Times New Roman" w:cs="Times New Roman"/>
          <w:lang w:val="pt-BR"/>
        </w:rPr>
        <w:t xml:space="preserve">682 </w:t>
      </w:r>
      <w:r w:rsidR="002A63D1" w:rsidRPr="009E2740">
        <w:rPr>
          <w:rFonts w:ascii="Times New Roman" w:hAnsi="Times New Roman" w:cs="Times New Roman"/>
          <w:lang w:val="pt-BR"/>
        </w:rPr>
        <w:t>b</w:t>
      </w:r>
      <w:r w:rsidR="006904D9" w:rsidRPr="009E2740">
        <w:rPr>
          <w:rFonts w:ascii="Times New Roman" w:hAnsi="Times New Roman" w:cs="Times New Roman"/>
          <w:lang w:val="pt-BR"/>
        </w:rPr>
        <w:t>ilhões</w:t>
      </w:r>
      <w:r w:rsidR="007F6985" w:rsidRPr="009E2740">
        <w:rPr>
          <w:rFonts w:ascii="Times New Roman" w:hAnsi="Times New Roman" w:cs="Times New Roman"/>
          <w:lang w:val="pt-BR"/>
        </w:rPr>
        <w:t xml:space="preserve">. </w:t>
      </w:r>
    </w:p>
    <w:p w14:paraId="76E51A24" w14:textId="0B18F965" w:rsidR="007F6985" w:rsidRPr="009E2740" w:rsidRDefault="002A63D1"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Uma referência normativa interessante é pensar nas propostas de Adam Smith, em sua obra mais famosa [</w:t>
      </w:r>
      <w:r w:rsidRPr="009E2740">
        <w:rPr>
          <w:rFonts w:ascii="Times New Roman" w:hAnsi="Times New Roman" w:cs="Times New Roman"/>
          <w:lang w:val="pt-BR"/>
        </w:rPr>
        <w:fldChar w:fldCharType="begin" w:fldLock="1"/>
      </w:r>
      <w:r w:rsidR="00265BDE" w:rsidRPr="009E2740">
        <w:rPr>
          <w:rFonts w:ascii="Times New Roman" w:hAnsi="Times New Roman" w:cs="Times New Roman"/>
          <w:lang w:val="pt-BR"/>
        </w:rPr>
        <w:instrText>ADDIN CSL_CITATION { "citationItems" : [ { "id" : "ITEM-1", "itemData" : { "URL" : "http://www.econlib.org/library/Smith/smWN20.html", "author" : [ { "dropping-particle" : "", "family" : "Smith", "given" : "Adam", "non-dropping-particle" : "", "parse-names" : false, "suffix" : "" } ], "edition" : "1904", "editor" : [ { "dropping-particle" : "", "family" : "Edwin Cannan", "given" : "", "non-dropping-particle" : "", "parse-names" : false, "suffix" : "" } ], "id" : "ITEM-1", "issued" : { "date-parts" : [ [ "1904" ] ] }, "publisher" : "Library of Economics and Liberty", "title" : "An Inquiry into the Nature and Causes of the Wealth of Nations", "type" : "webpage" }, "uris" : [ "http://www.mendeley.com/documents/?uuid=8f015029-063d-3c3f-bf38-ca3c595fb44d" ] } ], "mendeley" : { "formattedCitation" : "(Smith, 1904)", "plainTextFormattedCitation" : "(Smith, 1904)", "previouslyFormattedCitation" : "(Smith, 1904)" }, "properties" : { "noteIndex" : 0 }, "schema" : "https://github.com/citation-style-language/schema/raw/master/csl-citation.json" }</w:instrText>
      </w:r>
      <w:r w:rsidRPr="009E2740">
        <w:rPr>
          <w:rFonts w:ascii="Times New Roman" w:hAnsi="Times New Roman" w:cs="Times New Roman"/>
          <w:lang w:val="pt-BR"/>
        </w:rPr>
        <w:fldChar w:fldCharType="separate"/>
      </w:r>
      <w:r w:rsidR="00265BDE" w:rsidRPr="009E2740">
        <w:rPr>
          <w:rFonts w:ascii="Times New Roman" w:hAnsi="Times New Roman" w:cs="Times New Roman"/>
          <w:noProof/>
          <w:lang w:val="pt-BR"/>
        </w:rPr>
        <w:t>(Smith, 1904)</w:t>
      </w:r>
      <w:r w:rsidRPr="009E2740">
        <w:rPr>
          <w:rFonts w:ascii="Times New Roman" w:hAnsi="Times New Roman" w:cs="Times New Roman"/>
          <w:lang w:val="pt-BR"/>
        </w:rPr>
        <w:fldChar w:fldCharType="end"/>
      </w:r>
      <w:r w:rsidRPr="009E2740">
        <w:rPr>
          <w:rFonts w:ascii="Times New Roman" w:hAnsi="Times New Roman" w:cs="Times New Roman"/>
          <w:lang w:val="pt-BR"/>
        </w:rPr>
        <w:t xml:space="preserve">]. </w:t>
      </w:r>
      <w:r w:rsidR="00DB31EB" w:rsidRPr="009E2740">
        <w:rPr>
          <w:rFonts w:ascii="Times New Roman" w:hAnsi="Times New Roman" w:cs="Times New Roman"/>
          <w:lang w:val="pt-BR"/>
        </w:rPr>
        <w:t xml:space="preserve">Para o pai da Ciência Econômica, </w:t>
      </w:r>
      <w:r w:rsidR="00CD1066" w:rsidRPr="009E2740">
        <w:rPr>
          <w:rFonts w:ascii="Times New Roman" w:hAnsi="Times New Roman" w:cs="Times New Roman"/>
          <w:lang w:val="pt-BR"/>
        </w:rPr>
        <w:t>o governo dev</w:t>
      </w:r>
      <w:r w:rsidR="00DB31EB" w:rsidRPr="009E2740">
        <w:rPr>
          <w:rFonts w:ascii="Times New Roman" w:hAnsi="Times New Roman" w:cs="Times New Roman"/>
          <w:lang w:val="pt-BR"/>
        </w:rPr>
        <w:t xml:space="preserve">eria cuidar da Educação, Defesa e da Lei. A redução de gastos calculada acima, em termos do </w:t>
      </w:r>
      <w:r w:rsidR="00CD1066" w:rsidRPr="009E2740">
        <w:rPr>
          <w:rFonts w:ascii="Times New Roman" w:hAnsi="Times New Roman" w:cs="Times New Roman"/>
          <w:lang w:val="pt-BR"/>
        </w:rPr>
        <w:t xml:space="preserve">orçamento </w:t>
      </w:r>
      <w:r w:rsidR="007B2966" w:rsidRPr="009E2740">
        <w:rPr>
          <w:rFonts w:ascii="Times New Roman" w:hAnsi="Times New Roman" w:cs="Times New Roman"/>
          <w:lang w:val="pt-BR"/>
        </w:rPr>
        <w:t>de 2013, equivaleria a dizer que o tamanho ótimo do governo corresponderia a uma estrutura que comportaria</w:t>
      </w:r>
      <w:r w:rsidR="00CD1066" w:rsidRPr="009E2740">
        <w:rPr>
          <w:rFonts w:ascii="Times New Roman" w:hAnsi="Times New Roman" w:cs="Times New Roman"/>
          <w:lang w:val="pt-BR"/>
        </w:rPr>
        <w:t xml:space="preserve"> </w:t>
      </w:r>
      <w:r w:rsidR="00DB31EB" w:rsidRPr="009E2740">
        <w:rPr>
          <w:rFonts w:ascii="Times New Roman" w:hAnsi="Times New Roman" w:cs="Times New Roman"/>
          <w:lang w:val="pt-BR"/>
        </w:rPr>
        <w:t>basicamente</w:t>
      </w:r>
      <w:r w:rsidR="007B2966" w:rsidRPr="009E2740">
        <w:rPr>
          <w:rFonts w:ascii="Times New Roman" w:hAnsi="Times New Roman" w:cs="Times New Roman"/>
          <w:lang w:val="pt-BR"/>
        </w:rPr>
        <w:t xml:space="preserve"> </w:t>
      </w:r>
      <w:r w:rsidR="00CD1066" w:rsidRPr="009E2740">
        <w:rPr>
          <w:rFonts w:ascii="Times New Roman" w:hAnsi="Times New Roman" w:cs="Times New Roman"/>
          <w:lang w:val="pt-BR"/>
        </w:rPr>
        <w:t>os ministérios da</w:t>
      </w:r>
      <w:r w:rsidR="007B2966" w:rsidRPr="009E2740">
        <w:rPr>
          <w:rFonts w:ascii="Times New Roman" w:hAnsi="Times New Roman" w:cs="Times New Roman"/>
          <w:lang w:val="pt-BR"/>
        </w:rPr>
        <w:t xml:space="preserve"> </w:t>
      </w:r>
      <w:r w:rsidR="007F6985" w:rsidRPr="009E2740">
        <w:rPr>
          <w:rFonts w:ascii="Times New Roman" w:hAnsi="Times New Roman" w:cs="Times New Roman"/>
          <w:lang w:val="pt-BR"/>
        </w:rPr>
        <w:t>Saúde, Educação, Justiça, Previdência Social, Defesa e Desenvolvimento Social e Combate a Fome.</w:t>
      </w:r>
      <w:r w:rsidR="00DB31EB" w:rsidRPr="009E2740">
        <w:rPr>
          <w:rFonts w:ascii="Times New Roman" w:hAnsi="Times New Roman" w:cs="Times New Roman"/>
          <w:lang w:val="pt-BR"/>
        </w:rPr>
        <w:t xml:space="preserve"> Em outras palavras, o tamanho ótimo do governo seria equivalente às ideias de Adam Smith com um Estado de Bem-Estar Social enxuto.</w:t>
      </w:r>
    </w:p>
    <w:p w14:paraId="67A07A23" w14:textId="025273E0" w:rsidR="007F5090" w:rsidRPr="009E2740" w:rsidRDefault="0042512D"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Outra comparação interessante é pensar na magnitude da carga tributária ótima com relação a outros países. Para tanto, con</w:t>
      </w:r>
      <w:r w:rsidR="007F5090" w:rsidRPr="009E2740">
        <w:rPr>
          <w:rFonts w:ascii="Times New Roman" w:hAnsi="Times New Roman" w:cs="Times New Roman"/>
          <w:lang w:val="pt-BR"/>
        </w:rPr>
        <w:t>sidere o Quadro 1.</w:t>
      </w:r>
    </w:p>
    <w:p w14:paraId="486A35E7" w14:textId="77777777" w:rsidR="0042512D" w:rsidRDefault="0042512D" w:rsidP="009E2740">
      <w:pPr>
        <w:spacing w:after="0" w:line="240" w:lineRule="auto"/>
        <w:ind w:firstLine="709"/>
        <w:jc w:val="both"/>
        <w:rPr>
          <w:rFonts w:ascii="Times New Roman" w:hAnsi="Times New Roman" w:cs="Times New Roman"/>
          <w:lang w:val="pt-BR"/>
        </w:rPr>
      </w:pPr>
    </w:p>
    <w:p w14:paraId="1534F4A1" w14:textId="77777777" w:rsidR="00F93B1C" w:rsidRDefault="00F93B1C" w:rsidP="009E2740">
      <w:pPr>
        <w:spacing w:after="0" w:line="240" w:lineRule="auto"/>
        <w:ind w:firstLine="709"/>
        <w:jc w:val="both"/>
        <w:rPr>
          <w:rFonts w:ascii="Times New Roman" w:hAnsi="Times New Roman" w:cs="Times New Roman"/>
          <w:lang w:val="pt-BR"/>
        </w:rPr>
      </w:pPr>
    </w:p>
    <w:p w14:paraId="2B99762B" w14:textId="77777777" w:rsidR="00F93B1C" w:rsidRDefault="00F93B1C" w:rsidP="009E2740">
      <w:pPr>
        <w:spacing w:after="0" w:line="240" w:lineRule="auto"/>
        <w:ind w:firstLine="709"/>
        <w:jc w:val="both"/>
        <w:rPr>
          <w:rFonts w:ascii="Times New Roman" w:hAnsi="Times New Roman" w:cs="Times New Roman"/>
          <w:lang w:val="pt-BR"/>
        </w:rPr>
      </w:pPr>
    </w:p>
    <w:p w14:paraId="39571382" w14:textId="77777777" w:rsidR="00F93B1C" w:rsidRDefault="00F93B1C" w:rsidP="009E2740">
      <w:pPr>
        <w:spacing w:after="0" w:line="240" w:lineRule="auto"/>
        <w:ind w:firstLine="709"/>
        <w:jc w:val="both"/>
        <w:rPr>
          <w:rFonts w:ascii="Times New Roman" w:hAnsi="Times New Roman" w:cs="Times New Roman"/>
          <w:lang w:val="pt-BR"/>
        </w:rPr>
      </w:pPr>
    </w:p>
    <w:p w14:paraId="5C942B6E" w14:textId="77777777" w:rsidR="00F93B1C" w:rsidRDefault="00F93B1C" w:rsidP="009E2740">
      <w:pPr>
        <w:spacing w:after="0" w:line="240" w:lineRule="auto"/>
        <w:ind w:firstLine="709"/>
        <w:jc w:val="both"/>
        <w:rPr>
          <w:rFonts w:ascii="Times New Roman" w:hAnsi="Times New Roman" w:cs="Times New Roman"/>
          <w:lang w:val="pt-BR"/>
        </w:rPr>
      </w:pPr>
    </w:p>
    <w:p w14:paraId="3B53068F" w14:textId="77777777" w:rsidR="00F93B1C" w:rsidRDefault="00F93B1C" w:rsidP="009E2740">
      <w:pPr>
        <w:spacing w:after="0" w:line="240" w:lineRule="auto"/>
        <w:ind w:firstLine="709"/>
        <w:jc w:val="both"/>
        <w:rPr>
          <w:rFonts w:ascii="Times New Roman" w:hAnsi="Times New Roman" w:cs="Times New Roman"/>
          <w:lang w:val="pt-BR"/>
        </w:rPr>
      </w:pPr>
    </w:p>
    <w:p w14:paraId="7B2F6F7E" w14:textId="77777777" w:rsidR="00F93B1C" w:rsidRDefault="00F93B1C" w:rsidP="009E2740">
      <w:pPr>
        <w:spacing w:after="0" w:line="240" w:lineRule="auto"/>
        <w:ind w:firstLine="709"/>
        <w:jc w:val="both"/>
        <w:rPr>
          <w:rFonts w:ascii="Times New Roman" w:hAnsi="Times New Roman" w:cs="Times New Roman"/>
          <w:lang w:val="pt-BR"/>
        </w:rPr>
      </w:pPr>
    </w:p>
    <w:p w14:paraId="03E788D5" w14:textId="5E62AFA6" w:rsidR="007F5090" w:rsidRPr="009E2740" w:rsidRDefault="007F5090" w:rsidP="00F93B1C">
      <w:pPr>
        <w:spacing w:after="0" w:line="240" w:lineRule="auto"/>
        <w:jc w:val="center"/>
        <w:rPr>
          <w:rFonts w:ascii="Times New Roman" w:hAnsi="Times New Roman" w:cs="Times New Roman"/>
          <w:lang w:val="pt-BR"/>
        </w:rPr>
      </w:pPr>
      <w:r w:rsidRPr="009E2740">
        <w:rPr>
          <w:rFonts w:ascii="Times New Roman" w:hAnsi="Times New Roman" w:cs="Times New Roman"/>
          <w:lang w:val="pt-BR"/>
        </w:rPr>
        <w:t xml:space="preserve">Quadro 1 – </w:t>
      </w:r>
      <w:r w:rsidR="005324EE" w:rsidRPr="009E2740">
        <w:rPr>
          <w:rFonts w:ascii="Times New Roman" w:hAnsi="Times New Roman" w:cs="Times New Roman"/>
          <w:lang w:val="pt-BR"/>
        </w:rPr>
        <w:t xml:space="preserve">Estimativas de </w:t>
      </w:r>
      <w:r w:rsidR="004E5B49" w:rsidRPr="009E2740">
        <w:rPr>
          <w:rFonts w:ascii="Times New Roman" w:hAnsi="Times New Roman" w:cs="Times New Roman"/>
          <w:lang w:val="pt-BR"/>
        </w:rPr>
        <w:t>t</w:t>
      </w:r>
      <w:r w:rsidRPr="009E2740">
        <w:rPr>
          <w:rFonts w:ascii="Times New Roman" w:hAnsi="Times New Roman" w:cs="Times New Roman"/>
          <w:lang w:val="pt-BR"/>
        </w:rPr>
        <w:t>amanhos ótimos dos governos</w:t>
      </w:r>
      <w:r w:rsidR="004E5B49" w:rsidRPr="009E2740">
        <w:rPr>
          <w:rFonts w:ascii="Times New Roman" w:hAnsi="Times New Roman" w:cs="Times New Roman"/>
          <w:lang w:val="pt-BR"/>
        </w:rPr>
        <w:t xml:space="preserve"> (1987-2016)</w:t>
      </w:r>
    </w:p>
    <w:tbl>
      <w:tblPr>
        <w:tblW w:w="7440" w:type="dxa"/>
        <w:jc w:val="center"/>
        <w:tblLook w:val="04A0" w:firstRow="1" w:lastRow="0" w:firstColumn="1" w:lastColumn="0" w:noHBand="0" w:noVBand="1"/>
      </w:tblPr>
      <w:tblGrid>
        <w:gridCol w:w="2680"/>
        <w:gridCol w:w="1440"/>
        <w:gridCol w:w="1980"/>
        <w:gridCol w:w="1340"/>
      </w:tblGrid>
      <w:tr w:rsidR="008C4FAA" w:rsidRPr="009E2740" w14:paraId="738BC735" w14:textId="77777777" w:rsidTr="00F93B1C">
        <w:trPr>
          <w:trHeight w:val="585"/>
          <w:jc w:val="center"/>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05815" w14:textId="77777777" w:rsidR="007F5090" w:rsidRPr="009E2740" w:rsidRDefault="007F5090" w:rsidP="009E2740">
            <w:pPr>
              <w:spacing w:after="0" w:line="240" w:lineRule="auto"/>
              <w:jc w:val="center"/>
              <w:rPr>
                <w:rFonts w:ascii="Times New Roman" w:eastAsia="Times New Roman" w:hAnsi="Times New Roman" w:cs="Times New Roman"/>
                <w:b/>
                <w:bCs/>
                <w:sz w:val="18"/>
                <w:szCs w:val="18"/>
              </w:rPr>
            </w:pPr>
            <w:r w:rsidRPr="009E2740">
              <w:rPr>
                <w:rFonts w:ascii="Times New Roman" w:eastAsia="Times New Roman" w:hAnsi="Times New Roman" w:cs="Times New Roman"/>
                <w:b/>
                <w:bCs/>
                <w:sz w:val="18"/>
                <w:szCs w:val="18"/>
              </w:rPr>
              <w:lastRenderedPageBreak/>
              <w:t>Autores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3BAFF3DF" w14:textId="77777777" w:rsidR="007F5090" w:rsidRPr="009E2740" w:rsidRDefault="007F5090" w:rsidP="009E2740">
            <w:pPr>
              <w:spacing w:after="0" w:line="240" w:lineRule="auto"/>
              <w:jc w:val="center"/>
              <w:rPr>
                <w:rFonts w:ascii="Times New Roman" w:eastAsia="Times New Roman" w:hAnsi="Times New Roman" w:cs="Times New Roman"/>
                <w:b/>
                <w:bCs/>
                <w:sz w:val="18"/>
                <w:szCs w:val="18"/>
              </w:rPr>
            </w:pPr>
            <w:r w:rsidRPr="009E2740">
              <w:rPr>
                <w:rFonts w:ascii="Times New Roman" w:eastAsia="Times New Roman" w:hAnsi="Times New Roman" w:cs="Times New Roman"/>
                <w:b/>
                <w:bCs/>
                <w:sz w:val="18"/>
                <w:szCs w:val="18"/>
              </w:rPr>
              <w:t>Período</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82B8E79" w14:textId="0859543C" w:rsidR="007F5090" w:rsidRPr="009E2740" w:rsidRDefault="002946A7" w:rsidP="009E2740">
            <w:pPr>
              <w:spacing w:after="0" w:line="240" w:lineRule="auto"/>
              <w:jc w:val="center"/>
              <w:rPr>
                <w:rFonts w:ascii="Times New Roman" w:eastAsia="Times New Roman" w:hAnsi="Times New Roman" w:cs="Times New Roman"/>
                <w:b/>
                <w:bCs/>
                <w:sz w:val="18"/>
                <w:szCs w:val="18"/>
              </w:rPr>
            </w:pPr>
            <w:r w:rsidRPr="009E2740">
              <w:rPr>
                <w:rFonts w:ascii="Times New Roman" w:eastAsia="Times New Roman" w:hAnsi="Times New Roman" w:cs="Times New Roman"/>
                <w:b/>
                <w:bCs/>
                <w:sz w:val="18"/>
                <w:szCs w:val="18"/>
              </w:rPr>
              <w:t>Amostra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6A059757" w14:textId="77777777" w:rsidR="007F5090" w:rsidRPr="009E2740" w:rsidRDefault="007F5090" w:rsidP="009E2740">
            <w:pPr>
              <w:spacing w:after="0" w:line="240" w:lineRule="auto"/>
              <w:jc w:val="center"/>
              <w:rPr>
                <w:rFonts w:ascii="Times New Roman" w:eastAsia="Times New Roman" w:hAnsi="Times New Roman" w:cs="Times New Roman"/>
                <w:b/>
                <w:bCs/>
                <w:sz w:val="18"/>
                <w:szCs w:val="18"/>
              </w:rPr>
            </w:pPr>
            <w:r w:rsidRPr="009E2740">
              <w:rPr>
                <w:rFonts w:ascii="Times New Roman" w:eastAsia="Times New Roman" w:hAnsi="Times New Roman" w:cs="Times New Roman"/>
                <w:b/>
                <w:bCs/>
                <w:sz w:val="18"/>
                <w:szCs w:val="18"/>
              </w:rPr>
              <w:t>Tamanho ótimo</w:t>
            </w:r>
          </w:p>
        </w:tc>
      </w:tr>
      <w:tr w:rsidR="008C4FAA" w:rsidRPr="009E2740" w14:paraId="7321A08A"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54663DF4" w14:textId="17D2FA8C"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"10.1007/BF00125845", "ISSN" : "0048-5829", "author" : [ { "dropping-particle" : "", "family" : "Grossman", "given" : "Philip J.", "non-dropping-particle" : "", "parse-names" : false, "suffix" : "" } ], "container-title" : "Public Choice", "id" : "ITEM-1", "issue" : "2", "issued" : { "date-parts" : [ [ "1987" ] ] }, "page" : "131-147", "publisher" : "Kluwer Academic Publishers", "title" : "The optimal size of government", "type" : "article-journal", "volume" : "53" }, "uris" : [ "http://www.mendeley.com/documents/?uuid=96caa380-6f67-38e7-8e47-17df8e326f33" ] } ], "mendeley" : { "formattedCitation" : "(P. J. Grossman, 1987)", "plainTextFormattedCitation" : "(P. J. Grossman, 1987)", "previouslyFormattedCitation" : "(P. J. Grossman, 1987)"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(P. J. Grossman, 1987)</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7163A3A9"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1929-1982</w:t>
            </w:r>
          </w:p>
        </w:tc>
        <w:tc>
          <w:tcPr>
            <w:tcW w:w="1980" w:type="dxa"/>
            <w:tcBorders>
              <w:top w:val="nil"/>
              <w:left w:val="nil"/>
              <w:bottom w:val="single" w:sz="4" w:space="0" w:color="auto"/>
              <w:right w:val="single" w:sz="4" w:space="0" w:color="auto"/>
            </w:tcBorders>
            <w:shd w:val="clear" w:color="auto" w:fill="auto"/>
            <w:vAlign w:val="center"/>
            <w:hideMark/>
          </w:tcPr>
          <w:p w14:paraId="168A8B6D"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EUA</w:t>
            </w:r>
          </w:p>
        </w:tc>
        <w:tc>
          <w:tcPr>
            <w:tcW w:w="1340" w:type="dxa"/>
            <w:tcBorders>
              <w:top w:val="nil"/>
              <w:left w:val="nil"/>
              <w:bottom w:val="single" w:sz="4" w:space="0" w:color="auto"/>
              <w:right w:val="single" w:sz="4" w:space="0" w:color="auto"/>
            </w:tcBorders>
            <w:shd w:val="clear" w:color="auto" w:fill="auto"/>
            <w:vAlign w:val="center"/>
            <w:hideMark/>
          </w:tcPr>
          <w:p w14:paraId="5C137FFB"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w:t>
            </w:r>
          </w:p>
        </w:tc>
      </w:tr>
      <w:tr w:rsidR="008C4FAA" w:rsidRPr="009E2740" w14:paraId="62FB6B83"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C18BE99" w14:textId="6BDA6665"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"10.1111/j.1467-8454.1988.tb00805.x", "author" : [ { "dropping-particle" : "", "family" : "Grossman", "given" : "Philip J.", "non-dropping-particle" : "", "parse-names" : false, "suffix" : "" } ], "container-title" : "Australian Economic Papers", "id" : "ITEM-1", "issue" : "50", "issued" : { "date-parts" : [ [ "1988", "6" ] ] }, "page" : "33-43", "publisher" : "Blackwell Publishing Ltd", "title" : "Growth in Government and Economic Growth: The Australian Experience", "type" : "article-journal", "volume" : "27" }, "uris" : [ "http://www.mendeley.com/documents/?uuid=d4325bf1-71e3-3927-903e-af306f9caa71" ] } ], "mendeley" : { "formattedCitation" : "(P. J. Grossman, 1988)", "plainTextFormattedCitation" : "(P. J. Grossman, 1988)", "previouslyFormattedCitation" : "(P. J. Grossman, 1988)"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(P. J. Grossman, 1988)</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0C54E627"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1929-1982</w:t>
            </w:r>
          </w:p>
        </w:tc>
        <w:tc>
          <w:tcPr>
            <w:tcW w:w="1980" w:type="dxa"/>
            <w:tcBorders>
              <w:top w:val="nil"/>
              <w:left w:val="nil"/>
              <w:bottom w:val="single" w:sz="4" w:space="0" w:color="auto"/>
              <w:right w:val="single" w:sz="4" w:space="0" w:color="auto"/>
            </w:tcBorders>
            <w:shd w:val="clear" w:color="auto" w:fill="auto"/>
            <w:vAlign w:val="center"/>
            <w:hideMark/>
          </w:tcPr>
          <w:p w14:paraId="300E0F4E"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EUA</w:t>
            </w:r>
          </w:p>
        </w:tc>
        <w:tc>
          <w:tcPr>
            <w:tcW w:w="1340" w:type="dxa"/>
            <w:tcBorders>
              <w:top w:val="nil"/>
              <w:left w:val="nil"/>
              <w:bottom w:val="single" w:sz="4" w:space="0" w:color="auto"/>
              <w:right w:val="single" w:sz="4" w:space="0" w:color="auto"/>
            </w:tcBorders>
            <w:shd w:val="clear" w:color="auto" w:fill="auto"/>
            <w:vAlign w:val="center"/>
            <w:hideMark/>
          </w:tcPr>
          <w:p w14:paraId="266DF276"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nc</w:t>
            </w:r>
          </w:p>
        </w:tc>
      </w:tr>
      <w:tr w:rsidR="008C4FAA" w:rsidRPr="009E2740" w14:paraId="6E0EFB8D"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25867D7" w14:textId="3F703D74"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"10.1007/BF00123845", "author" : [ { "dropping-particle" : "", "family" : "Peden", "given" : "Edgar A.", "non-dropping-particle" : "", "parse-names" : false, "suffix" : "" } ], "container-title" : "Public Choice", "id" : "ITEM-1", "issue" : "2", "issued" : { "date-parts" : [ [ "1991", "2" ] ] }, "page" : "153-173", "publisher" : "Kluwer Academic Publishers", "title" : "Productivity in the United States and its relationship to government activity: An analysis of 57 years, 1929-1986", "type" : "article-journal", "volume" : "69" }, "uris" : [ "http://www.mendeley.com/documents/?uuid=12e29f44-4c0b-3c97-ab97-0197a6c3e62a" ] } ], "mendeley" : { "formattedCitation" : "(Peden, 1991)", "plainTextFormattedCitation" : "(Peden, 1991)", "previouslyFormattedCitation" : "(Peden, 1991)"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(Peden, 1991)</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7494887B"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1929-1986</w:t>
            </w:r>
          </w:p>
        </w:tc>
        <w:tc>
          <w:tcPr>
            <w:tcW w:w="1980" w:type="dxa"/>
            <w:tcBorders>
              <w:top w:val="nil"/>
              <w:left w:val="nil"/>
              <w:bottom w:val="single" w:sz="4" w:space="0" w:color="auto"/>
              <w:right w:val="single" w:sz="4" w:space="0" w:color="auto"/>
            </w:tcBorders>
            <w:shd w:val="clear" w:color="auto" w:fill="auto"/>
            <w:vAlign w:val="center"/>
            <w:hideMark/>
          </w:tcPr>
          <w:p w14:paraId="0144CDAD"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EUA</w:t>
            </w:r>
          </w:p>
        </w:tc>
        <w:tc>
          <w:tcPr>
            <w:tcW w:w="1340" w:type="dxa"/>
            <w:tcBorders>
              <w:top w:val="nil"/>
              <w:left w:val="nil"/>
              <w:bottom w:val="single" w:sz="4" w:space="0" w:color="auto"/>
              <w:right w:val="single" w:sz="4" w:space="0" w:color="auto"/>
            </w:tcBorders>
            <w:shd w:val="clear" w:color="auto" w:fill="auto"/>
            <w:vAlign w:val="center"/>
            <w:hideMark/>
          </w:tcPr>
          <w:p w14:paraId="4793040B"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20%</w:t>
            </w:r>
          </w:p>
        </w:tc>
      </w:tr>
      <w:tr w:rsidR="008C4FAA" w:rsidRPr="009E2740" w14:paraId="6B971D58" w14:textId="77777777" w:rsidTr="00F93B1C">
        <w:trPr>
          <w:trHeight w:val="6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FD5488F" w14:textId="2A3D51A9"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"Carlstrom", "given" : "Charles T", "non-dropping-particle" : "", "parse-names" : false, "suffix" : "" }, { "dropping-particle" : "", "family" : "Gokhale", "given" : "Jagadeesh", "non-dropping-particle" : "", "parse-names" : false, "suffix" : "" } ], "container-title" : "Economic Review, Federal Reserve Bank of Cleveland", "id" : "ITEM-1", "issue" : "3", "issued" : { "date-parts" : [ [ "1991" ] ] }, "page" : "18-29", "title" : "Government Consumption, Taxation, and Economic Activity", "type" : "article-journal", "volume" : "27" }, "uris" : [ "http://www.mendeley.com/documents/?uuid=7344ef8a-378b-4d37-9c3d-97b7603dfdca" ] } ], "mendeley" : { "formattedCitation" : "(Carlstrom &amp; Gokhale, 1991)", "plainTextFormattedCitation" : "(Carlstrom &amp; Gokhale, 1991)", "previouslyFormattedCitation" : "(Carlstrom &amp; Gokhale, 1991)"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(Carlstrom &amp; Gokhale, 1991)</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444D6500" w14:textId="7461B2DD" w:rsidR="007F5090" w:rsidRPr="009E2740" w:rsidRDefault="00B65698"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Pós-Guerra</w:t>
            </w:r>
          </w:p>
        </w:tc>
        <w:tc>
          <w:tcPr>
            <w:tcW w:w="1980" w:type="dxa"/>
            <w:tcBorders>
              <w:top w:val="nil"/>
              <w:left w:val="nil"/>
              <w:bottom w:val="single" w:sz="4" w:space="0" w:color="auto"/>
              <w:right w:val="single" w:sz="4" w:space="0" w:color="auto"/>
            </w:tcBorders>
            <w:shd w:val="clear" w:color="auto" w:fill="auto"/>
            <w:vAlign w:val="center"/>
            <w:hideMark/>
          </w:tcPr>
          <w:p w14:paraId="68287CAD"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EUA</w:t>
            </w:r>
          </w:p>
        </w:tc>
        <w:tc>
          <w:tcPr>
            <w:tcW w:w="1340" w:type="dxa"/>
            <w:tcBorders>
              <w:top w:val="nil"/>
              <w:left w:val="nil"/>
              <w:bottom w:val="single" w:sz="4" w:space="0" w:color="auto"/>
              <w:right w:val="single" w:sz="4" w:space="0" w:color="auto"/>
            </w:tcBorders>
            <w:shd w:val="clear" w:color="auto" w:fill="auto"/>
            <w:vAlign w:val="center"/>
            <w:hideMark/>
          </w:tcPr>
          <w:p w14:paraId="7443E438"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nc</w:t>
            </w:r>
          </w:p>
        </w:tc>
      </w:tr>
      <w:tr w:rsidR="008C4FAA" w:rsidRPr="009E2740" w14:paraId="5B55A6C8"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1F4DB37B" w14:textId="5AA7D79B"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"10.1111/j.1465-7295.1993.tb01298.x", "author" : [ { "dropping-particle" : "", "family" : "Karras", "given" : "Georgios", "non-dropping-particle" : "", "parse-names" : false, "suffix" : "" } ], "container-title" : "Economic Inquiry", "id" : "ITEM-1", "issue" : "3", "issued" : { "date-parts" : [ [ "1993", "7" ] ] }, "page" : "354-369", "publisher" : "Blackwell Publishing Ltd", "title" : "Employment and Output Effects of Government Spending: Is Governments Size Important?", "type" : "article-journal", "volume" : "31" }, "uris" : [ "http://www.mendeley.com/documents/?uuid=53c96a0f-153b-36fc-a12b-8e65ea6d76e5" ] } ], "mendeley" : { "formattedCitation" : "(Karras, 1993)", "plainTextFormattedCitation" : "(Karras, 1993)", "previouslyFormattedCitation" : "(Karras, 1993)"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(Karras, 1993)</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02EB2890" w14:textId="1BB4D7B9" w:rsidR="007F5090" w:rsidRPr="009E2740" w:rsidRDefault="005324EE"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N</w:t>
            </w:r>
            <w:r w:rsidR="007F5090" w:rsidRPr="009E2740">
              <w:rPr>
                <w:rFonts w:ascii="Times New Roman" w:eastAsia="Times New Roman" w:hAnsi="Times New Roman" w:cs="Times New Roman"/>
                <w:sz w:val="18"/>
                <w:szCs w:val="18"/>
              </w:rPr>
              <w:t>c</w:t>
            </w:r>
          </w:p>
        </w:tc>
        <w:tc>
          <w:tcPr>
            <w:tcW w:w="1980" w:type="dxa"/>
            <w:tcBorders>
              <w:top w:val="nil"/>
              <w:left w:val="nil"/>
              <w:bottom w:val="single" w:sz="4" w:space="0" w:color="auto"/>
              <w:right w:val="single" w:sz="4" w:space="0" w:color="auto"/>
            </w:tcBorders>
            <w:shd w:val="clear" w:color="auto" w:fill="auto"/>
            <w:vAlign w:val="center"/>
            <w:hideMark/>
          </w:tcPr>
          <w:p w14:paraId="127FDC9B"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nc</w:t>
            </w:r>
          </w:p>
        </w:tc>
        <w:tc>
          <w:tcPr>
            <w:tcW w:w="1340" w:type="dxa"/>
            <w:tcBorders>
              <w:top w:val="nil"/>
              <w:left w:val="nil"/>
              <w:bottom w:val="single" w:sz="4" w:space="0" w:color="auto"/>
              <w:right w:val="single" w:sz="4" w:space="0" w:color="auto"/>
            </w:tcBorders>
            <w:shd w:val="clear" w:color="auto" w:fill="auto"/>
            <w:vAlign w:val="center"/>
            <w:hideMark/>
          </w:tcPr>
          <w:p w14:paraId="4E3ED3F1"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20%</w:t>
            </w:r>
          </w:p>
        </w:tc>
      </w:tr>
      <w:tr w:rsidR="008C4FAA" w:rsidRPr="009E2740" w14:paraId="72ECB6FE"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FEC2583" w14:textId="68DF5C2B"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"10.1007/BF01047902", "author" : [ { "dropping-particle" : "", "family" : "Scully", "given" : "Gerald W.", "non-dropping-particle" : "", "parse-names" : false, "suffix" : "" } ], "container-title" : "Public Choice", "id" : "ITEM-1", "issue" : "1-2", "issued" : { "date-parts" : [ [ "1995", "10" ] ] }, "page" : "71-80", "publisher" : "Kluwer Academic Publishers", "title" : "The 'growth tax' in the United States", "type" : "article-journal", "volume" : "85" }, "uris" : [ "http://www.mendeley.com/documents/?uuid=66c56a89-44a7-3a00-ab06-5a653734c24f" ] } ], "mendeley" : { "formattedCitation" : "(Scully, 1995)", "plainTextFormattedCitation" : "(Scully, 1995)", "previouslyFormattedCitation" : "(Scully, 1995)"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(Scully, 1995)</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21681125"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1929-1989</w:t>
            </w:r>
          </w:p>
        </w:tc>
        <w:tc>
          <w:tcPr>
            <w:tcW w:w="1980" w:type="dxa"/>
            <w:tcBorders>
              <w:top w:val="nil"/>
              <w:left w:val="nil"/>
              <w:bottom w:val="single" w:sz="4" w:space="0" w:color="auto"/>
              <w:right w:val="single" w:sz="4" w:space="0" w:color="auto"/>
            </w:tcBorders>
            <w:shd w:val="clear" w:color="auto" w:fill="auto"/>
            <w:vAlign w:val="center"/>
            <w:hideMark/>
          </w:tcPr>
          <w:p w14:paraId="30668A57"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EUA</w:t>
            </w:r>
          </w:p>
        </w:tc>
        <w:tc>
          <w:tcPr>
            <w:tcW w:w="1340" w:type="dxa"/>
            <w:tcBorders>
              <w:top w:val="nil"/>
              <w:left w:val="nil"/>
              <w:bottom w:val="single" w:sz="4" w:space="0" w:color="auto"/>
              <w:right w:val="single" w:sz="4" w:space="0" w:color="auto"/>
            </w:tcBorders>
            <w:shd w:val="clear" w:color="auto" w:fill="auto"/>
            <w:vAlign w:val="center"/>
            <w:hideMark/>
          </w:tcPr>
          <w:p w14:paraId="68D5F389"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21.5-22.9%</w:t>
            </w:r>
          </w:p>
        </w:tc>
      </w:tr>
      <w:tr w:rsidR="008C4FAA" w:rsidRPr="009E2740" w14:paraId="05DFD5C3"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E352182" w14:textId="2376BE23"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"10.1111/j.1465-7295.1996.tb01372.x", "author" : [ { "dropping-particle" : "", "family" : "Karras", "given" : "Georgios", "non-dropping-particle" : "", "parse-names" : false, "suffix" : "" } ], "container-title" : "Economic Inquiry", "id" : "ITEM-1", "issue" : "2", "issued" : { "date-parts" : [ [ "1996", "4" ] ] }, "page" : "193-203", "publisher" : "Blackwell Publishing Ltd", "title" : "The Optimal Government Size: Further International Evidence on the Productivity of Government Services", "type" : "article-journal", "volume" : "34" }, "uris" : [ "http://www.mendeley.com/documents/?uuid=59c5f886-262c-3ba0-94f3-62b4a563c1df" ] } ], "mendeley" : { "formattedCitation" : "(Karras, 1996)", "plainTextFormattedCitation" : "(Karras, 1996)", "previouslyFormattedCitation" : "(Karras, 1996)"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(Karras, 1996)</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57538684"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1960-1985</w:t>
            </w:r>
          </w:p>
        </w:tc>
        <w:tc>
          <w:tcPr>
            <w:tcW w:w="1980" w:type="dxa"/>
            <w:tcBorders>
              <w:top w:val="nil"/>
              <w:left w:val="nil"/>
              <w:bottom w:val="single" w:sz="4" w:space="0" w:color="auto"/>
              <w:right w:val="single" w:sz="4" w:space="0" w:color="auto"/>
            </w:tcBorders>
            <w:shd w:val="clear" w:color="auto" w:fill="auto"/>
            <w:vAlign w:val="center"/>
            <w:hideMark/>
          </w:tcPr>
          <w:p w14:paraId="3A5C4D65"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118 países</w:t>
            </w:r>
          </w:p>
        </w:tc>
        <w:tc>
          <w:tcPr>
            <w:tcW w:w="1340" w:type="dxa"/>
            <w:tcBorders>
              <w:top w:val="nil"/>
              <w:left w:val="nil"/>
              <w:bottom w:val="single" w:sz="4" w:space="0" w:color="auto"/>
              <w:right w:val="single" w:sz="4" w:space="0" w:color="auto"/>
            </w:tcBorders>
            <w:shd w:val="clear" w:color="auto" w:fill="auto"/>
            <w:vAlign w:val="center"/>
            <w:hideMark/>
          </w:tcPr>
          <w:p w14:paraId="0211F48F"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23%</w:t>
            </w:r>
          </w:p>
        </w:tc>
      </w:tr>
      <w:tr w:rsidR="008C4FAA" w:rsidRPr="009E2740" w14:paraId="7DFCB0C2"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7185C13" w14:textId="453AEB7D"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"Vedder", "given" : "R.K.", "non-dropping-particle" : "", "parse-names" : false, "suffix" : "" }, { "dropping-particle" : "", "family" : "Gallaway", "given" : "Lowell E.", "non-dropping-particle" : "", "parse-names" : false, "suffix" : "" } ], "id" : "ITEM-1", "issued" : { "date-parts" : [ [ "1998" ] ] }, "title" : "Government Size and Economic Growth", "type" : "article" }, "uris" : [ "http://www.mendeley.com/documents/?uuid=de6751cf-7caf-44c6-9f51-4d430fe8c15d" ] } ], "mendeley" : { "formattedCitation" : "(R. K. Vedder &amp; Gallaway, 1998)", "plainTextFormattedCitation" : "(R. K. Vedder &amp; Gallaway, 1998)", "previouslyFormattedCitation" : "(R. K. Vedder &amp; Gallaway, 1998)"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(R. K. Vedder &amp; Gallaway, 1998)</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7C914B9C"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1947-1997</w:t>
            </w:r>
          </w:p>
        </w:tc>
        <w:tc>
          <w:tcPr>
            <w:tcW w:w="1980" w:type="dxa"/>
            <w:tcBorders>
              <w:top w:val="nil"/>
              <w:left w:val="nil"/>
              <w:bottom w:val="single" w:sz="4" w:space="0" w:color="auto"/>
              <w:right w:val="single" w:sz="4" w:space="0" w:color="auto"/>
            </w:tcBorders>
            <w:shd w:val="clear" w:color="auto" w:fill="auto"/>
            <w:vAlign w:val="center"/>
            <w:hideMark/>
          </w:tcPr>
          <w:p w14:paraId="6D0EA75D"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EUA</w:t>
            </w:r>
          </w:p>
        </w:tc>
        <w:tc>
          <w:tcPr>
            <w:tcW w:w="1340" w:type="dxa"/>
            <w:tcBorders>
              <w:top w:val="nil"/>
              <w:left w:val="nil"/>
              <w:bottom w:val="single" w:sz="4" w:space="0" w:color="auto"/>
              <w:right w:val="single" w:sz="4" w:space="0" w:color="auto"/>
            </w:tcBorders>
            <w:shd w:val="clear" w:color="auto" w:fill="auto"/>
            <w:vAlign w:val="center"/>
            <w:hideMark/>
          </w:tcPr>
          <w:p w14:paraId="66379930"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17%</w:t>
            </w:r>
          </w:p>
        </w:tc>
      </w:tr>
      <w:tr w:rsidR="008C4FAA" w:rsidRPr="009E2740" w14:paraId="3BB25A60"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215F903" w14:textId="607CF320"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"Chao", "given" : "J.", "non-dropping-particle" : "", "parse-names" : false, "suffix" : "" }, { "dropping-particle" : "", "family" : "Grubel", "given" : "H.", "non-dropping-particle" : "", "parse-names" : false, "suffix" : "" } ], "container-title" : "How to Use the Fiscal Surplus: What is the optimum Size of Government", "id" : "ITEM-1", "issued" : { "date-parts" : [ [ "1988" ] ] }, "publisher" : "Fraser Institute", "publisher-place" : "Vancouver", "title" : "Optimal Levels of Spending and Taxation in Canada", "type" : "chapter" }, "uris" : [ "http://www.mendeley.com/documents/?uuid=d0135611-1b63-4c34-ab1a-7fa10cda0e10" ] } ], "mendeley" : { "formattedCitation" : "(Chao &amp; Grubel, 1988)", "plainTextFormattedCitation" : "(Chao &amp; Grubel, 1988)", "previouslyFormattedCitation" : "(Chao &amp; Grubel, 1988)"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(Chao &amp; Grubel, 1988)</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7FFECFB6"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1929-1996</w:t>
            </w:r>
          </w:p>
        </w:tc>
        <w:tc>
          <w:tcPr>
            <w:tcW w:w="1980" w:type="dxa"/>
            <w:tcBorders>
              <w:top w:val="nil"/>
              <w:left w:val="nil"/>
              <w:bottom w:val="single" w:sz="4" w:space="0" w:color="auto"/>
              <w:right w:val="single" w:sz="4" w:space="0" w:color="auto"/>
            </w:tcBorders>
            <w:shd w:val="clear" w:color="auto" w:fill="auto"/>
            <w:vAlign w:val="center"/>
            <w:hideMark/>
          </w:tcPr>
          <w:p w14:paraId="6D738156"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Canada</w:t>
            </w:r>
          </w:p>
        </w:tc>
        <w:tc>
          <w:tcPr>
            <w:tcW w:w="1340" w:type="dxa"/>
            <w:tcBorders>
              <w:top w:val="nil"/>
              <w:left w:val="nil"/>
              <w:bottom w:val="single" w:sz="4" w:space="0" w:color="auto"/>
              <w:right w:val="single" w:sz="4" w:space="0" w:color="auto"/>
            </w:tcBorders>
            <w:shd w:val="clear" w:color="auto" w:fill="auto"/>
            <w:vAlign w:val="center"/>
            <w:hideMark/>
          </w:tcPr>
          <w:p w14:paraId="0335A2C7"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27%</w:t>
            </w:r>
          </w:p>
        </w:tc>
      </w:tr>
      <w:tr w:rsidR="008C4FAA" w:rsidRPr="009E2740" w14:paraId="547AA75E" w14:textId="77777777" w:rsidTr="00F93B1C">
        <w:trPr>
          <w:trHeight w:val="6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441E38D" w14:textId="1BA41DED"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"10.1111/1468-0106.00091", "ISSN" : "1361-374X", "author" : [ { "dropping-particle" : "", "family" : "Scully", "given" : "Gerald W.", "non-dropping-particle" : "", "parse-names" : false, "suffix" : "" } ], "container-title" : "Pacific Economic Review", "id" : "ITEM-1", "issue" : "1", "issued" : { "date-parts" : [ [ "2000" ] ] }, "page" : "93-96", "title" : "The Growth-maximizing Tax Rate", "type" : "article-journal", "volume" : "5" }, "uris" : [ "http://www.mendeley.com/documents/?uuid=8082982d-823c-46ba-8538-006af79d0c0e" ] } ], "mendeley" : { "formattedCitation" : "(Scully, 2000)", "plainTextFormattedCitation" : "(Scully, 2000)", "previouslyFormattedCitation" : "(Scully, 2000)"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(Scully, 2000)</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2EC37E6D"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1995</w:t>
            </w:r>
          </w:p>
        </w:tc>
        <w:tc>
          <w:tcPr>
            <w:tcW w:w="1980" w:type="dxa"/>
            <w:tcBorders>
              <w:top w:val="nil"/>
              <w:left w:val="nil"/>
              <w:bottom w:val="single" w:sz="4" w:space="0" w:color="auto"/>
              <w:right w:val="single" w:sz="4" w:space="0" w:color="auto"/>
            </w:tcBorders>
            <w:shd w:val="clear" w:color="auto" w:fill="auto"/>
            <w:vAlign w:val="center"/>
            <w:hideMark/>
          </w:tcPr>
          <w:p w14:paraId="1CD5EC26"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22 OECDE/112 países</w:t>
            </w:r>
          </w:p>
        </w:tc>
        <w:tc>
          <w:tcPr>
            <w:tcW w:w="1340" w:type="dxa"/>
            <w:tcBorders>
              <w:top w:val="nil"/>
              <w:left w:val="nil"/>
              <w:bottom w:val="single" w:sz="4" w:space="0" w:color="auto"/>
              <w:right w:val="single" w:sz="4" w:space="0" w:color="auto"/>
            </w:tcBorders>
            <w:shd w:val="clear" w:color="auto" w:fill="auto"/>
            <w:vAlign w:val="center"/>
            <w:hideMark/>
          </w:tcPr>
          <w:p w14:paraId="55D12B65"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20.2-22.3%</w:t>
            </w:r>
          </w:p>
        </w:tc>
      </w:tr>
      <w:tr w:rsidR="008C4FAA" w:rsidRPr="009E2740" w14:paraId="0C5DC937"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073ADA6" w14:textId="00F9AF90"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"Afonso", "given" : "Ant\u00f3nio", "non-dropping-particle" : "", "parse-names" : false, "suffix" : "" }, { "dropping-particle" : "", "family" : "Schuknecht", "given" : "Ludger", "non-dropping-particle" : "", "parse-names" : false, "suffix" : "" }, { "dropping-particle" : "", "family" : "Tanzi", "given" : "Vito", "non-dropping-particle" : "", "parse-names" : false, "suffix" : "" } ], "id" : "ITEM-1", "issued" : { "date-parts" : [ [ "2003" ] ] }, "number" : "242", "number-of-pages" : "1-37", "title" : "Public Sector Efficiency: An International Comparison", "type" : "report" }, "uris" : [ "http://www.mendeley.com/documents/?uuid=9853d623-6969-3eac-a264-a857c8e2935c" ] } ], "mendeley" : { "formattedCitation" : "(Afonso, Schuknecht, &amp; Tanzi, 2003)", "plainTextFormattedCitation" : "(Afonso, Schuknecht, &amp; Tanzi, 2003)", "previouslyFormattedCitation" : "(Afonso, Schuknecht, &amp; Tanzi, 2003)"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(Afonso, Schuknecht, &amp; Tanzi, 2003)</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70D96D61"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1990-2000</w:t>
            </w:r>
          </w:p>
        </w:tc>
        <w:tc>
          <w:tcPr>
            <w:tcW w:w="1980" w:type="dxa"/>
            <w:tcBorders>
              <w:top w:val="nil"/>
              <w:left w:val="nil"/>
              <w:bottom w:val="single" w:sz="4" w:space="0" w:color="auto"/>
              <w:right w:val="single" w:sz="4" w:space="0" w:color="auto"/>
            </w:tcBorders>
            <w:shd w:val="clear" w:color="auto" w:fill="auto"/>
            <w:vAlign w:val="center"/>
            <w:hideMark/>
          </w:tcPr>
          <w:p w14:paraId="6046054B"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23 OECD</w:t>
            </w:r>
          </w:p>
        </w:tc>
        <w:tc>
          <w:tcPr>
            <w:tcW w:w="1340" w:type="dxa"/>
            <w:tcBorders>
              <w:top w:val="nil"/>
              <w:left w:val="nil"/>
              <w:bottom w:val="single" w:sz="4" w:space="0" w:color="auto"/>
              <w:right w:val="single" w:sz="4" w:space="0" w:color="auto"/>
            </w:tcBorders>
            <w:shd w:val="clear" w:color="auto" w:fill="auto"/>
            <w:vAlign w:val="center"/>
            <w:hideMark/>
          </w:tcPr>
          <w:p w14:paraId="7945F891"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35%</w:t>
            </w:r>
          </w:p>
        </w:tc>
      </w:tr>
      <w:tr w:rsidR="008C4FAA" w:rsidRPr="009E2740" w14:paraId="3EC0430F" w14:textId="77777777" w:rsidTr="00F93B1C">
        <w:trPr>
          <w:trHeight w:val="6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4FD043F" w14:textId="5A802CBF"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"Shikida", "given" : "Claudio D", "non-dropping-particle" : "", "parse-names" : false, "suffix" : "" }, { "dropping-particle" : "de", "family" : "Araujo Jr.", "given" : "Ari Francisco", "non-dropping-particle" : "", "parse-names" : false, "suffix" : "" }, { "dropping-particle" : "", "family" : "Hillbrecht", "given" : "Ronald O.", "non-dropping-particle" : "", "parse-names" : false, "suffix" : "" } ], "container-title" : "RBEE. Revista Brasileira de Economia de Empresas", "id" : "ITEM-1", "issue" : "2", "issued" : { "date-parts" : [ [ "2005" ] ] }, "page" : "21-35", "title" : "Public Vices, Private Serfdom? Comments on the Optimal Size of the Brazilian State", "type" : "article-journal", "volume" : "5" }, "uris" : [ "http://www.mendeley.com/documents/?uuid=620da43b-4a20-4934-af01-84185ed4c78c" ] } ], "mendeley" : { "formattedCitation" : "(Shikida et al., 2005)", "plainTextFormattedCitation" : "(Shikida et al., 2005)", "previouslyFormattedCitation" : "(Shikida et al., 2005)"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(Shikida et al., 2005)</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7998A060"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1947-2003</w:t>
            </w:r>
          </w:p>
        </w:tc>
        <w:tc>
          <w:tcPr>
            <w:tcW w:w="1980" w:type="dxa"/>
            <w:tcBorders>
              <w:top w:val="nil"/>
              <w:left w:val="nil"/>
              <w:bottom w:val="single" w:sz="4" w:space="0" w:color="auto"/>
              <w:right w:val="single" w:sz="4" w:space="0" w:color="auto"/>
            </w:tcBorders>
            <w:shd w:val="clear" w:color="auto" w:fill="auto"/>
            <w:vAlign w:val="center"/>
            <w:hideMark/>
          </w:tcPr>
          <w:p w14:paraId="6F4D8B9E"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Brasil</w:t>
            </w:r>
          </w:p>
        </w:tc>
        <w:tc>
          <w:tcPr>
            <w:tcW w:w="1340" w:type="dxa"/>
            <w:tcBorders>
              <w:top w:val="nil"/>
              <w:left w:val="nil"/>
              <w:bottom w:val="single" w:sz="4" w:space="0" w:color="auto"/>
              <w:right w:val="single" w:sz="4" w:space="0" w:color="auto"/>
            </w:tcBorders>
            <w:shd w:val="clear" w:color="auto" w:fill="auto"/>
            <w:vAlign w:val="center"/>
            <w:hideMark/>
          </w:tcPr>
          <w:p w14:paraId="0CF21946" w14:textId="4E42CAF6"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32</w:t>
            </w:r>
            <w:r w:rsidR="009B7D30" w:rsidRPr="009E2740">
              <w:rPr>
                <w:rFonts w:ascii="Times New Roman" w:eastAsia="Times New Roman" w:hAnsi="Times New Roman" w:cs="Times New Roman"/>
                <w:sz w:val="18"/>
                <w:szCs w:val="18"/>
              </w:rPr>
              <w:t>.36</w:t>
            </w:r>
            <w:r w:rsidRPr="009E2740">
              <w:rPr>
                <w:rFonts w:ascii="Times New Roman" w:eastAsia="Times New Roman" w:hAnsi="Times New Roman" w:cs="Times New Roman"/>
                <w:sz w:val="18"/>
                <w:szCs w:val="18"/>
              </w:rPr>
              <w:t>%</w:t>
            </w:r>
          </w:p>
        </w:tc>
      </w:tr>
      <w:tr w:rsidR="008C4FAA" w:rsidRPr="009E2740" w14:paraId="437B883B"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0D96BDD" w14:textId="3D4D50B6"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"Mavrov", "given" : "Hristo", "non-dropping-particle" : "", "parse-names" : false, "suffix" : "" } ], "container-title" : "Economic Alternatives", "id" : "ITEM-1", "issue" : "1", "issued" : { "date-parts" : [ [ "2007" ] ] }, "page" : "53-63", "title" : "The Size of Government Expenditure and the Rate of Economic Growth in Bulgaria", "type" : "article-journal" }, "uris" : [ "http://www.mendeley.com/documents/?uuid=065f5691-fae5-4d0b-9052-e51abc8b15fd" ] } ], "mendeley" : { "formattedCitation" : "(Mavrov, 2007)", "plainTextFormattedCitation" : "(Mavrov, 2007)", "previouslyFormattedCitation" : "(Mavrov, 2007)"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(Mavrov, 2007)</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600C002F"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1990-2004</w:t>
            </w:r>
          </w:p>
        </w:tc>
        <w:tc>
          <w:tcPr>
            <w:tcW w:w="1980" w:type="dxa"/>
            <w:tcBorders>
              <w:top w:val="nil"/>
              <w:left w:val="nil"/>
              <w:bottom w:val="single" w:sz="4" w:space="0" w:color="auto"/>
              <w:right w:val="single" w:sz="4" w:space="0" w:color="auto"/>
            </w:tcBorders>
            <w:shd w:val="clear" w:color="auto" w:fill="auto"/>
            <w:vAlign w:val="center"/>
            <w:hideMark/>
          </w:tcPr>
          <w:p w14:paraId="476FF180"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Bulgaria</w:t>
            </w:r>
          </w:p>
        </w:tc>
        <w:tc>
          <w:tcPr>
            <w:tcW w:w="1340" w:type="dxa"/>
            <w:tcBorders>
              <w:top w:val="nil"/>
              <w:left w:val="nil"/>
              <w:bottom w:val="single" w:sz="4" w:space="0" w:color="auto"/>
              <w:right w:val="single" w:sz="4" w:space="0" w:color="auto"/>
            </w:tcBorders>
            <w:shd w:val="clear" w:color="auto" w:fill="auto"/>
            <w:vAlign w:val="center"/>
            <w:hideMark/>
          </w:tcPr>
          <w:p w14:paraId="2C90A0F4"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21.42%</w:t>
            </w:r>
          </w:p>
        </w:tc>
      </w:tr>
      <w:tr w:rsidR="008C4FAA" w:rsidRPr="009E2740" w14:paraId="5D520F92"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526263B" w14:textId="09797967"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"Pevcin", "given" : "P.", "non-dropping-particle" : "", "parse-names" : false, "suffix" : "" } ], "id" : "ITEM-1", "issued" : { "date-parts" : [ [ "2004" ] ] }, "title" : "Size of Budgetary and non-budgetary Government: explaining Cross-country Differences", "type" : "report" }, "uris" : [ "http://www.mendeley.com/documents/?uuid=b4577278-23f1-407a-885c-8cdc791a7cd5" ] } ], "mendeley" : { "formattedCitation" : "(Pevcin, 2004)", "plainTextFormattedCitation" : "(Pevcin, 2004)", "previouslyFormattedCitation" : "(Pevcin, 2004)"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(Pevcin, 2004)</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5395ADBA"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1950-1996</w:t>
            </w:r>
          </w:p>
        </w:tc>
        <w:tc>
          <w:tcPr>
            <w:tcW w:w="1980" w:type="dxa"/>
            <w:tcBorders>
              <w:top w:val="nil"/>
              <w:left w:val="nil"/>
              <w:bottom w:val="single" w:sz="4" w:space="0" w:color="auto"/>
              <w:right w:val="single" w:sz="4" w:space="0" w:color="auto"/>
            </w:tcBorders>
            <w:shd w:val="clear" w:color="auto" w:fill="auto"/>
            <w:vAlign w:val="center"/>
            <w:hideMark/>
          </w:tcPr>
          <w:p w14:paraId="3036A1FF"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 xml:space="preserve">12 países da UE </w:t>
            </w:r>
          </w:p>
        </w:tc>
        <w:tc>
          <w:tcPr>
            <w:tcW w:w="1340" w:type="dxa"/>
            <w:tcBorders>
              <w:top w:val="nil"/>
              <w:left w:val="nil"/>
              <w:bottom w:val="single" w:sz="4" w:space="0" w:color="auto"/>
              <w:right w:val="single" w:sz="4" w:space="0" w:color="auto"/>
            </w:tcBorders>
            <w:shd w:val="clear" w:color="auto" w:fill="auto"/>
            <w:vAlign w:val="center"/>
            <w:hideMark/>
          </w:tcPr>
          <w:p w14:paraId="3AF17CEB"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36-42%</w:t>
            </w:r>
          </w:p>
        </w:tc>
      </w:tr>
      <w:tr w:rsidR="008C4FAA" w:rsidRPr="009E2740" w14:paraId="27D51707" w14:textId="77777777" w:rsidTr="00F93B1C">
        <w:trPr>
          <w:trHeight w:val="6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302C49D4" w14:textId="4BEECFE8" w:rsidR="007F5090" w:rsidRPr="009E2740" w:rsidRDefault="004E5B49"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"Magazzino", "given" : "Cosimo", "non-dropping-particle" : "", "parse-names" : false, "suffix" : "" } ], "container-title" : "Notizie di Politeia", "id" : "ITEM-1", "issue" : "92", "issued" : { "date-parts" : [ [ "2008" ] ] }, "page" : "45-60", "title" : "Modelli interpretativi della dinamica della spesa pubblica e \u201ccurva di Armey\u201d: il caso italiano, 1862-2001", "type" : "article-journal", "volume" : "24" }, "uris" : [ "http://www.mendeley.com/documents/?uuid=d543bad2-3f53-4dd1-bb62-5a413e598b50" ] }, { "id" : "ITEM-2", "itemData" : { "author" : [ { "dropping-particle" : "", "family" : "Magazzino", "given" : "Cosimo", "non-dropping-particle" : "", "parse-names" : false, "suffix" : "" } ], "container-title" : "International Journal of Empirical Finance", "id" : "ITEM-2", "issue" : "2", "issued" : { "date-parts" : [ [ "2014" ] ] }, "page" : "38-54", "title" : "Government Size and Economic Growth in Italy : An Empirical Analyses Based On New Data (1861-2008)", "type" : "article-journal", "volume" : "3" }, "uris" : [ "http://www.mendeley.com/documents/?uuid=2d485479-9f70-44d5-b212-75ee5e1213b5" ] } ], "mendeley" : { "formattedCitation" : "(Magazzino, 2008, 2014)", "plainTextFormattedCitation" : "(Magazzino, 2008, 2014)", "previouslyFormattedCitation" : "(Magazzino, 2008, 2014)"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(Magazzino, 2008, 2014)</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vAlign w:val="center"/>
            <w:hideMark/>
          </w:tcPr>
          <w:p w14:paraId="313DF3C6" w14:textId="6AC6124B"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1862-1998</w:t>
            </w:r>
            <w:r w:rsidR="004E5B49" w:rsidRPr="009E2740">
              <w:rPr>
                <w:rFonts w:ascii="Times New Roman" w:eastAsia="Times New Roman" w:hAnsi="Times New Roman" w:cs="Times New Roman"/>
                <w:sz w:val="18"/>
                <w:szCs w:val="18"/>
              </w:rPr>
              <w:t>,</w:t>
            </w:r>
            <w:r w:rsidRPr="009E2740">
              <w:rPr>
                <w:rFonts w:ascii="Times New Roman" w:eastAsia="Times New Roman" w:hAnsi="Times New Roman" w:cs="Times New Roman"/>
                <w:sz w:val="18"/>
                <w:szCs w:val="18"/>
              </w:rPr>
              <w:t xml:space="preserve"> 1950-1998</w:t>
            </w:r>
            <w:r w:rsidR="004E5B49" w:rsidRPr="009E2740">
              <w:rPr>
                <w:rFonts w:ascii="Times New Roman" w:eastAsia="Times New Roman" w:hAnsi="Times New Roman" w:cs="Times New Roman"/>
                <w:sz w:val="18"/>
                <w:szCs w:val="18"/>
              </w:rPr>
              <w:t>,</w:t>
            </w:r>
          </w:p>
          <w:p w14:paraId="2E19122C" w14:textId="00591BAE" w:rsidR="004E5B49" w:rsidRPr="009E2740" w:rsidRDefault="004E5B49"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1862-2008 (em três subperíodos)</w:t>
            </w:r>
          </w:p>
        </w:tc>
        <w:tc>
          <w:tcPr>
            <w:tcW w:w="1980" w:type="dxa"/>
            <w:tcBorders>
              <w:top w:val="nil"/>
              <w:left w:val="nil"/>
              <w:bottom w:val="single" w:sz="4" w:space="0" w:color="auto"/>
              <w:right w:val="single" w:sz="4" w:space="0" w:color="auto"/>
            </w:tcBorders>
            <w:shd w:val="clear" w:color="auto" w:fill="auto"/>
            <w:vAlign w:val="center"/>
            <w:hideMark/>
          </w:tcPr>
          <w:p w14:paraId="12DAF8C1"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Itália</w:t>
            </w:r>
          </w:p>
        </w:tc>
        <w:tc>
          <w:tcPr>
            <w:tcW w:w="1340" w:type="dxa"/>
            <w:tcBorders>
              <w:top w:val="nil"/>
              <w:left w:val="nil"/>
              <w:bottom w:val="single" w:sz="4" w:space="0" w:color="auto"/>
              <w:right w:val="single" w:sz="4" w:space="0" w:color="auto"/>
            </w:tcBorders>
            <w:shd w:val="clear" w:color="auto" w:fill="auto"/>
            <w:vAlign w:val="center"/>
            <w:hideMark/>
          </w:tcPr>
          <w:p w14:paraId="77C52884" w14:textId="08F6AD7B"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23.06%</w:t>
            </w:r>
            <w:r w:rsidR="004E5B49" w:rsidRPr="009E2740">
              <w:rPr>
                <w:rFonts w:ascii="Times New Roman" w:eastAsia="Times New Roman" w:hAnsi="Times New Roman" w:cs="Times New Roman"/>
                <w:sz w:val="18"/>
                <w:szCs w:val="18"/>
              </w:rPr>
              <w:t>,</w:t>
            </w:r>
            <w:r w:rsidRPr="009E2740">
              <w:rPr>
                <w:rFonts w:ascii="Times New Roman" w:eastAsia="Times New Roman" w:hAnsi="Times New Roman" w:cs="Times New Roman"/>
                <w:sz w:val="18"/>
                <w:szCs w:val="18"/>
              </w:rPr>
              <w:t xml:space="preserve">           32.83%</w:t>
            </w:r>
            <w:r w:rsidR="004E5B49" w:rsidRPr="009E2740">
              <w:rPr>
                <w:rFonts w:ascii="Times New Roman" w:eastAsia="Times New Roman" w:hAnsi="Times New Roman" w:cs="Times New Roman"/>
                <w:sz w:val="18"/>
                <w:szCs w:val="18"/>
              </w:rPr>
              <w:t>,</w:t>
            </w:r>
          </w:p>
          <w:p w14:paraId="54674CC2" w14:textId="77777777" w:rsidR="002946A7" w:rsidRPr="009E2740" w:rsidRDefault="004E5B49"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 xml:space="preserve">13.96% (1862-1914), </w:t>
            </w:r>
          </w:p>
          <w:p w14:paraId="721334BF" w14:textId="77777777" w:rsidR="002946A7" w:rsidRPr="009E2740" w:rsidRDefault="004E5B49"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24.42% (1915-1947),</w:t>
            </w:r>
          </w:p>
          <w:p w14:paraId="7585C4A0" w14:textId="65DB6F5B" w:rsidR="004E5B49" w:rsidRPr="009E2740" w:rsidRDefault="004E5B49"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 xml:space="preserve"> 40.60% (1993-2008)</w:t>
            </w:r>
          </w:p>
        </w:tc>
      </w:tr>
      <w:tr w:rsidR="008C4FAA" w:rsidRPr="009E2740" w14:paraId="289A40DE"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34E12669" w14:textId="62921C04"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"10.1016/j.socec.2008.07.015", "ISSN" : "10535357", "abstract" : "Previous studies have found evidence for an optimal size of government with respect to GDP growth. In this paper, I look at the impact of the size of government consumption expenditures on social welfare as measured by the Human Development Index. Utilizing dynamic GMM estimation in a panel data framework, I find that evidence for an optimal size of government with respect to social welfare.", "author" : [ { "dropping-particle" : "", "family" : "Davies", "given" : "Antony", "non-dropping-particle" : "", "parse-names" : false, "suffix" : "" } ], "container-title" : "The Journal of Socio-Economics", "id" : "ITEM-1", "issue" : "2", "issued" : { "date-parts" : [ [ "2009" ] ] }, "page" : "326-330", "title" : "Human development and the optimal size of government", "type" : "article-journal", "volume" : "38" }, "uris" : [ "http://www.mendeley.com/documents/?uuid=18cc7ecd-b2c3-310f-a3a5-baef3f73bfe6" ] } ], "mendeley" : { "formattedCitation" : "(Davies, 2009)", "plainTextFormattedCitation" : "(Davies, 2009)", "previouslyFormattedCitation" : "(Davies, 2009)"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(Davies, 2009)</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3C8B4CD5" w14:textId="3117DCB8" w:rsidR="007F5090" w:rsidRPr="009E2740" w:rsidRDefault="00F00115"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N</w:t>
            </w:r>
            <w:r w:rsidR="007F5090" w:rsidRPr="009E2740">
              <w:rPr>
                <w:rFonts w:ascii="Times New Roman" w:eastAsia="Times New Roman" w:hAnsi="Times New Roman" w:cs="Times New Roman"/>
                <w:sz w:val="18"/>
                <w:szCs w:val="18"/>
              </w:rPr>
              <w:t>c</w:t>
            </w:r>
          </w:p>
        </w:tc>
        <w:tc>
          <w:tcPr>
            <w:tcW w:w="1980" w:type="dxa"/>
            <w:tcBorders>
              <w:top w:val="nil"/>
              <w:left w:val="nil"/>
              <w:bottom w:val="single" w:sz="4" w:space="0" w:color="auto"/>
              <w:right w:val="single" w:sz="4" w:space="0" w:color="auto"/>
            </w:tcBorders>
            <w:shd w:val="clear" w:color="auto" w:fill="auto"/>
            <w:vAlign w:val="center"/>
            <w:hideMark/>
          </w:tcPr>
          <w:p w14:paraId="470F542E"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países de baixa renda</w:t>
            </w:r>
          </w:p>
        </w:tc>
        <w:tc>
          <w:tcPr>
            <w:tcW w:w="1340" w:type="dxa"/>
            <w:tcBorders>
              <w:top w:val="nil"/>
              <w:left w:val="nil"/>
              <w:bottom w:val="single" w:sz="4" w:space="0" w:color="auto"/>
              <w:right w:val="single" w:sz="4" w:space="0" w:color="auto"/>
            </w:tcBorders>
            <w:shd w:val="clear" w:color="auto" w:fill="auto"/>
            <w:vAlign w:val="center"/>
            <w:hideMark/>
          </w:tcPr>
          <w:p w14:paraId="321D4985"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40%</w:t>
            </w:r>
          </w:p>
        </w:tc>
      </w:tr>
      <w:tr w:rsidR="008C4FAA" w:rsidRPr="009E2740" w14:paraId="7C8BE660" w14:textId="77777777" w:rsidTr="00F93B1C">
        <w:trPr>
          <w:trHeight w:val="6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0B75E6A" w14:textId="5F1AA0D9"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"Chobanov", "given" : "Dimitar", "non-dropping-particle" : "", "parse-names" : false, "suffix" : "" }, { "dropping-particle" : "", "family" : "Mladenova", "given" : "Adriana", "non-dropping-particle" : "", "parse-names" : false, "suffix" : "" } ], "id" : "ITEM-1", "issued" : { "date-parts" : [ [ "2009" ] ] }, "page" : "1-47", "title" : "What is the optimum size of Government: A suggestion", "type" : "article" }, "uris" : [ "http://www.mendeley.com/documents/?uuid=c22ea248-99c9-43f4-8715-c32530476523" ] } ], "mendeley" : { "formattedCitation" : "(Chobanov &amp; Mladenova, 2009)", "plainTextFormattedCitation" : "(Chobanov &amp; Mladenova, 2009)", "previouslyFormattedCitation" : "(Chobanov &amp; Mladenova, 2009)"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(Chobanov &amp; Mladenova, 2009)</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55ADD336"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1970-2009</w:t>
            </w:r>
          </w:p>
        </w:tc>
        <w:tc>
          <w:tcPr>
            <w:tcW w:w="1980" w:type="dxa"/>
            <w:tcBorders>
              <w:top w:val="nil"/>
              <w:left w:val="nil"/>
              <w:bottom w:val="single" w:sz="4" w:space="0" w:color="auto"/>
              <w:right w:val="single" w:sz="4" w:space="0" w:color="auto"/>
            </w:tcBorders>
            <w:shd w:val="clear" w:color="auto" w:fill="auto"/>
            <w:vAlign w:val="center"/>
            <w:hideMark/>
          </w:tcPr>
          <w:p w14:paraId="088C9C22"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 xml:space="preserve">28 países da UE </w:t>
            </w:r>
          </w:p>
        </w:tc>
        <w:tc>
          <w:tcPr>
            <w:tcW w:w="1340" w:type="dxa"/>
            <w:tcBorders>
              <w:top w:val="nil"/>
              <w:left w:val="nil"/>
              <w:bottom w:val="single" w:sz="4" w:space="0" w:color="auto"/>
              <w:right w:val="single" w:sz="4" w:space="0" w:color="auto"/>
            </w:tcBorders>
            <w:shd w:val="clear" w:color="auto" w:fill="auto"/>
            <w:vAlign w:val="center"/>
            <w:hideMark/>
          </w:tcPr>
          <w:p w14:paraId="154E6BD7"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25%</w:t>
            </w:r>
          </w:p>
        </w:tc>
      </w:tr>
      <w:tr w:rsidR="008C4FAA" w:rsidRPr="009E2740" w14:paraId="49513370"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1E11F7D3" w14:textId="193E9525" w:rsidR="007F5090" w:rsidRPr="009E2740" w:rsidRDefault="006E2F8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"author" : [ { "dropping-particle" : "", "family" : "Forte", "given" : "Francesco", "non-dropping-particle" : "", "parse-names" : false, "suffix" : "" }, { "dropping-particle" : "", "family" : "Magazzino", "given" : "Cosimo", "non-dropping-particle" : "", "parse-names" : false, "suffix" : "" } ], "id" : "ITEM-1", "issued" : { "date-parts" : [ [ "2010" ] ] }, "number" : "4/2010", "number-of-pages" : "1-47", "publisher-place" : "Roma", "title" : "Optimal Size of Government and economic growth in EU-27", "type" : "report" }, "uris" : [ "http://www.mendeley.com/documents/?uuid=d127bb49-3e18-419f-afac-7cbc424e694d" ] } ], "mendeley" : { "formattedCitation" : "(Forte &amp; Magazzino, 2010)", "plainTextFormattedCitation" : "(Forte &amp; Magazzino, 2010)", "previouslyFormattedCitation" : "(Forte &amp; Magazzino, 2010)"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(Forte &amp; Magazzino, 2010)</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hideMark/>
          </w:tcPr>
          <w:p w14:paraId="325D1260"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1970-2009</w:t>
            </w:r>
          </w:p>
        </w:tc>
        <w:tc>
          <w:tcPr>
            <w:tcW w:w="1980" w:type="dxa"/>
            <w:tcBorders>
              <w:top w:val="nil"/>
              <w:left w:val="nil"/>
              <w:bottom w:val="single" w:sz="4" w:space="0" w:color="auto"/>
              <w:right w:val="single" w:sz="4" w:space="0" w:color="auto"/>
            </w:tcBorders>
            <w:shd w:val="clear" w:color="auto" w:fill="auto"/>
            <w:vAlign w:val="center"/>
            <w:hideMark/>
          </w:tcPr>
          <w:p w14:paraId="3796B39C"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 xml:space="preserve">27 países da UE </w:t>
            </w:r>
          </w:p>
        </w:tc>
        <w:tc>
          <w:tcPr>
            <w:tcW w:w="1340" w:type="dxa"/>
            <w:tcBorders>
              <w:top w:val="nil"/>
              <w:left w:val="nil"/>
              <w:bottom w:val="single" w:sz="4" w:space="0" w:color="auto"/>
              <w:right w:val="single" w:sz="4" w:space="0" w:color="auto"/>
            </w:tcBorders>
            <w:shd w:val="clear" w:color="auto" w:fill="auto"/>
            <w:vAlign w:val="center"/>
            <w:hideMark/>
          </w:tcPr>
          <w:p w14:paraId="2B752D22" w14:textId="77777777" w:rsidR="007F5090" w:rsidRPr="009E2740" w:rsidRDefault="007F5090"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35.39-43.50%</w:t>
            </w:r>
          </w:p>
        </w:tc>
      </w:tr>
      <w:tr w:rsidR="008C4FAA" w:rsidRPr="009E2740" w14:paraId="62D3FEA2"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tcPr>
          <w:p w14:paraId="1F1A3587" w14:textId="125FABF1" w:rsidR="00B115C8" w:rsidRPr="009E2740" w:rsidRDefault="00B115C8"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"ISBN" : "0033144078109", "author" : [ { "dropping-particle" : "", "family" : "Facchini", "given" : "Fran\u00e7ois", "non-dropping-particle" : "", "parse-names" : false, "suffix" : "" }, { "dropping-particle" : "", "family" : "Melki", "given" : "Micka\u00ebl", "non-dropping-particle" : "", "parse-names" : false, "suffix" : "" } ], "id" : "ITEM-1", "issued" : { "date-parts" : [ [ "2011" ] ] }, "number" : "2011.77", "number-of-pages" : "1-36", "title" : "Optimal Government Size and Economic Growth in France (1871-2008): An Explanation by the State and Market Failures", "type" : "report" }, "uris" : [ "http://www.mendeley.com/documents/?uuid=b6253c31-607b-4d72-8f1a-2dec0aedeabc" ] } ], "mendeley" : { "formattedCitation" : "(Facchini &amp; Melki, 2011)", "plainTextFormattedCitation" : "(Facchini &amp; Melki, 2011)", "previouslyFormattedCitation" : "(Facchini &amp; Melki, 2011)"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(Facchini &amp; Melki, 2011)</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tcPr>
          <w:p w14:paraId="4B844639" w14:textId="0464EDA8" w:rsidR="00B115C8" w:rsidRPr="009E2740" w:rsidRDefault="00B115C8"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1871-2008</w:t>
            </w:r>
          </w:p>
        </w:tc>
        <w:tc>
          <w:tcPr>
            <w:tcW w:w="1980" w:type="dxa"/>
            <w:tcBorders>
              <w:top w:val="nil"/>
              <w:left w:val="nil"/>
              <w:bottom w:val="single" w:sz="4" w:space="0" w:color="auto"/>
              <w:right w:val="single" w:sz="4" w:space="0" w:color="auto"/>
            </w:tcBorders>
            <w:shd w:val="clear" w:color="auto" w:fill="auto"/>
            <w:vAlign w:val="center"/>
          </w:tcPr>
          <w:p w14:paraId="2C86CBCE" w14:textId="79DC8615" w:rsidR="00B115C8" w:rsidRPr="009E2740" w:rsidRDefault="00B115C8"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França</w:t>
            </w:r>
          </w:p>
        </w:tc>
        <w:tc>
          <w:tcPr>
            <w:tcW w:w="1340" w:type="dxa"/>
            <w:tcBorders>
              <w:top w:val="nil"/>
              <w:left w:val="nil"/>
              <w:bottom w:val="single" w:sz="4" w:space="0" w:color="auto"/>
              <w:right w:val="single" w:sz="4" w:space="0" w:color="auto"/>
            </w:tcBorders>
            <w:shd w:val="clear" w:color="auto" w:fill="auto"/>
            <w:vAlign w:val="center"/>
          </w:tcPr>
          <w:p w14:paraId="4A45622C" w14:textId="1C10CFCA" w:rsidR="00B115C8" w:rsidRPr="009E2740" w:rsidRDefault="00B115C8"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t>30%</w:t>
            </w:r>
          </w:p>
        </w:tc>
      </w:tr>
      <w:tr w:rsidR="008C4FAA" w:rsidRPr="009E2740" w14:paraId="13FF1AAE"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tcPr>
          <w:p w14:paraId="609EA5A4" w14:textId="767DD6B1" w:rsidR="000036F4" w:rsidRPr="009E2740" w:rsidRDefault="000036F4"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"10.1016/j.sbspro.2013.08.639", "ISBN" : "9054289910", "ISSN" : "18770428", "abstract" : "In this study the relationship between government expenditure and rate of economic growth will be analyzed for Turkey, Romania and Bulgaria by using the data for the period 1995-2011. The main purpose of this study is to test whether there is an \u201cinverted U\u201d shape relationship between public spending and economic growth or not, and to find the optimal level of public spending for Turkey, Romania and Bulgaria economies. Theoretically, the relationship between optimal government expenditure and economic growth has been associated with Armey curve. Armey Curve, propounded by Richard Armey, is one of the tools that developed to demonstrates the role of the state in the economic process. The basic logic behind the Armey Curve is that the relationship between public spending and gross domestic product (GDP) is positive up to a certain point, thereafter the relationship becomes negative. According to Friedman (1997), the government has an important role in a free and open society. It is emphasized that, average contribution of the public sector in the economy is positive, but as the public share of national income increases from 15% to 50% the marginal contribution of the public sector will be negative. Therefore, Friedman advocates that based on development level of countries, the optimal level of public spending should be between 15% and 50%. The econometric method using in this study is ARDL bound testing approach developed by Paseran et al. (2001). Empirical findings show that the share of present public expenditure in GDP exceeds optimal public expenditure for three countries. Based on the results of the study, an economic policy proposal may be that the share of public expenditure should be reduced and the effectiveness of public expenditure programs should be increased.", "author" : [ { "dropping-particle" : "", "family" : "Altunc", "given" : "O. Faruk", "non-dropping-particle" : "", "parse-names" : false, "suffix" : "" }, { "dropping-particle" : "", "family" : "Ayd\u0131n", "given" : "Celil", "non-dropping-particle" : "", "parse-names" : false, "suffix" : "" } ], "container-title" : "Procedia - Social and Behavioral Sciences", "id" : "ITEM-1", "issue" : "Lumen", "issued" : { "date-parts" : [ [ "2013" ] ] }, "page" : "66-75", "publisher" : "Elsevier B.V.", "title" : "The Relationship between Optimal Size of Government and Economic Growth: Empirical Evidence from Turkey, Romania and Bulgaria", "type" : "article-journal", "volume" : "92" }, "uris" : [ "http://www.mendeley.com/documents/?uuid=3603dd22-0c4a-4e1e-b85d-f640a661a53e" ] } ], "mendeley" : { "formattedCitation" : "(Altunc &amp; Ayd\u0131n, 2013)", "plainTextFormattedCitation" : "(Altunc &amp; Ayd\u0131n, 2013)", "previouslyFormattedCitation" : "(Altunc &amp; Ayd\u0131n, 2013)"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lang w:val="pt-BR"/>
              </w:rPr>
              <w:t>(Altunc &amp; Aydın, 2013)</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tcPr>
          <w:p w14:paraId="41455E0B" w14:textId="059B815C" w:rsidR="000036F4" w:rsidRPr="009E2740" w:rsidRDefault="000036F4"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1995-2011</w:t>
            </w:r>
          </w:p>
        </w:tc>
        <w:tc>
          <w:tcPr>
            <w:tcW w:w="1980" w:type="dxa"/>
            <w:tcBorders>
              <w:top w:val="nil"/>
              <w:left w:val="nil"/>
              <w:bottom w:val="single" w:sz="4" w:space="0" w:color="auto"/>
              <w:right w:val="single" w:sz="4" w:space="0" w:color="auto"/>
            </w:tcBorders>
            <w:shd w:val="clear" w:color="auto" w:fill="auto"/>
            <w:vAlign w:val="center"/>
          </w:tcPr>
          <w:p w14:paraId="1D35A131" w14:textId="22AF4D73" w:rsidR="000036F4" w:rsidRPr="009E2740" w:rsidRDefault="000036F4"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Turquia, Romênia e Bulgária</w:t>
            </w:r>
          </w:p>
        </w:tc>
        <w:tc>
          <w:tcPr>
            <w:tcW w:w="1340" w:type="dxa"/>
            <w:tcBorders>
              <w:top w:val="nil"/>
              <w:left w:val="nil"/>
              <w:bottom w:val="single" w:sz="4" w:space="0" w:color="auto"/>
              <w:right w:val="single" w:sz="4" w:space="0" w:color="auto"/>
            </w:tcBorders>
            <w:shd w:val="clear" w:color="auto" w:fill="auto"/>
            <w:vAlign w:val="center"/>
          </w:tcPr>
          <w:p w14:paraId="2D759C6F" w14:textId="3A3B0780" w:rsidR="000036F4" w:rsidRPr="009E2740" w:rsidRDefault="000036F4"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25%, 20% e 22%</w:t>
            </w:r>
          </w:p>
        </w:tc>
      </w:tr>
      <w:tr w:rsidR="008C4FAA" w:rsidRPr="009E2740" w14:paraId="2277B158"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tcPr>
          <w:p w14:paraId="61F537C0" w14:textId="25AE088B" w:rsidR="00C14E7E" w:rsidRPr="009E2740" w:rsidRDefault="00C14E7E"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lang w:val="pt-BR"/>
              </w:rPr>
              <w:instrText>ADDIN CSL_CITATION { "citationItems" : [ { "id" : "ITEM-1", "itemData" : { "ISSN" : "21464138", "author" : [ { "dropping-particle" : "", "family" : "Turan", "given" : "Taner", "non-dropping-particle" : "", "parse-names" : false, "suffix" : "" } ], "container-title" : "International Journal of Economics and Financial Issues", "id" : "ITEM-1", "issue" : "2", "issued" : { "date-parts" : [ [ "2014" ] ] }, "page" : "286-294", "title" : "Optimal Size of Government in Turkey", "type" : "article-journal", "volume" : "4" }, "uris" : [ "http://www.mendeley.com/documents/?uuid=d5009178-f4f8-43dd-9ee1-18038947d0dd" ] } ], "mendeley" : { "formattedCitation" : "(Turan, 2014)", "plainTextFormattedCitation" : "(Turan, 2014)", "previouslyFormattedCitation" : "(Turan, 2014)"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lang w:val="pt-BR"/>
              </w:rPr>
              <w:t>(Turan, 2014)</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tcPr>
          <w:p w14:paraId="3CE57F18" w14:textId="77777777" w:rsidR="00C14E7E" w:rsidRPr="009E2740" w:rsidRDefault="00C14E7E"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1950-2012</w:t>
            </w:r>
          </w:p>
          <w:p w14:paraId="1768B57E" w14:textId="61BBF7F4" w:rsidR="00C14E7E" w:rsidRPr="009E2740" w:rsidRDefault="00C14E7E"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1970-2012</w:t>
            </w:r>
          </w:p>
        </w:tc>
        <w:tc>
          <w:tcPr>
            <w:tcW w:w="1980" w:type="dxa"/>
            <w:tcBorders>
              <w:top w:val="nil"/>
              <w:left w:val="nil"/>
              <w:bottom w:val="single" w:sz="4" w:space="0" w:color="auto"/>
              <w:right w:val="single" w:sz="4" w:space="0" w:color="auto"/>
            </w:tcBorders>
            <w:shd w:val="clear" w:color="auto" w:fill="auto"/>
            <w:vAlign w:val="center"/>
          </w:tcPr>
          <w:p w14:paraId="2707561A" w14:textId="032443D4" w:rsidR="00C14E7E" w:rsidRPr="009E2740" w:rsidRDefault="00C14E7E"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Turquia</w:t>
            </w:r>
          </w:p>
        </w:tc>
        <w:tc>
          <w:tcPr>
            <w:tcW w:w="1340" w:type="dxa"/>
            <w:tcBorders>
              <w:top w:val="nil"/>
              <w:left w:val="nil"/>
              <w:bottom w:val="single" w:sz="4" w:space="0" w:color="auto"/>
              <w:right w:val="single" w:sz="4" w:space="0" w:color="auto"/>
            </w:tcBorders>
            <w:shd w:val="clear" w:color="auto" w:fill="auto"/>
            <w:vAlign w:val="center"/>
          </w:tcPr>
          <w:p w14:paraId="214ADCFB" w14:textId="30B295DB" w:rsidR="00C14E7E" w:rsidRPr="009E2740" w:rsidRDefault="00C14E7E"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8.8-9.1%</w:t>
            </w:r>
          </w:p>
          <w:p w14:paraId="5F7EE72E" w14:textId="03460821" w:rsidR="00C14E7E" w:rsidRPr="009E2740" w:rsidRDefault="00C14E7E"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15.4-17%</w:t>
            </w:r>
          </w:p>
        </w:tc>
      </w:tr>
      <w:tr w:rsidR="008C4FAA" w:rsidRPr="009E2740" w14:paraId="75E72611"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tcPr>
          <w:p w14:paraId="6CC02455" w14:textId="5D6CAD36" w:rsidR="00665D43" w:rsidRPr="009E2740" w:rsidRDefault="00665D43"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"ISBN" : "0657335282", "abstract" : "Using time-series techniques and panels data, the paper analyses for the EU countries in the period 1970-2009 the existence and shape of the \u201cBARS curve\u201d (Barro, Armey, Rahn, and Scully), connecting the size of Government (meas- ured by the share of public expenditure on GDP) to the rate of economic growth. Indi- vidual countries research has been conducted for 12 countries for whom enough time se- ries were available, while panel analysis has been performed both for EU-27 and for subgroups, distinguished by their different socio-economic and monetary structures, and per capita GDP. BARS curves were generally found, and the shares of actual public expenditures generally exceed substantially those related to the maximization of GDP growth. However, great differences do emerge. For the 12 countries examined by time- series techniques, the difference between the actual level and the peak of the BARS curve ranges from 5.7 points for Germany and 18.1 points for Belgium. Panel data analysis for EU-27 shows a peak of the BARS curve at 37%, while the actual level is about 47%. While, panel data disaggregation shows a similar situation for the Western Continental Countries, with a smaller gap for Anglo-Saxon countries. For low per capita GDP countries the peak is higher than for the mature economies. So, further research may prove useful to show light on the disparities emerging in the em- pirical analysis of individual countries and of the panel sub-groups. However, the pre- sent research provides enough evidence that high GDP countries of EU have overcome the level of government size compatible with GDP growth rate maximization.", "author" : [ { "dropping-particle" : "", "family" : "Ahmad", "given" : "Riayati", "non-dropping-particle" : "", "parse-names" : false, "suffix" : "" }, { "dropping-particle" : "", "family" : "Othman", "given" : "Norashida", "non-dropping-particle" : "", "parse-names" : false, "suffix" : "" } ], "container-title" : "Prosiding Persidangan Kebangsaan Ekonomi Malaysia", "id" : "ITEM-1", "issued" : { "date-parts" : [ [ "2014" ] ] }, "page" : "41-48", "title" : "Optimal Size of Government and Economic Growth in Malaysia: Empirical Evidence", "type" : "article-journal", "volume" : "9" }, "uris" : [ "http://www.mendeley.com/documents/?uuid=8e81dceb-137b-4c77-a0c3-728be7d7ddf4" ] } ], "mendeley" : { "formattedCitation" : "(Ahmad &amp; Othman, 2014)", "plainTextFormattedCitation" : "(Ahmad &amp; Othman, 2014)", "previouslyFormattedCitation" : "(Ahmad &amp; Othman, 2014)"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(Ahmad &amp; Othman, 2014)</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tcPr>
          <w:p w14:paraId="223EBA9B" w14:textId="56EC5D25" w:rsidR="00665D43" w:rsidRPr="009E2740" w:rsidRDefault="00665D43"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1970-2012</w:t>
            </w:r>
          </w:p>
        </w:tc>
        <w:tc>
          <w:tcPr>
            <w:tcW w:w="1980" w:type="dxa"/>
            <w:tcBorders>
              <w:top w:val="nil"/>
              <w:left w:val="nil"/>
              <w:bottom w:val="single" w:sz="4" w:space="0" w:color="auto"/>
              <w:right w:val="single" w:sz="4" w:space="0" w:color="auto"/>
            </w:tcBorders>
            <w:shd w:val="clear" w:color="auto" w:fill="auto"/>
            <w:vAlign w:val="center"/>
          </w:tcPr>
          <w:p w14:paraId="5B898B2C" w14:textId="50BCFDE9" w:rsidR="00665D43" w:rsidRPr="009E2740" w:rsidRDefault="00665D43"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Malásia</w:t>
            </w:r>
          </w:p>
        </w:tc>
        <w:tc>
          <w:tcPr>
            <w:tcW w:w="1340" w:type="dxa"/>
            <w:tcBorders>
              <w:top w:val="nil"/>
              <w:left w:val="nil"/>
              <w:bottom w:val="single" w:sz="4" w:space="0" w:color="auto"/>
              <w:right w:val="single" w:sz="4" w:space="0" w:color="auto"/>
            </w:tcBorders>
            <w:shd w:val="clear" w:color="auto" w:fill="auto"/>
            <w:vAlign w:val="center"/>
          </w:tcPr>
          <w:p w14:paraId="46AD0009" w14:textId="7D65BE90" w:rsidR="00665D43" w:rsidRPr="009E2740" w:rsidRDefault="00665D43"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16.32%</w:t>
            </w:r>
          </w:p>
        </w:tc>
      </w:tr>
      <w:tr w:rsidR="008C4FAA" w:rsidRPr="009E2740" w14:paraId="79162866"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tcPr>
          <w:p w14:paraId="03602E62" w14:textId="6F547F74" w:rsidR="00DC036D" w:rsidRPr="009E2740" w:rsidRDefault="00DC036D" w:rsidP="009E2740">
            <w:pPr>
              <w:spacing w:after="0" w:line="240" w:lineRule="auto"/>
              <w:jc w:val="center"/>
              <w:rPr>
                <w:rFonts w:ascii="Times New Roman" w:eastAsia="Times New Roman" w:hAnsi="Times New Roman" w:cs="Times New Roman"/>
                <w:sz w:val="18"/>
                <w:szCs w:val="18"/>
              </w:rPr>
            </w:pPr>
            <w:r w:rsidRPr="009E2740">
              <w:rPr>
                <w:rFonts w:ascii="Times New Roman" w:eastAsia="Times New Roman" w:hAnsi="Times New Roman" w:cs="Times New Roman"/>
                <w:sz w:val="18"/>
                <w:szCs w:val="18"/>
              </w:rPr>
              <w:fldChar w:fldCharType="begin" w:fldLock="1"/>
            </w:r>
            <w:r w:rsidR="00265BDE" w:rsidRPr="009E2740">
              <w:rPr>
                <w:rFonts w:ascii="Times New Roman" w:eastAsia="Times New Roman" w:hAnsi="Times New Roman" w:cs="Times New Roman"/>
                <w:sz w:val="18"/>
                <w:szCs w:val="18"/>
              </w:rPr>
              <w:instrText>ADDIN CSL_CITATION { "citationItems" : [ { "id" : "ITEM-1", "itemData" : { "DOI" : "10.1080/13504851.2014.987909", "ISSN" : "1350-4851", "abstract" : "This article provides empirical evidence regarding the effect of the size of government on economic growth in the Brazilian economy for the period from January 2000 to March 2013. In particular, an analysis is conducted to see whether the Armey curve fits well for the Brazilian case and the optimal government size is also estimated. The findings indicate that an increase in the size of government contributes to economic growth and that the optimal size for the Brazilian government would be approximately 22% of GDP. Brazil crossed over this limit in 2005.", "author" : [ { "dropping-particle" : "de", "family" : "Mendon\u00e7a", "given" : "Helder Ferreira", "non-dropping-particle" : "", "parse-names" : false, "suffix" : "" }, { "dropping-particle" : "", "family" : "Cacicedo", "given" : "Thiago", "non-dropping-particle" : "", "parse-names" : false, "suffix" : "" } ], "container-title" : "Applied Economics Letters", "id" : "ITEM-1", "issue" : "11", "issued" : { "date-parts" : [ [ "2015" ] ] }, "page" : "904-910", "title" : "Size of government and economic growth in the largest Latin American country", "type" : "article-journal", "volume" : "22" }, "uris" : [ "http://www.mendeley.com/documents/?uuid=10ca4753-035a-4740-83b6-d7357a9e93a1" ] } ], "mendeley" : { "formattedCitation" : "(Mendon\u00e7a &amp; Cacicedo, 2015)", "plainTextFormattedCitation" : "(Mendon\u00e7a &amp; Cacicedo, 2015)", "previouslyFormattedCitation" : "(Mendon\u00e7a &amp; Cacicedo, 2015)" }, "properties" : { "noteIndex" : 0 }, "schema" : "https://github.com/citation-style-language/schema/raw/master/csl-citation.json" }</w:instrText>
            </w:r>
            <w:r w:rsidRPr="009E2740">
              <w:rPr>
                <w:rFonts w:ascii="Times New Roman" w:eastAsia="Times New Roman" w:hAnsi="Times New Roman" w:cs="Times New Roman"/>
                <w:sz w:val="18"/>
                <w:szCs w:val="18"/>
              </w:rPr>
              <w:fldChar w:fldCharType="separate"/>
            </w:r>
            <w:r w:rsidR="00265BDE" w:rsidRPr="009E2740">
              <w:rPr>
                <w:rFonts w:ascii="Times New Roman" w:eastAsia="Times New Roman" w:hAnsi="Times New Roman" w:cs="Times New Roman"/>
                <w:noProof/>
                <w:sz w:val="18"/>
                <w:szCs w:val="18"/>
              </w:rPr>
              <w:t>(Mendonça &amp; Cacicedo, 2015)</w:t>
            </w:r>
            <w:r w:rsidRPr="009E2740">
              <w:rPr>
                <w:rFonts w:ascii="Times New Roman" w:eastAsia="Times New Roman" w:hAnsi="Times New Roman" w:cs="Times New Roman"/>
                <w:sz w:val="18"/>
                <w:szCs w:val="18"/>
              </w:rPr>
              <w:fldChar w:fldCharType="end"/>
            </w:r>
          </w:p>
        </w:tc>
        <w:tc>
          <w:tcPr>
            <w:tcW w:w="1440" w:type="dxa"/>
            <w:tcBorders>
              <w:top w:val="nil"/>
              <w:left w:val="nil"/>
              <w:bottom w:val="single" w:sz="4" w:space="0" w:color="auto"/>
              <w:right w:val="single" w:sz="4" w:space="0" w:color="auto"/>
            </w:tcBorders>
            <w:shd w:val="clear" w:color="auto" w:fill="auto"/>
            <w:noWrap/>
            <w:vAlign w:val="center"/>
          </w:tcPr>
          <w:p w14:paraId="1BE00719" w14:textId="07C85856" w:rsidR="00DC036D" w:rsidRPr="009E2740" w:rsidRDefault="00DC036D"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2000.1-2013.3</w:t>
            </w:r>
          </w:p>
        </w:tc>
        <w:tc>
          <w:tcPr>
            <w:tcW w:w="1980" w:type="dxa"/>
            <w:tcBorders>
              <w:top w:val="nil"/>
              <w:left w:val="nil"/>
              <w:bottom w:val="single" w:sz="4" w:space="0" w:color="auto"/>
              <w:right w:val="single" w:sz="4" w:space="0" w:color="auto"/>
            </w:tcBorders>
            <w:shd w:val="clear" w:color="auto" w:fill="auto"/>
            <w:vAlign w:val="center"/>
          </w:tcPr>
          <w:p w14:paraId="7C7D04F9" w14:textId="2BF199BC" w:rsidR="00DC036D" w:rsidRPr="009E2740" w:rsidRDefault="00DC036D"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Brasil</w:t>
            </w:r>
          </w:p>
        </w:tc>
        <w:tc>
          <w:tcPr>
            <w:tcW w:w="1340" w:type="dxa"/>
            <w:tcBorders>
              <w:top w:val="nil"/>
              <w:left w:val="nil"/>
              <w:bottom w:val="single" w:sz="4" w:space="0" w:color="auto"/>
              <w:right w:val="single" w:sz="4" w:space="0" w:color="auto"/>
            </w:tcBorders>
            <w:shd w:val="clear" w:color="auto" w:fill="auto"/>
            <w:vAlign w:val="center"/>
          </w:tcPr>
          <w:p w14:paraId="6334BBD1" w14:textId="6EA38781" w:rsidR="00DC036D" w:rsidRPr="009E2740" w:rsidRDefault="00DC036D" w:rsidP="009E2740">
            <w:pPr>
              <w:spacing w:after="0" w:line="240" w:lineRule="auto"/>
              <w:jc w:val="center"/>
              <w:rPr>
                <w:rFonts w:ascii="Times New Roman" w:eastAsia="Times New Roman" w:hAnsi="Times New Roman" w:cs="Times New Roman"/>
                <w:sz w:val="18"/>
                <w:szCs w:val="18"/>
                <w:lang w:val="pt-BR"/>
              </w:rPr>
            </w:pPr>
            <w:r w:rsidRPr="009E2740">
              <w:rPr>
                <w:rFonts w:ascii="Times New Roman" w:eastAsia="Times New Roman" w:hAnsi="Times New Roman" w:cs="Times New Roman"/>
                <w:sz w:val="18"/>
                <w:szCs w:val="18"/>
                <w:lang w:val="pt-BR"/>
              </w:rPr>
              <w:t>22%</w:t>
            </w:r>
          </w:p>
        </w:tc>
      </w:tr>
      <w:tr w:rsidR="008C4FAA" w:rsidRPr="009E2740" w14:paraId="568693F9" w14:textId="77777777" w:rsidTr="00F93B1C">
        <w:trPr>
          <w:trHeight w:val="30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B2F3178" w14:textId="500C4F2B" w:rsidR="007F5090" w:rsidRPr="009E2740" w:rsidRDefault="00F00115" w:rsidP="009E2740">
            <w:pPr>
              <w:spacing w:after="0" w:line="240" w:lineRule="auto"/>
              <w:jc w:val="center"/>
              <w:rPr>
                <w:rFonts w:ascii="Times New Roman" w:eastAsia="Times New Roman" w:hAnsi="Times New Roman" w:cs="Times New Roman"/>
                <w:b/>
                <w:bCs/>
                <w:sz w:val="18"/>
                <w:szCs w:val="18"/>
                <w:lang w:val="pt-BR"/>
              </w:rPr>
            </w:pPr>
            <w:r w:rsidRPr="009E2740">
              <w:rPr>
                <w:rFonts w:ascii="Times New Roman" w:eastAsia="Times New Roman" w:hAnsi="Times New Roman" w:cs="Times New Roman"/>
                <w:b/>
                <w:bCs/>
                <w:sz w:val="18"/>
                <w:szCs w:val="18"/>
                <w:lang w:val="pt-BR"/>
              </w:rPr>
              <w:t>Este artigo</w:t>
            </w:r>
          </w:p>
        </w:tc>
        <w:tc>
          <w:tcPr>
            <w:tcW w:w="1440" w:type="dxa"/>
            <w:tcBorders>
              <w:top w:val="nil"/>
              <w:left w:val="nil"/>
              <w:bottom w:val="single" w:sz="4" w:space="0" w:color="auto"/>
              <w:right w:val="single" w:sz="4" w:space="0" w:color="auto"/>
            </w:tcBorders>
            <w:shd w:val="clear" w:color="auto" w:fill="auto"/>
            <w:noWrap/>
            <w:vAlign w:val="center"/>
            <w:hideMark/>
          </w:tcPr>
          <w:p w14:paraId="6C89A401" w14:textId="77777777" w:rsidR="007F5090" w:rsidRPr="009E2740" w:rsidRDefault="007F5090" w:rsidP="009E2740">
            <w:pPr>
              <w:spacing w:after="0" w:line="240" w:lineRule="auto"/>
              <w:jc w:val="center"/>
              <w:rPr>
                <w:rFonts w:ascii="Times New Roman" w:eastAsia="Times New Roman" w:hAnsi="Times New Roman" w:cs="Times New Roman"/>
                <w:b/>
                <w:bCs/>
                <w:sz w:val="18"/>
                <w:szCs w:val="18"/>
                <w:lang w:val="pt-BR"/>
              </w:rPr>
            </w:pPr>
            <w:r w:rsidRPr="009E2740">
              <w:rPr>
                <w:rFonts w:ascii="Times New Roman" w:eastAsia="Times New Roman" w:hAnsi="Times New Roman" w:cs="Times New Roman"/>
                <w:b/>
                <w:bCs/>
                <w:sz w:val="18"/>
                <w:szCs w:val="18"/>
                <w:lang w:val="pt-BR"/>
              </w:rPr>
              <w:t>1947-2013</w:t>
            </w:r>
          </w:p>
        </w:tc>
        <w:tc>
          <w:tcPr>
            <w:tcW w:w="1980" w:type="dxa"/>
            <w:tcBorders>
              <w:top w:val="nil"/>
              <w:left w:val="nil"/>
              <w:bottom w:val="single" w:sz="4" w:space="0" w:color="auto"/>
              <w:right w:val="single" w:sz="4" w:space="0" w:color="auto"/>
            </w:tcBorders>
            <w:shd w:val="clear" w:color="auto" w:fill="auto"/>
            <w:vAlign w:val="center"/>
            <w:hideMark/>
          </w:tcPr>
          <w:p w14:paraId="7765AB47" w14:textId="77777777" w:rsidR="007F5090" w:rsidRPr="009E2740" w:rsidRDefault="007F5090" w:rsidP="009E2740">
            <w:pPr>
              <w:spacing w:after="0" w:line="240" w:lineRule="auto"/>
              <w:jc w:val="center"/>
              <w:rPr>
                <w:rFonts w:ascii="Times New Roman" w:eastAsia="Times New Roman" w:hAnsi="Times New Roman" w:cs="Times New Roman"/>
                <w:b/>
                <w:bCs/>
                <w:sz w:val="18"/>
                <w:szCs w:val="18"/>
                <w:lang w:val="pt-BR"/>
              </w:rPr>
            </w:pPr>
            <w:r w:rsidRPr="009E2740">
              <w:rPr>
                <w:rFonts w:ascii="Times New Roman" w:eastAsia="Times New Roman" w:hAnsi="Times New Roman" w:cs="Times New Roman"/>
                <w:b/>
                <w:bCs/>
                <w:sz w:val="18"/>
                <w:szCs w:val="18"/>
                <w:lang w:val="pt-BR"/>
              </w:rPr>
              <w:t>Brasil</w:t>
            </w:r>
          </w:p>
        </w:tc>
        <w:tc>
          <w:tcPr>
            <w:tcW w:w="1340" w:type="dxa"/>
            <w:tcBorders>
              <w:top w:val="nil"/>
              <w:left w:val="nil"/>
              <w:bottom w:val="single" w:sz="4" w:space="0" w:color="auto"/>
              <w:right w:val="single" w:sz="4" w:space="0" w:color="auto"/>
            </w:tcBorders>
            <w:shd w:val="clear" w:color="auto" w:fill="auto"/>
            <w:vAlign w:val="center"/>
            <w:hideMark/>
          </w:tcPr>
          <w:p w14:paraId="1268B8CF" w14:textId="77777777" w:rsidR="007F5090" w:rsidRPr="009E2740" w:rsidRDefault="007F5090" w:rsidP="009E2740">
            <w:pPr>
              <w:spacing w:after="0" w:line="240" w:lineRule="auto"/>
              <w:jc w:val="center"/>
              <w:rPr>
                <w:rFonts w:ascii="Times New Roman" w:eastAsia="Times New Roman" w:hAnsi="Times New Roman" w:cs="Times New Roman"/>
                <w:b/>
                <w:bCs/>
                <w:sz w:val="18"/>
                <w:szCs w:val="18"/>
                <w:lang w:val="pt-BR"/>
              </w:rPr>
            </w:pPr>
            <w:r w:rsidRPr="009E2740">
              <w:rPr>
                <w:rFonts w:ascii="Times New Roman" w:eastAsia="Times New Roman" w:hAnsi="Times New Roman" w:cs="Times New Roman"/>
                <w:b/>
                <w:bCs/>
                <w:sz w:val="18"/>
                <w:szCs w:val="18"/>
                <w:lang w:val="pt-BR"/>
              </w:rPr>
              <w:t>28.38%</w:t>
            </w:r>
          </w:p>
        </w:tc>
      </w:tr>
    </w:tbl>
    <w:p w14:paraId="6FE2BF3E" w14:textId="7F80C324" w:rsidR="007F5090" w:rsidRPr="00F93B1C" w:rsidRDefault="007F5090" w:rsidP="00F93B1C">
      <w:pPr>
        <w:spacing w:after="0" w:line="240" w:lineRule="auto"/>
        <w:ind w:left="851" w:right="713"/>
        <w:rPr>
          <w:rFonts w:ascii="Times New Roman" w:hAnsi="Times New Roman" w:cs="Times New Roman"/>
          <w:sz w:val="20"/>
          <w:szCs w:val="18"/>
          <w:lang w:val="pt-BR"/>
        </w:rPr>
      </w:pPr>
      <w:r w:rsidRPr="00F93B1C">
        <w:rPr>
          <w:rFonts w:ascii="Times New Roman" w:hAnsi="Times New Roman" w:cs="Times New Roman"/>
          <w:sz w:val="20"/>
          <w:szCs w:val="18"/>
          <w:lang w:val="pt-BR"/>
        </w:rPr>
        <w:t xml:space="preserve">Nota: O quadro </w:t>
      </w:r>
      <w:r w:rsidR="00801529" w:rsidRPr="00F93B1C">
        <w:rPr>
          <w:rFonts w:ascii="Times New Roman" w:hAnsi="Times New Roman" w:cs="Times New Roman"/>
          <w:sz w:val="20"/>
          <w:szCs w:val="18"/>
          <w:lang w:val="pt-BR"/>
        </w:rPr>
        <w:t xml:space="preserve">foi atualizado a partir </w:t>
      </w:r>
      <w:r w:rsidRPr="00F93B1C">
        <w:rPr>
          <w:rFonts w:ascii="Times New Roman" w:hAnsi="Times New Roman" w:cs="Times New Roman"/>
          <w:sz w:val="20"/>
          <w:szCs w:val="18"/>
          <w:lang w:val="pt-BR"/>
        </w:rPr>
        <w:t xml:space="preserve">de </w:t>
      </w:r>
      <w:r w:rsidRPr="00F93B1C">
        <w:rPr>
          <w:rFonts w:ascii="Times New Roman" w:hAnsi="Times New Roman" w:cs="Times New Roman"/>
          <w:sz w:val="20"/>
          <w:szCs w:val="18"/>
          <w:lang w:val="pt-BR"/>
        </w:rPr>
        <w:fldChar w:fldCharType="begin" w:fldLock="1"/>
      </w:r>
      <w:r w:rsidR="00265BDE" w:rsidRPr="00F93B1C">
        <w:rPr>
          <w:rFonts w:ascii="Times New Roman" w:hAnsi="Times New Roman" w:cs="Times New Roman"/>
          <w:sz w:val="20"/>
          <w:szCs w:val="18"/>
          <w:lang w:val="pt-BR"/>
        </w:rPr>
        <w:instrText>ADDIN CSL_CITATION { "citationItems" : [ { "id" : "ITEM-1", "itemData" : { "ISBN" : "0033144078109", "author" : [ { "dropping-particle" : "", "family" : "Facchini", "given" : "Fran\u00e7ois", "non-dropping-particle" : "", "parse-names" : false, "suffix" : "" }, { "dropping-particle" : "", "family" : "Melki", "given" : "Micka\u00ebl", "non-dropping-particle" : "", "parse-names" : false, "suffix" : "" } ], "id" : "ITEM-1", "issued" : { "date-parts" : [ [ "2011" ] ] }, "number" : "2011.77", "number-of-pages" : "1-36", "title" : "Optimal Government Size and Economic Growth in France (1871-2008): An Explanation by the State and Market Failures", "type" : "report" }, "uris" : [ "http://www.mendeley.com/documents/?uuid=b6253c31-607b-4d72-8f1a-2dec0aedeabc" ] } ], "mendeley" : { "formattedCitation" : "(Facchini &amp; Melki, 2011)", "plainTextFormattedCitation" : "(Facchini &amp; Melki, 2011)", "previouslyFormattedCitation" : "(Facchini &amp; Melki, 2011)" }, "properties" : { "noteIndex" : 0 }, "schema" : "https://github.com/citation-style-language/schema/raw/master/csl-citation.json" }</w:instrText>
      </w:r>
      <w:r w:rsidRPr="00F93B1C">
        <w:rPr>
          <w:rFonts w:ascii="Times New Roman" w:hAnsi="Times New Roman" w:cs="Times New Roman"/>
          <w:sz w:val="20"/>
          <w:szCs w:val="18"/>
          <w:lang w:val="pt-BR"/>
        </w:rPr>
        <w:fldChar w:fldCharType="separate"/>
      </w:r>
      <w:r w:rsidR="00265BDE" w:rsidRPr="00F93B1C">
        <w:rPr>
          <w:rFonts w:ascii="Times New Roman" w:hAnsi="Times New Roman" w:cs="Times New Roman"/>
          <w:noProof/>
          <w:sz w:val="20"/>
          <w:szCs w:val="18"/>
          <w:lang w:val="pt-BR"/>
        </w:rPr>
        <w:t>(Facchini &amp; Melki, 2011)</w:t>
      </w:r>
      <w:r w:rsidRPr="00F93B1C">
        <w:rPr>
          <w:rFonts w:ascii="Times New Roman" w:hAnsi="Times New Roman" w:cs="Times New Roman"/>
          <w:sz w:val="20"/>
          <w:szCs w:val="18"/>
          <w:lang w:val="pt-BR"/>
        </w:rPr>
        <w:fldChar w:fldCharType="end"/>
      </w:r>
      <w:r w:rsidRPr="00F93B1C">
        <w:rPr>
          <w:rFonts w:ascii="Times New Roman" w:hAnsi="Times New Roman" w:cs="Times New Roman"/>
          <w:sz w:val="20"/>
          <w:szCs w:val="18"/>
          <w:lang w:val="pt-BR"/>
        </w:rPr>
        <w:t xml:space="preserve"> e refere-se ao </w:t>
      </w:r>
      <w:r w:rsidR="002946A7" w:rsidRPr="00F93B1C">
        <w:rPr>
          <w:rFonts w:ascii="Times New Roman" w:hAnsi="Times New Roman" w:cs="Times New Roman"/>
          <w:sz w:val="20"/>
          <w:szCs w:val="18"/>
          <w:lang w:val="pt-BR"/>
        </w:rPr>
        <w:t>r</w:t>
      </w:r>
      <w:r w:rsidRPr="00F93B1C">
        <w:rPr>
          <w:rFonts w:ascii="Times New Roman" w:hAnsi="Times New Roman" w:cs="Times New Roman"/>
          <w:sz w:val="20"/>
          <w:szCs w:val="18"/>
          <w:lang w:val="pt-BR"/>
        </w:rPr>
        <w:t>esumo dos resultados encontrados para estimações de modelos não-lineares (curvas BARS).</w:t>
      </w:r>
    </w:p>
    <w:p w14:paraId="0F41BA8C" w14:textId="77777777" w:rsidR="007F5090" w:rsidRPr="009E2740" w:rsidRDefault="007F5090" w:rsidP="009E2740">
      <w:pPr>
        <w:spacing w:after="0" w:line="240" w:lineRule="auto"/>
        <w:ind w:left="1560" w:right="713"/>
        <w:jc w:val="both"/>
        <w:rPr>
          <w:rFonts w:ascii="Times New Roman" w:hAnsi="Times New Roman" w:cs="Times New Roman"/>
          <w:lang w:val="pt-BR"/>
        </w:rPr>
      </w:pPr>
    </w:p>
    <w:p w14:paraId="43810751" w14:textId="6579E443" w:rsidR="006E5B51" w:rsidRPr="009E2740" w:rsidRDefault="00A6485F" w:rsidP="009E2740">
      <w:pPr>
        <w:spacing w:after="0" w:line="240" w:lineRule="auto"/>
        <w:jc w:val="both"/>
        <w:rPr>
          <w:rFonts w:ascii="Times New Roman" w:hAnsi="Times New Roman" w:cs="Times New Roman"/>
          <w:lang w:val="pt-BR"/>
        </w:rPr>
      </w:pPr>
      <w:r w:rsidRPr="009E2740">
        <w:rPr>
          <w:rFonts w:ascii="Times New Roman" w:hAnsi="Times New Roman" w:cs="Times New Roman"/>
          <w:lang w:val="pt-BR"/>
        </w:rPr>
        <w:tab/>
        <w:t xml:space="preserve">É difícil se fazer comparações mais rigorosas </w:t>
      </w:r>
      <w:r w:rsidR="006E5B51" w:rsidRPr="009E2740">
        <w:rPr>
          <w:rFonts w:ascii="Times New Roman" w:hAnsi="Times New Roman" w:cs="Times New Roman"/>
          <w:lang w:val="pt-BR"/>
        </w:rPr>
        <w:t xml:space="preserve">dadas as </w:t>
      </w:r>
      <w:r w:rsidRPr="009E2740">
        <w:rPr>
          <w:rFonts w:ascii="Times New Roman" w:hAnsi="Times New Roman" w:cs="Times New Roman"/>
          <w:lang w:val="pt-BR"/>
        </w:rPr>
        <w:t>grande</w:t>
      </w:r>
      <w:r w:rsidR="006E5B51" w:rsidRPr="009E2740">
        <w:rPr>
          <w:rFonts w:ascii="Times New Roman" w:hAnsi="Times New Roman" w:cs="Times New Roman"/>
          <w:lang w:val="pt-BR"/>
        </w:rPr>
        <w:t>s</w:t>
      </w:r>
      <w:r w:rsidRPr="009E2740">
        <w:rPr>
          <w:rFonts w:ascii="Times New Roman" w:hAnsi="Times New Roman" w:cs="Times New Roman"/>
          <w:lang w:val="pt-BR"/>
        </w:rPr>
        <w:t xml:space="preserve"> </w:t>
      </w:r>
      <w:r w:rsidR="006D35A0" w:rsidRPr="009E2740">
        <w:rPr>
          <w:rFonts w:ascii="Times New Roman" w:hAnsi="Times New Roman" w:cs="Times New Roman"/>
          <w:lang w:val="pt-BR"/>
        </w:rPr>
        <w:t xml:space="preserve">variações </w:t>
      </w:r>
      <w:r w:rsidRPr="009E2740">
        <w:rPr>
          <w:rFonts w:ascii="Times New Roman" w:hAnsi="Times New Roman" w:cs="Times New Roman"/>
          <w:lang w:val="pt-BR"/>
        </w:rPr>
        <w:t>entre tamanhos de amostras</w:t>
      </w:r>
      <w:r w:rsidR="006E5B51" w:rsidRPr="009E2740">
        <w:rPr>
          <w:rFonts w:ascii="Times New Roman" w:hAnsi="Times New Roman" w:cs="Times New Roman"/>
          <w:lang w:val="pt-BR"/>
        </w:rPr>
        <w:t xml:space="preserve"> utilizadas</w:t>
      </w:r>
      <w:r w:rsidRPr="009E2740">
        <w:rPr>
          <w:rFonts w:ascii="Times New Roman" w:hAnsi="Times New Roman" w:cs="Times New Roman"/>
          <w:lang w:val="pt-BR"/>
        </w:rPr>
        <w:t xml:space="preserve"> e</w:t>
      </w:r>
      <w:r w:rsidR="006E5B51" w:rsidRPr="009E2740">
        <w:rPr>
          <w:rFonts w:ascii="Times New Roman" w:hAnsi="Times New Roman" w:cs="Times New Roman"/>
          <w:lang w:val="pt-BR"/>
        </w:rPr>
        <w:t xml:space="preserve"> também quanto aos</w:t>
      </w:r>
      <w:r w:rsidRPr="009E2740">
        <w:rPr>
          <w:rFonts w:ascii="Times New Roman" w:hAnsi="Times New Roman" w:cs="Times New Roman"/>
          <w:lang w:val="pt-BR"/>
        </w:rPr>
        <w:t xml:space="preserve"> métodos econométricos empregados nos estudos acima. </w:t>
      </w:r>
      <w:r w:rsidR="00F00115" w:rsidRPr="009E2740">
        <w:rPr>
          <w:rFonts w:ascii="Times New Roman" w:hAnsi="Times New Roman" w:cs="Times New Roman"/>
          <w:lang w:val="pt-BR"/>
        </w:rPr>
        <w:t xml:space="preserve">Percebe-se que os valores se concentram, com algumas exceções, entre 20% e 40%. </w:t>
      </w:r>
    </w:p>
    <w:p w14:paraId="7B7B420D" w14:textId="24AE04D1" w:rsidR="00F00115" w:rsidRPr="009E2740" w:rsidRDefault="006E5B51" w:rsidP="009E2740">
      <w:pPr>
        <w:spacing w:after="0" w:line="240" w:lineRule="auto"/>
        <w:jc w:val="both"/>
        <w:rPr>
          <w:rFonts w:ascii="Times New Roman" w:hAnsi="Times New Roman" w:cs="Times New Roman"/>
          <w:lang w:val="pt-BR"/>
        </w:rPr>
      </w:pPr>
      <w:r w:rsidRPr="009E2740">
        <w:rPr>
          <w:rFonts w:ascii="Times New Roman" w:hAnsi="Times New Roman" w:cs="Times New Roman"/>
          <w:lang w:val="pt-BR"/>
        </w:rPr>
        <w:lastRenderedPageBreak/>
        <w:tab/>
      </w:r>
      <w:r w:rsidR="00F00115" w:rsidRPr="009E2740">
        <w:rPr>
          <w:rFonts w:ascii="Times New Roman" w:hAnsi="Times New Roman" w:cs="Times New Roman"/>
          <w:lang w:val="pt-BR"/>
        </w:rPr>
        <w:t xml:space="preserve">O resultado deste artigo </w:t>
      </w:r>
      <w:r w:rsidR="00A6485F" w:rsidRPr="009E2740">
        <w:rPr>
          <w:rFonts w:ascii="Times New Roman" w:hAnsi="Times New Roman" w:cs="Times New Roman"/>
          <w:lang w:val="pt-BR"/>
        </w:rPr>
        <w:t xml:space="preserve">coloca o Brasil </w:t>
      </w:r>
      <w:r w:rsidR="00F00115" w:rsidRPr="009E2740">
        <w:rPr>
          <w:rFonts w:ascii="Times New Roman" w:hAnsi="Times New Roman" w:cs="Times New Roman"/>
          <w:lang w:val="pt-BR"/>
        </w:rPr>
        <w:t xml:space="preserve">próximo </w:t>
      </w:r>
      <w:r w:rsidR="00A6485F" w:rsidRPr="009E2740">
        <w:rPr>
          <w:rFonts w:ascii="Times New Roman" w:hAnsi="Times New Roman" w:cs="Times New Roman"/>
          <w:lang w:val="pt-BR"/>
        </w:rPr>
        <w:t xml:space="preserve">a países como </w:t>
      </w:r>
      <w:r w:rsidR="00F00115" w:rsidRPr="009E2740">
        <w:rPr>
          <w:rFonts w:ascii="Times New Roman" w:hAnsi="Times New Roman" w:cs="Times New Roman"/>
          <w:lang w:val="pt-BR"/>
        </w:rPr>
        <w:t>o Canadá</w:t>
      </w:r>
      <w:r w:rsidR="00DA1229" w:rsidRPr="009E2740">
        <w:rPr>
          <w:rFonts w:ascii="Times New Roman" w:hAnsi="Times New Roman" w:cs="Times New Roman"/>
          <w:lang w:val="pt-BR"/>
        </w:rPr>
        <w:t xml:space="preserve"> (27%) </w:t>
      </w:r>
      <w:r w:rsidR="00A6485F" w:rsidRPr="009E2740">
        <w:rPr>
          <w:rFonts w:ascii="Times New Roman" w:hAnsi="Times New Roman" w:cs="Times New Roman"/>
          <w:lang w:val="pt-BR"/>
        </w:rPr>
        <w:t>ou a</w:t>
      </w:r>
      <w:r w:rsidR="00DA1229" w:rsidRPr="009E2740">
        <w:rPr>
          <w:rFonts w:ascii="Times New Roman" w:hAnsi="Times New Roman" w:cs="Times New Roman"/>
          <w:lang w:val="pt-BR"/>
        </w:rPr>
        <w:t xml:space="preserve"> Turquia (25%)</w:t>
      </w:r>
      <w:r w:rsidR="00A6485F" w:rsidRPr="009E2740">
        <w:rPr>
          <w:rFonts w:ascii="Times New Roman" w:hAnsi="Times New Roman" w:cs="Times New Roman"/>
          <w:lang w:val="pt-BR"/>
        </w:rPr>
        <w:t>, o que é curioso de certa forma, pois o Canadá possui um sistema de federalismo fiscal similar ao brasileiro no que diz respeito à existência de transferências intergovernamentais, ao mesmo tempo em que a Turquia não segue um arranjo federativo</w:t>
      </w:r>
      <w:r w:rsidR="00A6485F" w:rsidRPr="009E2740">
        <w:rPr>
          <w:rStyle w:val="FootnoteReference"/>
          <w:rFonts w:ascii="Times New Roman" w:hAnsi="Times New Roman" w:cs="Times New Roman"/>
          <w:lang w:val="pt-BR"/>
        </w:rPr>
        <w:footnoteReference w:id="19"/>
      </w:r>
      <w:r w:rsidR="00A6485F" w:rsidRPr="009E2740">
        <w:rPr>
          <w:rFonts w:ascii="Times New Roman" w:hAnsi="Times New Roman" w:cs="Times New Roman"/>
          <w:lang w:val="pt-BR"/>
        </w:rPr>
        <w:t xml:space="preserve">. </w:t>
      </w:r>
    </w:p>
    <w:p w14:paraId="74E587D4" w14:textId="77777777" w:rsidR="0069731B" w:rsidRPr="009E2740" w:rsidRDefault="0069731B" w:rsidP="009E2740">
      <w:pPr>
        <w:spacing w:line="240" w:lineRule="auto"/>
        <w:rPr>
          <w:rFonts w:ascii="Times New Roman" w:hAnsi="Times New Roman" w:cs="Times New Roman"/>
          <w:b/>
          <w:lang w:val="pt-BR"/>
        </w:rPr>
      </w:pPr>
    </w:p>
    <w:p w14:paraId="2498C774" w14:textId="09A2D25D" w:rsidR="00617A4C" w:rsidRPr="009E2740" w:rsidRDefault="00E31011" w:rsidP="009E2740">
      <w:pPr>
        <w:pStyle w:val="ListParagraph"/>
        <w:numPr>
          <w:ilvl w:val="0"/>
          <w:numId w:val="1"/>
        </w:numPr>
        <w:spacing w:after="0" w:line="240" w:lineRule="auto"/>
        <w:rPr>
          <w:rFonts w:ascii="Times New Roman" w:hAnsi="Times New Roman" w:cs="Times New Roman"/>
          <w:b/>
          <w:lang w:val="pt-BR"/>
        </w:rPr>
      </w:pPr>
      <w:r w:rsidRPr="009E2740">
        <w:rPr>
          <w:rFonts w:ascii="Times New Roman" w:hAnsi="Times New Roman" w:cs="Times New Roman"/>
          <w:b/>
          <w:lang w:val="pt-BR"/>
        </w:rPr>
        <w:t>Conclusão</w:t>
      </w:r>
    </w:p>
    <w:p w14:paraId="4A775C21" w14:textId="4E42AEB9" w:rsidR="00B5051D" w:rsidRPr="009E2740" w:rsidRDefault="00B5051D"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A maior parte dos teóricos políticos e econômicos entende a necessidade de alguma forma de governo para garantir a propriedade privada, o</w:t>
      </w:r>
      <w:r w:rsidR="008D12D0" w:rsidRPr="009E2740">
        <w:rPr>
          <w:rFonts w:ascii="Times New Roman" w:hAnsi="Times New Roman" w:cs="Times New Roman"/>
          <w:lang w:val="pt-BR"/>
        </w:rPr>
        <w:t xml:space="preserve"> cumprimento do</w:t>
      </w:r>
      <w:r w:rsidRPr="009E2740">
        <w:rPr>
          <w:rFonts w:ascii="Times New Roman" w:hAnsi="Times New Roman" w:cs="Times New Roman"/>
          <w:lang w:val="pt-BR"/>
        </w:rPr>
        <w:t xml:space="preserve">s contratos, a oferta de bens públicos e para a realização de políticas públicas. </w:t>
      </w:r>
      <w:r w:rsidR="008D12D0" w:rsidRPr="009E2740">
        <w:rPr>
          <w:rFonts w:ascii="Times New Roman" w:hAnsi="Times New Roman" w:cs="Times New Roman"/>
          <w:lang w:val="pt-BR"/>
        </w:rPr>
        <w:t>Ou seja, a</w:t>
      </w:r>
      <w:r w:rsidRPr="009E2740">
        <w:rPr>
          <w:rFonts w:ascii="Times New Roman" w:hAnsi="Times New Roman" w:cs="Times New Roman"/>
          <w:lang w:val="pt-BR"/>
        </w:rPr>
        <w:t xml:space="preserve"> ação d</w:t>
      </w:r>
      <w:r w:rsidR="008D12D0" w:rsidRPr="009E2740">
        <w:rPr>
          <w:rFonts w:ascii="Times New Roman" w:hAnsi="Times New Roman" w:cs="Times New Roman"/>
          <w:lang w:val="pt-BR"/>
        </w:rPr>
        <w:t>o</w:t>
      </w:r>
      <w:r w:rsidRPr="009E2740">
        <w:rPr>
          <w:rFonts w:ascii="Times New Roman" w:hAnsi="Times New Roman" w:cs="Times New Roman"/>
          <w:lang w:val="pt-BR"/>
        </w:rPr>
        <w:t xml:space="preserve"> governo gera externalidades positivas para a sociedade. </w:t>
      </w:r>
      <w:r w:rsidR="008D12D0" w:rsidRPr="009E2740">
        <w:rPr>
          <w:rFonts w:ascii="Times New Roman" w:hAnsi="Times New Roman" w:cs="Times New Roman"/>
          <w:lang w:val="pt-BR"/>
        </w:rPr>
        <w:t xml:space="preserve">Entretanto, </w:t>
      </w:r>
      <w:r w:rsidRPr="009E2740">
        <w:rPr>
          <w:rFonts w:ascii="Times New Roman" w:hAnsi="Times New Roman" w:cs="Times New Roman"/>
          <w:lang w:val="pt-BR"/>
        </w:rPr>
        <w:t>também</w:t>
      </w:r>
      <w:r w:rsidR="008D12D0" w:rsidRPr="009E2740">
        <w:rPr>
          <w:rFonts w:ascii="Times New Roman" w:hAnsi="Times New Roman" w:cs="Times New Roman"/>
          <w:lang w:val="pt-BR"/>
        </w:rPr>
        <w:t xml:space="preserve"> é reconhecido que </w:t>
      </w:r>
      <w:r w:rsidRPr="009E2740">
        <w:rPr>
          <w:rFonts w:ascii="Times New Roman" w:hAnsi="Times New Roman" w:cs="Times New Roman"/>
          <w:lang w:val="pt-BR"/>
        </w:rPr>
        <w:t>existe uma tendência dos governos a serem ineficientes, corruptos e, na margem, gerarem um impacto negativo sobre a atividade econômica produtiva.</w:t>
      </w:r>
    </w:p>
    <w:p w14:paraId="6F35D0B0" w14:textId="289A5611" w:rsidR="00DB31EB" w:rsidRPr="009E2740" w:rsidRDefault="00DB31EB"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Estas proposições são compatíveis com a idéia teórica da curva “BARS” que, de certa forma, incorpora a noção de que governos podem </w:t>
      </w:r>
      <w:r w:rsidRPr="009E2740">
        <w:rPr>
          <w:rFonts w:ascii="Times New Roman" w:hAnsi="Times New Roman" w:cs="Times New Roman"/>
          <w:i/>
          <w:lang w:val="pt-BR"/>
        </w:rPr>
        <w:t>crowd-in</w:t>
      </w:r>
      <w:r w:rsidRPr="009E2740">
        <w:rPr>
          <w:rFonts w:ascii="Times New Roman" w:hAnsi="Times New Roman" w:cs="Times New Roman"/>
          <w:lang w:val="pt-BR"/>
        </w:rPr>
        <w:t xml:space="preserve"> ou </w:t>
      </w:r>
      <w:r w:rsidRPr="009E2740">
        <w:rPr>
          <w:rFonts w:ascii="Times New Roman" w:hAnsi="Times New Roman" w:cs="Times New Roman"/>
          <w:i/>
          <w:lang w:val="pt-BR"/>
        </w:rPr>
        <w:t>crowd-out</w:t>
      </w:r>
      <w:r w:rsidRPr="009E2740">
        <w:rPr>
          <w:rFonts w:ascii="Times New Roman" w:hAnsi="Times New Roman" w:cs="Times New Roman"/>
          <w:lang w:val="pt-BR"/>
        </w:rPr>
        <w:t xml:space="preserve"> o bem-estar, conforme seu tamanho. </w:t>
      </w:r>
      <w:r w:rsidR="00A82EB8" w:rsidRPr="009E2740">
        <w:rPr>
          <w:rFonts w:ascii="Times New Roman" w:hAnsi="Times New Roman" w:cs="Times New Roman"/>
          <w:lang w:val="pt-BR"/>
        </w:rPr>
        <w:t xml:space="preserve">Em outras palavras, estas hipóteses dão suporte à idéia de que existiria um tamanho ótimo para o governo e não é preciso muito para perceber que a estimação deste tamanho é importante para qualquer discussão acerca da economia de um país. </w:t>
      </w:r>
    </w:p>
    <w:p w14:paraId="1428754D" w14:textId="18DB090E" w:rsidR="0052621F" w:rsidRPr="009E2740" w:rsidRDefault="00A82EB8"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Neste sentido</w:t>
      </w:r>
      <w:r w:rsidR="00EE0646" w:rsidRPr="009E2740">
        <w:rPr>
          <w:rFonts w:ascii="Times New Roman" w:hAnsi="Times New Roman" w:cs="Times New Roman"/>
          <w:lang w:val="pt-BR"/>
        </w:rPr>
        <w:t>, este artigo revisitou este tem</w:t>
      </w:r>
      <w:r w:rsidRPr="009E2740">
        <w:rPr>
          <w:rFonts w:ascii="Times New Roman" w:hAnsi="Times New Roman" w:cs="Times New Roman"/>
          <w:lang w:val="pt-BR"/>
        </w:rPr>
        <w:t xml:space="preserve">a, já explorado anteriormente em Shikida (2005), </w:t>
      </w:r>
      <w:r w:rsidR="0052621F" w:rsidRPr="009E2740">
        <w:rPr>
          <w:rFonts w:ascii="Times New Roman" w:hAnsi="Times New Roman" w:cs="Times New Roman"/>
          <w:lang w:val="pt-BR"/>
        </w:rPr>
        <w:t>ampliando em dez anos a a</w:t>
      </w:r>
      <w:r w:rsidRPr="009E2740">
        <w:rPr>
          <w:rFonts w:ascii="Times New Roman" w:hAnsi="Times New Roman" w:cs="Times New Roman"/>
          <w:lang w:val="pt-BR"/>
        </w:rPr>
        <w:t xml:space="preserve">mostra </w:t>
      </w:r>
      <w:r w:rsidR="0052621F" w:rsidRPr="009E2740">
        <w:rPr>
          <w:rFonts w:ascii="Times New Roman" w:hAnsi="Times New Roman" w:cs="Times New Roman"/>
          <w:lang w:val="pt-BR"/>
        </w:rPr>
        <w:t>original</w:t>
      </w:r>
      <w:r w:rsidR="009B569A" w:rsidRPr="009E2740">
        <w:rPr>
          <w:rFonts w:ascii="Times New Roman" w:hAnsi="Times New Roman" w:cs="Times New Roman"/>
          <w:lang w:val="pt-BR"/>
        </w:rPr>
        <w:t>.</w:t>
      </w:r>
      <w:r w:rsidR="0052621F" w:rsidRPr="009E2740">
        <w:rPr>
          <w:rFonts w:ascii="Times New Roman" w:hAnsi="Times New Roman" w:cs="Times New Roman"/>
          <w:lang w:val="pt-BR"/>
        </w:rPr>
        <w:t xml:space="preserve"> Em contraste com a </w:t>
      </w:r>
      <w:r w:rsidRPr="009E2740">
        <w:rPr>
          <w:rFonts w:ascii="Times New Roman" w:hAnsi="Times New Roman" w:cs="Times New Roman"/>
          <w:lang w:val="pt-BR"/>
        </w:rPr>
        <w:t>estimativa anterior – 32.36% (</w:t>
      </w:r>
      <w:r w:rsidR="00AA1CDA" w:rsidRPr="009E2740">
        <w:rPr>
          <w:rFonts w:ascii="Times New Roman" w:hAnsi="Times New Roman" w:cs="Times New Roman"/>
          <w:lang w:val="pt-BR"/>
        </w:rPr>
        <w:t xml:space="preserve">ou </w:t>
      </w:r>
      <w:r w:rsidRPr="009E2740">
        <w:rPr>
          <w:rFonts w:ascii="Times New Roman" w:hAnsi="Times New Roman" w:cs="Times New Roman"/>
          <w:lang w:val="pt-BR"/>
        </w:rPr>
        <w:t>“</w:t>
      </w:r>
      <w:r w:rsidR="0052621F" w:rsidRPr="009E2740">
        <w:rPr>
          <w:rFonts w:ascii="Times New Roman" w:hAnsi="Times New Roman" w:cs="Times New Roman"/>
          <w:lang w:val="pt-BR"/>
        </w:rPr>
        <w:t>118 dias de servidão”</w:t>
      </w:r>
      <w:r w:rsidR="00AA1CDA" w:rsidRPr="009E2740">
        <w:rPr>
          <w:rFonts w:ascii="Times New Roman" w:hAnsi="Times New Roman" w:cs="Times New Roman"/>
          <w:lang w:val="pt-BR"/>
        </w:rPr>
        <w:t xml:space="preserve">, na nomenclatura do </w:t>
      </w:r>
      <w:r w:rsidR="001C665A" w:rsidRPr="009E2740">
        <w:rPr>
          <w:rFonts w:ascii="Times New Roman" w:hAnsi="Times New Roman" w:cs="Times New Roman"/>
          <w:i/>
          <w:lang w:val="pt-BR"/>
        </w:rPr>
        <w:t>D</w:t>
      </w:r>
      <w:r w:rsidR="00AA1CDA" w:rsidRPr="009E2740">
        <w:rPr>
          <w:rFonts w:ascii="Times New Roman" w:hAnsi="Times New Roman" w:cs="Times New Roman"/>
          <w:i/>
          <w:lang w:val="pt-BR"/>
        </w:rPr>
        <w:t>ia da Liberdade d</w:t>
      </w:r>
      <w:r w:rsidR="001C665A" w:rsidRPr="009E2740">
        <w:rPr>
          <w:rFonts w:ascii="Times New Roman" w:hAnsi="Times New Roman" w:cs="Times New Roman"/>
          <w:i/>
          <w:lang w:val="pt-BR"/>
        </w:rPr>
        <w:t>e</w:t>
      </w:r>
      <w:r w:rsidR="00AA1CDA" w:rsidRPr="009E2740">
        <w:rPr>
          <w:rFonts w:ascii="Times New Roman" w:hAnsi="Times New Roman" w:cs="Times New Roman"/>
          <w:i/>
          <w:lang w:val="pt-BR"/>
        </w:rPr>
        <w:t xml:space="preserve"> Imposto</w:t>
      </w:r>
      <w:r w:rsidR="001C665A" w:rsidRPr="009E2740">
        <w:rPr>
          <w:rFonts w:ascii="Times New Roman" w:hAnsi="Times New Roman" w:cs="Times New Roman"/>
          <w:i/>
          <w:lang w:val="pt-BR"/>
        </w:rPr>
        <w:t>s</w:t>
      </w:r>
      <w:r w:rsidRPr="009E2740">
        <w:rPr>
          <w:rFonts w:ascii="Times New Roman" w:hAnsi="Times New Roman" w:cs="Times New Roman"/>
          <w:lang w:val="pt-BR"/>
        </w:rPr>
        <w:t>)</w:t>
      </w:r>
      <w:r w:rsidR="0052621F" w:rsidRPr="009E2740">
        <w:rPr>
          <w:rFonts w:ascii="Times New Roman" w:hAnsi="Times New Roman" w:cs="Times New Roman"/>
          <w:lang w:val="pt-BR"/>
        </w:rPr>
        <w:t xml:space="preserve"> – a nova estimativa é de que este valor seria de 28.38%</w:t>
      </w:r>
      <w:r w:rsidRPr="009E2740">
        <w:rPr>
          <w:rFonts w:ascii="Times New Roman" w:hAnsi="Times New Roman" w:cs="Times New Roman"/>
          <w:lang w:val="pt-BR"/>
        </w:rPr>
        <w:t xml:space="preserve"> (“</w:t>
      </w:r>
      <w:r w:rsidR="00AA1CDA" w:rsidRPr="009E2740">
        <w:rPr>
          <w:rFonts w:ascii="Times New Roman" w:hAnsi="Times New Roman" w:cs="Times New Roman"/>
          <w:lang w:val="pt-BR"/>
        </w:rPr>
        <w:t>104 dias de servidão</w:t>
      </w:r>
      <w:r w:rsidRPr="009E2740">
        <w:rPr>
          <w:rFonts w:ascii="Times New Roman" w:hAnsi="Times New Roman" w:cs="Times New Roman"/>
          <w:lang w:val="pt-BR"/>
        </w:rPr>
        <w:t>”)</w:t>
      </w:r>
      <w:r w:rsidR="009E29C7" w:rsidRPr="009E2740">
        <w:rPr>
          <w:rFonts w:ascii="Times New Roman" w:hAnsi="Times New Roman" w:cs="Times New Roman"/>
          <w:lang w:val="pt-BR"/>
        </w:rPr>
        <w:t xml:space="preserve">. Em outras palavras, dada a carga tributária </w:t>
      </w:r>
      <w:r w:rsidR="009B569A" w:rsidRPr="009E2740">
        <w:rPr>
          <w:rFonts w:ascii="Times New Roman" w:hAnsi="Times New Roman" w:cs="Times New Roman"/>
          <w:lang w:val="pt-BR"/>
        </w:rPr>
        <w:t>de</w:t>
      </w:r>
      <w:r w:rsidR="009E29C7" w:rsidRPr="009E2740">
        <w:rPr>
          <w:rFonts w:ascii="Times New Roman" w:hAnsi="Times New Roman" w:cs="Times New Roman"/>
          <w:lang w:val="pt-BR"/>
        </w:rPr>
        <w:t xml:space="preserve"> 33.74% em 2013 – as evid</w:t>
      </w:r>
      <w:r w:rsidR="00EE0590" w:rsidRPr="009E2740">
        <w:rPr>
          <w:rFonts w:ascii="Times New Roman" w:hAnsi="Times New Roman" w:cs="Times New Roman"/>
          <w:lang w:val="pt-BR"/>
        </w:rPr>
        <w:t xml:space="preserve">ências seguem apontando para um tamanho do Estado acima do seu ótimo. </w:t>
      </w:r>
      <w:r w:rsidR="009B569A" w:rsidRPr="009E2740">
        <w:rPr>
          <w:rFonts w:ascii="Times New Roman" w:hAnsi="Times New Roman" w:cs="Times New Roman"/>
          <w:lang w:val="pt-BR"/>
        </w:rPr>
        <w:t>Esse resultado é reforçado por todas as evidências empíricas conhecidas para o Brasil, independente do período de tempo ou da metodologia adotada.</w:t>
      </w:r>
    </w:p>
    <w:p w14:paraId="6F28BB60" w14:textId="1A22D5BF" w:rsidR="0052621F" w:rsidRPr="009E2740" w:rsidRDefault="0052621F"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 xml:space="preserve">Encontra-se também que a </w:t>
      </w:r>
      <w:r w:rsidRPr="009E2740">
        <w:rPr>
          <w:rFonts w:ascii="Times New Roman" w:hAnsi="Times New Roman" w:cs="Times New Roman"/>
          <w:i/>
          <w:lang w:val="pt-BR"/>
        </w:rPr>
        <w:t>dummy</w:t>
      </w:r>
      <w:r w:rsidRPr="009E2740">
        <w:rPr>
          <w:rFonts w:ascii="Times New Roman" w:hAnsi="Times New Roman" w:cs="Times New Roman"/>
          <w:lang w:val="pt-BR"/>
        </w:rPr>
        <w:t xml:space="preserve"> da Lei de Responsabilidade Fiscal possui impacto </w:t>
      </w:r>
      <w:r w:rsidR="009E29C7" w:rsidRPr="009E2740">
        <w:rPr>
          <w:rFonts w:ascii="Times New Roman" w:hAnsi="Times New Roman" w:cs="Times New Roman"/>
          <w:lang w:val="pt-BR"/>
        </w:rPr>
        <w:t>estatisticamente significativo sobre o bem-estar. Neste caso, a sua adoção gera um aumento médio de 21.05% no PIB e sua remoção (ou sua não-observância) teria uma um impacto percentual médio de -17.39%</w:t>
      </w:r>
      <w:r w:rsidRPr="009E2740">
        <w:rPr>
          <w:rFonts w:ascii="Times New Roman" w:hAnsi="Times New Roman" w:cs="Times New Roman"/>
          <w:lang w:val="pt-BR"/>
        </w:rPr>
        <w:t xml:space="preserve">. </w:t>
      </w:r>
      <w:r w:rsidR="00DC26FF" w:rsidRPr="009E2740">
        <w:rPr>
          <w:rFonts w:ascii="Times New Roman" w:hAnsi="Times New Roman" w:cs="Times New Roman"/>
          <w:lang w:val="pt-BR"/>
        </w:rPr>
        <w:t>Este resultado é compatível com a noção de que a transparência e a gestão eficiente no setor público são fatores positivos à prosperidade econômica.</w:t>
      </w:r>
    </w:p>
    <w:p w14:paraId="708E30E8" w14:textId="5398B793" w:rsidR="009B569A" w:rsidRPr="009E2740" w:rsidRDefault="009B569A" w:rsidP="009E2740">
      <w:pPr>
        <w:spacing w:after="0" w:line="240" w:lineRule="auto"/>
        <w:ind w:firstLine="709"/>
        <w:jc w:val="both"/>
        <w:rPr>
          <w:rFonts w:ascii="Times New Roman" w:hAnsi="Times New Roman" w:cs="Times New Roman"/>
          <w:lang w:val="pt-BR"/>
        </w:rPr>
      </w:pPr>
      <w:r w:rsidRPr="009E2740">
        <w:rPr>
          <w:rFonts w:ascii="Times New Roman" w:hAnsi="Times New Roman" w:cs="Times New Roman"/>
          <w:lang w:val="pt-BR"/>
        </w:rPr>
        <w:t>Como uma proposta de política econ</w:t>
      </w:r>
      <w:r w:rsidR="003A590C" w:rsidRPr="009E2740">
        <w:rPr>
          <w:rFonts w:ascii="Times New Roman" w:hAnsi="Times New Roman" w:cs="Times New Roman"/>
          <w:lang w:val="pt-BR"/>
        </w:rPr>
        <w:t xml:space="preserve">ômica os resultados indicam para a necessidade do governo reduzir os seus gastos. Pode ser arguido que todo gasto público é por definição um gasto essencial e imprescindível para a sociedade. No entanto, os resultados indicam que a manutenção da trajetória de crescimento da carga tributária implicaria em um efeito negativo maior sobre o crescimento econômico. Caso o governo conclua ser </w:t>
      </w:r>
      <w:r w:rsidR="005111CA" w:rsidRPr="009E2740">
        <w:rPr>
          <w:rFonts w:ascii="Times New Roman" w:hAnsi="Times New Roman" w:cs="Times New Roman"/>
          <w:lang w:val="pt-BR"/>
        </w:rPr>
        <w:t xml:space="preserve">difícil ou </w:t>
      </w:r>
      <w:r w:rsidR="003A590C" w:rsidRPr="009E2740">
        <w:rPr>
          <w:rFonts w:ascii="Times New Roman" w:hAnsi="Times New Roman" w:cs="Times New Roman"/>
          <w:lang w:val="pt-BR"/>
        </w:rPr>
        <w:t xml:space="preserve">politicamente </w:t>
      </w:r>
      <w:r w:rsidR="005111CA" w:rsidRPr="009E2740">
        <w:rPr>
          <w:rFonts w:ascii="Times New Roman" w:hAnsi="Times New Roman" w:cs="Times New Roman"/>
          <w:lang w:val="pt-BR"/>
        </w:rPr>
        <w:t>inviável</w:t>
      </w:r>
      <w:r w:rsidR="003A590C" w:rsidRPr="009E2740">
        <w:rPr>
          <w:rFonts w:ascii="Times New Roman" w:hAnsi="Times New Roman" w:cs="Times New Roman"/>
          <w:lang w:val="pt-BR"/>
        </w:rPr>
        <w:t xml:space="preserve"> a redução no</w:t>
      </w:r>
      <w:r w:rsidR="005111CA" w:rsidRPr="009E2740">
        <w:rPr>
          <w:rFonts w:ascii="Times New Roman" w:hAnsi="Times New Roman" w:cs="Times New Roman"/>
          <w:lang w:val="pt-BR"/>
        </w:rPr>
        <w:t xml:space="preserve"> gasto</w:t>
      </w:r>
      <w:r w:rsidR="003A590C" w:rsidRPr="009E2740">
        <w:rPr>
          <w:rFonts w:ascii="Times New Roman" w:hAnsi="Times New Roman" w:cs="Times New Roman"/>
          <w:lang w:val="pt-BR"/>
        </w:rPr>
        <w:t>, pelo menos deve</w:t>
      </w:r>
      <w:r w:rsidR="005111CA" w:rsidRPr="009E2740">
        <w:rPr>
          <w:rFonts w:ascii="Times New Roman" w:hAnsi="Times New Roman" w:cs="Times New Roman"/>
          <w:lang w:val="pt-BR"/>
        </w:rPr>
        <w:t xml:space="preserve"> </w:t>
      </w:r>
      <w:r w:rsidR="003A590C" w:rsidRPr="009E2740">
        <w:rPr>
          <w:rFonts w:ascii="Times New Roman" w:hAnsi="Times New Roman" w:cs="Times New Roman"/>
          <w:lang w:val="pt-BR"/>
        </w:rPr>
        <w:t xml:space="preserve">se preocupar </w:t>
      </w:r>
      <w:r w:rsidR="005111CA" w:rsidRPr="009E2740">
        <w:rPr>
          <w:rFonts w:ascii="Times New Roman" w:hAnsi="Times New Roman" w:cs="Times New Roman"/>
          <w:lang w:val="pt-BR"/>
        </w:rPr>
        <w:t>em</w:t>
      </w:r>
      <w:r w:rsidR="003A590C" w:rsidRPr="009E2740">
        <w:rPr>
          <w:rFonts w:ascii="Times New Roman" w:hAnsi="Times New Roman" w:cs="Times New Roman"/>
          <w:lang w:val="pt-BR"/>
        </w:rPr>
        <w:t xml:space="preserve"> torná-lo mais eficiente.</w:t>
      </w:r>
    </w:p>
    <w:p w14:paraId="35D6F3AC" w14:textId="77777777" w:rsidR="007F6985" w:rsidRPr="009E2740" w:rsidRDefault="007F6985" w:rsidP="009E2740">
      <w:pPr>
        <w:spacing w:after="0" w:line="240" w:lineRule="auto"/>
        <w:ind w:firstLine="709"/>
        <w:jc w:val="both"/>
        <w:rPr>
          <w:rFonts w:ascii="Times New Roman" w:hAnsi="Times New Roman" w:cs="Times New Roman"/>
          <w:lang w:val="pt-BR"/>
        </w:rPr>
      </w:pPr>
    </w:p>
    <w:p w14:paraId="08A938C1" w14:textId="77777777" w:rsidR="00D26BE9" w:rsidRPr="009E2740" w:rsidRDefault="00D26BE9" w:rsidP="009E2740">
      <w:pPr>
        <w:spacing w:after="0" w:line="240" w:lineRule="auto"/>
        <w:contextualSpacing/>
        <w:jc w:val="both"/>
        <w:rPr>
          <w:rFonts w:ascii="Times New Roman" w:eastAsia="Times New Roman" w:hAnsi="Times New Roman" w:cs="Times New Roman"/>
          <w:b/>
          <w:lang w:val="pt-BR"/>
        </w:rPr>
      </w:pPr>
    </w:p>
    <w:p w14:paraId="3C47A70B" w14:textId="77777777" w:rsidR="00F93B1C" w:rsidRDefault="00F93B1C">
      <w:pPr>
        <w:rPr>
          <w:rFonts w:ascii="Times New Roman" w:eastAsia="Times New Roman" w:hAnsi="Times New Roman" w:cs="Times New Roman"/>
          <w:b/>
          <w:lang w:val="pt-BR"/>
        </w:rPr>
      </w:pPr>
      <w:r>
        <w:rPr>
          <w:rFonts w:ascii="Times New Roman" w:eastAsia="Times New Roman" w:hAnsi="Times New Roman" w:cs="Times New Roman"/>
          <w:b/>
          <w:lang w:val="pt-BR"/>
        </w:rPr>
        <w:br w:type="page"/>
      </w:r>
    </w:p>
    <w:p w14:paraId="5EF306B9" w14:textId="7C8CAFF8" w:rsidR="00D26BE9" w:rsidRPr="009E2740" w:rsidRDefault="00D26BE9" w:rsidP="009E2740">
      <w:pPr>
        <w:spacing w:after="0" w:line="240" w:lineRule="auto"/>
        <w:contextualSpacing/>
        <w:jc w:val="both"/>
        <w:rPr>
          <w:rFonts w:ascii="Times New Roman" w:eastAsia="Times New Roman" w:hAnsi="Times New Roman" w:cs="Times New Roman"/>
          <w:b/>
          <w:lang w:val="pt-BR"/>
        </w:rPr>
      </w:pPr>
      <w:r w:rsidRPr="009E2740">
        <w:rPr>
          <w:rFonts w:ascii="Times New Roman" w:eastAsia="Times New Roman" w:hAnsi="Times New Roman" w:cs="Times New Roman"/>
          <w:b/>
          <w:lang w:val="pt-BR"/>
        </w:rPr>
        <w:lastRenderedPageBreak/>
        <w:t>Bibliografia</w:t>
      </w:r>
    </w:p>
    <w:p w14:paraId="2C55D368" w14:textId="77777777" w:rsidR="00D26BE9" w:rsidRPr="009E2740" w:rsidRDefault="00D26BE9" w:rsidP="009E2740">
      <w:pPr>
        <w:spacing w:after="0" w:line="240" w:lineRule="auto"/>
        <w:contextualSpacing/>
        <w:jc w:val="both"/>
        <w:rPr>
          <w:rFonts w:ascii="Times New Roman" w:eastAsia="Times New Roman" w:hAnsi="Times New Roman" w:cs="Times New Roman"/>
          <w:b/>
          <w:lang w:val="pt-BR"/>
        </w:rPr>
      </w:pPr>
    </w:p>
    <w:p w14:paraId="537B6B8D" w14:textId="782485DC" w:rsidR="00265BDE" w:rsidRPr="00574B06" w:rsidRDefault="00D26BE9"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lang w:val="pt-BR"/>
        </w:rPr>
        <w:fldChar w:fldCharType="begin" w:fldLock="1"/>
      </w:r>
      <w:r w:rsidRPr="00574B06">
        <w:rPr>
          <w:rFonts w:ascii="Times New Roman" w:hAnsi="Times New Roman" w:cs="Times New Roman"/>
          <w:lang w:val="pt-BR"/>
        </w:rPr>
        <w:instrText xml:space="preserve">ADDIN Mendeley Bibliography CSL_BIBLIOGRAPHY </w:instrText>
      </w:r>
      <w:r w:rsidRPr="00574B06">
        <w:rPr>
          <w:rFonts w:ascii="Times New Roman" w:hAnsi="Times New Roman" w:cs="Times New Roman"/>
          <w:lang w:val="pt-BR"/>
        </w:rPr>
        <w:fldChar w:fldCharType="separate"/>
      </w:r>
      <w:r w:rsidR="00265BDE" w:rsidRPr="00574B06">
        <w:rPr>
          <w:rFonts w:ascii="Times New Roman" w:hAnsi="Times New Roman" w:cs="Times New Roman"/>
          <w:noProof/>
          <w:lang w:val="pt-BR"/>
        </w:rPr>
        <w:t xml:space="preserve">Afonso, A., Schuknecht, L., &amp; Tanzi, V. (2003). </w:t>
      </w:r>
      <w:r w:rsidR="00265BDE" w:rsidRPr="00574B06">
        <w:rPr>
          <w:rFonts w:ascii="Times New Roman" w:hAnsi="Times New Roman" w:cs="Times New Roman"/>
          <w:i/>
          <w:iCs/>
          <w:noProof/>
        </w:rPr>
        <w:t>Public Sector Efficiency: An International Comparison</w:t>
      </w:r>
      <w:r w:rsidR="00265BDE" w:rsidRPr="00574B06">
        <w:rPr>
          <w:rFonts w:ascii="Times New Roman" w:hAnsi="Times New Roman" w:cs="Times New Roman"/>
          <w:noProof/>
        </w:rPr>
        <w:t xml:space="preserve"> (No. 242).</w:t>
      </w:r>
    </w:p>
    <w:p w14:paraId="40D9E12E"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Ahmad, R., &amp; Othman, N. (2014). Optimal Size of Government and Economic Growth in Malaysia: Empirical Evidence. </w:t>
      </w:r>
      <w:r w:rsidRPr="00574B06">
        <w:rPr>
          <w:rFonts w:ascii="Times New Roman" w:hAnsi="Times New Roman" w:cs="Times New Roman"/>
          <w:i/>
          <w:iCs/>
          <w:noProof/>
        </w:rPr>
        <w:t>Prosiding Persidangan Kebangsaan Ekonomi Malaysia</w:t>
      </w:r>
      <w:r w:rsidRPr="00574B06">
        <w:rPr>
          <w:rFonts w:ascii="Times New Roman" w:hAnsi="Times New Roman" w:cs="Times New Roman"/>
          <w:noProof/>
        </w:rPr>
        <w:t xml:space="preserve">, </w:t>
      </w:r>
      <w:r w:rsidRPr="00574B06">
        <w:rPr>
          <w:rFonts w:ascii="Times New Roman" w:hAnsi="Times New Roman" w:cs="Times New Roman"/>
          <w:i/>
          <w:iCs/>
          <w:noProof/>
        </w:rPr>
        <w:t>9</w:t>
      </w:r>
      <w:r w:rsidRPr="00574B06">
        <w:rPr>
          <w:rFonts w:ascii="Times New Roman" w:hAnsi="Times New Roman" w:cs="Times New Roman"/>
          <w:noProof/>
        </w:rPr>
        <w:t>, 41–48.</w:t>
      </w:r>
    </w:p>
    <w:p w14:paraId="01A07D34"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Alston, L. J., Melo, M. A., Mueller, B., &amp; Pereira, C. (2016). </w:t>
      </w:r>
      <w:r w:rsidRPr="00574B06">
        <w:rPr>
          <w:rFonts w:ascii="Times New Roman" w:hAnsi="Times New Roman" w:cs="Times New Roman"/>
          <w:i/>
          <w:iCs/>
          <w:noProof/>
        </w:rPr>
        <w:t>Brazil in transition: beliefs, leadership, and institutional change</w:t>
      </w:r>
      <w:r w:rsidRPr="00574B06">
        <w:rPr>
          <w:rFonts w:ascii="Times New Roman" w:hAnsi="Times New Roman" w:cs="Times New Roman"/>
          <w:noProof/>
        </w:rPr>
        <w:t>. Princeton: Princeton University Press.</w:t>
      </w:r>
    </w:p>
    <w:p w14:paraId="04EFDF0E"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Altunc, O. F., &amp; Aydın, C. (2013). The Relationship between Optimal Size of Government and Economic Growth: Empirical Evidence from Turkey, Romania and Bulgaria. </w:t>
      </w:r>
      <w:r w:rsidRPr="00574B06">
        <w:rPr>
          <w:rFonts w:ascii="Times New Roman" w:hAnsi="Times New Roman" w:cs="Times New Roman"/>
          <w:i/>
          <w:iCs/>
          <w:noProof/>
        </w:rPr>
        <w:t>Procedia - Social and Behavioral Sciences</w:t>
      </w:r>
      <w:r w:rsidRPr="00574B06">
        <w:rPr>
          <w:rFonts w:ascii="Times New Roman" w:hAnsi="Times New Roman" w:cs="Times New Roman"/>
          <w:noProof/>
        </w:rPr>
        <w:t xml:space="preserve">, </w:t>
      </w:r>
      <w:r w:rsidRPr="00574B06">
        <w:rPr>
          <w:rFonts w:ascii="Times New Roman" w:hAnsi="Times New Roman" w:cs="Times New Roman"/>
          <w:i/>
          <w:iCs/>
          <w:noProof/>
        </w:rPr>
        <w:t>92</w:t>
      </w:r>
      <w:r w:rsidRPr="00574B06">
        <w:rPr>
          <w:rFonts w:ascii="Times New Roman" w:hAnsi="Times New Roman" w:cs="Times New Roman"/>
          <w:noProof/>
        </w:rPr>
        <w:t>(Lumen), 66–75. http://doi.org/10.1016/j.sbspro.2013.08.639</w:t>
      </w:r>
    </w:p>
    <w:p w14:paraId="014CC12E"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Armey, D. (1995). </w:t>
      </w:r>
      <w:r w:rsidRPr="00574B06">
        <w:rPr>
          <w:rFonts w:ascii="Times New Roman" w:hAnsi="Times New Roman" w:cs="Times New Roman"/>
          <w:i/>
          <w:iCs/>
          <w:noProof/>
        </w:rPr>
        <w:t>The Freedom Revolution</w:t>
      </w:r>
      <w:r w:rsidRPr="00574B06">
        <w:rPr>
          <w:rFonts w:ascii="Times New Roman" w:hAnsi="Times New Roman" w:cs="Times New Roman"/>
          <w:noProof/>
        </w:rPr>
        <w:t>. (R. Publishing, Ed.). Washington, D.C.</w:t>
      </w:r>
    </w:p>
    <w:p w14:paraId="789BBD4F"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Barro, R. J. (1989). </w:t>
      </w:r>
      <w:r w:rsidRPr="00574B06">
        <w:rPr>
          <w:rFonts w:ascii="Times New Roman" w:hAnsi="Times New Roman" w:cs="Times New Roman"/>
          <w:i/>
          <w:iCs/>
          <w:noProof/>
        </w:rPr>
        <w:t>A cross-country study of growth, saving, and government</w:t>
      </w:r>
      <w:r w:rsidRPr="00574B06">
        <w:rPr>
          <w:rFonts w:ascii="Times New Roman" w:hAnsi="Times New Roman" w:cs="Times New Roman"/>
          <w:noProof/>
        </w:rPr>
        <w:t xml:space="preserve"> (NBER Working Paper Series No. 2855).</w:t>
      </w:r>
    </w:p>
    <w:p w14:paraId="09BA7817"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lang w:val="pt-BR"/>
        </w:rPr>
      </w:pPr>
      <w:r w:rsidRPr="00574B06">
        <w:rPr>
          <w:rFonts w:ascii="Times New Roman" w:hAnsi="Times New Roman" w:cs="Times New Roman"/>
          <w:noProof/>
        </w:rPr>
        <w:t xml:space="preserve">Belloumi, M. (2014). The relationship between trade, FDI and economic growth in Tunisia: An application of the autoregressive distributed lag model. </w:t>
      </w:r>
      <w:r w:rsidRPr="00574B06">
        <w:rPr>
          <w:rFonts w:ascii="Times New Roman" w:hAnsi="Times New Roman" w:cs="Times New Roman"/>
          <w:i/>
          <w:iCs/>
          <w:noProof/>
          <w:lang w:val="pt-BR"/>
        </w:rPr>
        <w:t>Economic Systems</w:t>
      </w:r>
      <w:r w:rsidRPr="00574B06">
        <w:rPr>
          <w:rFonts w:ascii="Times New Roman" w:hAnsi="Times New Roman" w:cs="Times New Roman"/>
          <w:noProof/>
          <w:lang w:val="pt-BR"/>
        </w:rPr>
        <w:t xml:space="preserve">, </w:t>
      </w:r>
      <w:r w:rsidRPr="00574B06">
        <w:rPr>
          <w:rFonts w:ascii="Times New Roman" w:hAnsi="Times New Roman" w:cs="Times New Roman"/>
          <w:i/>
          <w:iCs/>
          <w:noProof/>
          <w:lang w:val="pt-BR"/>
        </w:rPr>
        <w:t>38</w:t>
      </w:r>
      <w:r w:rsidRPr="00574B06">
        <w:rPr>
          <w:rFonts w:ascii="Times New Roman" w:hAnsi="Times New Roman" w:cs="Times New Roman"/>
          <w:noProof/>
          <w:lang w:val="pt-BR"/>
        </w:rPr>
        <w:t>(2), 269–287. http://doi.org/10.1016/j.ecosys.2013.09.002</w:t>
      </w:r>
    </w:p>
    <w:p w14:paraId="519DC59F"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lang w:val="pt-BR"/>
        </w:rPr>
        <w:t xml:space="preserve">BNDES. (2001). Carga tributária - evolução histórica: uma tendência crescente. </w:t>
      </w:r>
      <w:r w:rsidRPr="00574B06">
        <w:rPr>
          <w:rFonts w:ascii="Times New Roman" w:hAnsi="Times New Roman" w:cs="Times New Roman"/>
          <w:i/>
          <w:iCs/>
          <w:noProof/>
        </w:rPr>
        <w:t>Informe-Se</w:t>
      </w:r>
      <w:r w:rsidRPr="00574B06">
        <w:rPr>
          <w:rFonts w:ascii="Times New Roman" w:hAnsi="Times New Roman" w:cs="Times New Roman"/>
          <w:noProof/>
        </w:rPr>
        <w:t>, 1–8.</w:t>
      </w:r>
    </w:p>
    <w:p w14:paraId="2CB3589A"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Carlstrom, C. T., &amp; Gokhale, J. (1991). Government Consumption, Taxation, and Economic Activity. </w:t>
      </w:r>
      <w:r w:rsidRPr="00574B06">
        <w:rPr>
          <w:rFonts w:ascii="Times New Roman" w:hAnsi="Times New Roman" w:cs="Times New Roman"/>
          <w:i/>
          <w:iCs/>
          <w:noProof/>
        </w:rPr>
        <w:t>Economic Review, Federal Reserve Bank of Cleveland</w:t>
      </w:r>
      <w:r w:rsidRPr="00574B06">
        <w:rPr>
          <w:rFonts w:ascii="Times New Roman" w:hAnsi="Times New Roman" w:cs="Times New Roman"/>
          <w:noProof/>
        </w:rPr>
        <w:t xml:space="preserve">, </w:t>
      </w:r>
      <w:r w:rsidRPr="00574B06">
        <w:rPr>
          <w:rFonts w:ascii="Times New Roman" w:hAnsi="Times New Roman" w:cs="Times New Roman"/>
          <w:i/>
          <w:iCs/>
          <w:noProof/>
        </w:rPr>
        <w:t>27</w:t>
      </w:r>
      <w:r w:rsidRPr="00574B06">
        <w:rPr>
          <w:rFonts w:ascii="Times New Roman" w:hAnsi="Times New Roman" w:cs="Times New Roman"/>
          <w:noProof/>
        </w:rPr>
        <w:t>(3), 18–29. Retrieved from https://fraser.stlouisfed.org/docs/publications/frbclevreview/rev_frbclev_1991q3.pdf</w:t>
      </w:r>
    </w:p>
    <w:p w14:paraId="775ADEBD"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Chao, J., &amp; Grubel, H. (1988). Optimal Levels of Spending and Taxation in Canada. In </w:t>
      </w:r>
      <w:r w:rsidRPr="00574B06">
        <w:rPr>
          <w:rFonts w:ascii="Times New Roman" w:hAnsi="Times New Roman" w:cs="Times New Roman"/>
          <w:i/>
          <w:iCs/>
          <w:noProof/>
        </w:rPr>
        <w:t>How to Use the Fiscal Surplus: What is the optimum Size of Government</w:t>
      </w:r>
      <w:r w:rsidRPr="00574B06">
        <w:rPr>
          <w:rFonts w:ascii="Times New Roman" w:hAnsi="Times New Roman" w:cs="Times New Roman"/>
          <w:noProof/>
        </w:rPr>
        <w:t>. Vancouver: Fraser Institute. Retrieved from https://www.fraserinstitute.org/sites/default/files/HowtoUseFiscalSurplustblContents.pdf</w:t>
      </w:r>
    </w:p>
    <w:p w14:paraId="741FEDD8"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Chobanov, D., &amp; Mladenova, A. (2009). What is the optimum size of Government: A suggestion.</w:t>
      </w:r>
    </w:p>
    <w:p w14:paraId="07F47AF9"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Davies, A. (2009). Human development and the optimal size of government. </w:t>
      </w:r>
      <w:r w:rsidRPr="00574B06">
        <w:rPr>
          <w:rFonts w:ascii="Times New Roman" w:hAnsi="Times New Roman" w:cs="Times New Roman"/>
          <w:i/>
          <w:iCs/>
          <w:noProof/>
        </w:rPr>
        <w:t>The Journal of Socio-Economics</w:t>
      </w:r>
      <w:r w:rsidRPr="00574B06">
        <w:rPr>
          <w:rFonts w:ascii="Times New Roman" w:hAnsi="Times New Roman" w:cs="Times New Roman"/>
          <w:noProof/>
        </w:rPr>
        <w:t xml:space="preserve">, </w:t>
      </w:r>
      <w:r w:rsidRPr="00574B06">
        <w:rPr>
          <w:rFonts w:ascii="Times New Roman" w:hAnsi="Times New Roman" w:cs="Times New Roman"/>
          <w:i/>
          <w:iCs/>
          <w:noProof/>
        </w:rPr>
        <w:t>38</w:t>
      </w:r>
      <w:r w:rsidRPr="00574B06">
        <w:rPr>
          <w:rFonts w:ascii="Times New Roman" w:hAnsi="Times New Roman" w:cs="Times New Roman"/>
          <w:noProof/>
        </w:rPr>
        <w:t>(2), 326–330. http://doi.org/10.1016/j.socec.2008.07.015</w:t>
      </w:r>
    </w:p>
    <w:p w14:paraId="491E4D8A"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De Long, J. B., &amp; Shleifer, A. (1993). Princes and Merchants: European City Growth Before The Industrial Revolution. </w:t>
      </w:r>
      <w:r w:rsidRPr="00574B06">
        <w:rPr>
          <w:rFonts w:ascii="Times New Roman" w:hAnsi="Times New Roman" w:cs="Times New Roman"/>
          <w:i/>
          <w:iCs/>
          <w:noProof/>
        </w:rPr>
        <w:t>Journal of Law and Economics</w:t>
      </w:r>
      <w:r w:rsidRPr="00574B06">
        <w:rPr>
          <w:rFonts w:ascii="Times New Roman" w:hAnsi="Times New Roman" w:cs="Times New Roman"/>
          <w:noProof/>
        </w:rPr>
        <w:t xml:space="preserve">, </w:t>
      </w:r>
      <w:r w:rsidRPr="00574B06">
        <w:rPr>
          <w:rFonts w:ascii="Times New Roman" w:hAnsi="Times New Roman" w:cs="Times New Roman"/>
          <w:i/>
          <w:iCs/>
          <w:noProof/>
        </w:rPr>
        <w:t>36</w:t>
      </w:r>
      <w:r w:rsidRPr="00574B06">
        <w:rPr>
          <w:rFonts w:ascii="Times New Roman" w:hAnsi="Times New Roman" w:cs="Times New Roman"/>
          <w:noProof/>
        </w:rPr>
        <w:t>, 673–702.</w:t>
      </w:r>
    </w:p>
    <w:p w14:paraId="2A9191FB"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Facchini, F., &amp; Melki, M. (2011). </w:t>
      </w:r>
      <w:r w:rsidRPr="00574B06">
        <w:rPr>
          <w:rFonts w:ascii="Times New Roman" w:hAnsi="Times New Roman" w:cs="Times New Roman"/>
          <w:i/>
          <w:iCs/>
          <w:noProof/>
        </w:rPr>
        <w:t>Optimal Government Size and Economic Growth in France (1871-2008): An Explanation by the State and Market Failures</w:t>
      </w:r>
      <w:r w:rsidRPr="00574B06">
        <w:rPr>
          <w:rFonts w:ascii="Times New Roman" w:hAnsi="Times New Roman" w:cs="Times New Roman"/>
          <w:noProof/>
        </w:rPr>
        <w:t xml:space="preserve"> (No. 2011.77).</w:t>
      </w:r>
    </w:p>
    <w:p w14:paraId="2D9A24C6"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Forte, F., &amp; Magazzino, C. (2010). </w:t>
      </w:r>
      <w:r w:rsidRPr="00574B06">
        <w:rPr>
          <w:rFonts w:ascii="Times New Roman" w:hAnsi="Times New Roman" w:cs="Times New Roman"/>
          <w:i/>
          <w:iCs/>
          <w:noProof/>
        </w:rPr>
        <w:t>Optimal Size of Government and economic growth in EU-27</w:t>
      </w:r>
      <w:r w:rsidRPr="00574B06">
        <w:rPr>
          <w:rFonts w:ascii="Times New Roman" w:hAnsi="Times New Roman" w:cs="Times New Roman"/>
          <w:noProof/>
        </w:rPr>
        <w:t xml:space="preserve"> (No. 4/2010). Roma.</w:t>
      </w:r>
    </w:p>
    <w:p w14:paraId="0D818A90"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Grossman, H. I. (2000). The state: Agent or proprietor? </w:t>
      </w:r>
      <w:r w:rsidRPr="00574B06">
        <w:rPr>
          <w:rFonts w:ascii="Times New Roman" w:hAnsi="Times New Roman" w:cs="Times New Roman"/>
          <w:i/>
          <w:iCs/>
          <w:noProof/>
        </w:rPr>
        <w:t>Economics of Governance</w:t>
      </w:r>
      <w:r w:rsidRPr="00574B06">
        <w:rPr>
          <w:rFonts w:ascii="Times New Roman" w:hAnsi="Times New Roman" w:cs="Times New Roman"/>
          <w:noProof/>
        </w:rPr>
        <w:t xml:space="preserve">, </w:t>
      </w:r>
      <w:r w:rsidRPr="00574B06">
        <w:rPr>
          <w:rFonts w:ascii="Times New Roman" w:hAnsi="Times New Roman" w:cs="Times New Roman"/>
          <w:i/>
          <w:iCs/>
          <w:noProof/>
        </w:rPr>
        <w:t>1</w:t>
      </w:r>
      <w:r w:rsidRPr="00574B06">
        <w:rPr>
          <w:rFonts w:ascii="Times New Roman" w:hAnsi="Times New Roman" w:cs="Times New Roman"/>
          <w:noProof/>
        </w:rPr>
        <w:t>(1), 3–11. Retrieved from http://www.brown.edu/Departments/Economics/Papers/1999/1999-03.pdf</w:t>
      </w:r>
    </w:p>
    <w:p w14:paraId="3DAD667E"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Grossman, P. J. (1987). The optimal size of government. </w:t>
      </w:r>
      <w:r w:rsidRPr="00574B06">
        <w:rPr>
          <w:rFonts w:ascii="Times New Roman" w:hAnsi="Times New Roman" w:cs="Times New Roman"/>
          <w:i/>
          <w:iCs/>
          <w:noProof/>
        </w:rPr>
        <w:t>Public Choice</w:t>
      </w:r>
      <w:r w:rsidRPr="00574B06">
        <w:rPr>
          <w:rFonts w:ascii="Times New Roman" w:hAnsi="Times New Roman" w:cs="Times New Roman"/>
          <w:noProof/>
        </w:rPr>
        <w:t xml:space="preserve">, </w:t>
      </w:r>
      <w:r w:rsidRPr="00574B06">
        <w:rPr>
          <w:rFonts w:ascii="Times New Roman" w:hAnsi="Times New Roman" w:cs="Times New Roman"/>
          <w:i/>
          <w:iCs/>
          <w:noProof/>
        </w:rPr>
        <w:t>53</w:t>
      </w:r>
      <w:r w:rsidRPr="00574B06">
        <w:rPr>
          <w:rFonts w:ascii="Times New Roman" w:hAnsi="Times New Roman" w:cs="Times New Roman"/>
          <w:noProof/>
        </w:rPr>
        <w:t>(2), 131–147. http://doi.org/10.1007/BF00125845</w:t>
      </w:r>
    </w:p>
    <w:p w14:paraId="4041C1BF"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Grossman, P. J. (1988). Growth in Government and Economic Growth: The Australian Experience. </w:t>
      </w:r>
      <w:r w:rsidRPr="00574B06">
        <w:rPr>
          <w:rFonts w:ascii="Times New Roman" w:hAnsi="Times New Roman" w:cs="Times New Roman"/>
          <w:i/>
          <w:iCs/>
          <w:noProof/>
        </w:rPr>
        <w:t>Australian Economic Papers</w:t>
      </w:r>
      <w:r w:rsidRPr="00574B06">
        <w:rPr>
          <w:rFonts w:ascii="Times New Roman" w:hAnsi="Times New Roman" w:cs="Times New Roman"/>
          <w:noProof/>
        </w:rPr>
        <w:t xml:space="preserve">, </w:t>
      </w:r>
      <w:r w:rsidRPr="00574B06">
        <w:rPr>
          <w:rFonts w:ascii="Times New Roman" w:hAnsi="Times New Roman" w:cs="Times New Roman"/>
          <w:i/>
          <w:iCs/>
          <w:noProof/>
        </w:rPr>
        <w:t>27</w:t>
      </w:r>
      <w:r w:rsidRPr="00574B06">
        <w:rPr>
          <w:rFonts w:ascii="Times New Roman" w:hAnsi="Times New Roman" w:cs="Times New Roman"/>
          <w:noProof/>
        </w:rPr>
        <w:t>(50), 33–43. http://doi.org/10.1111/j.1467-8454.1988.tb00805.x</w:t>
      </w:r>
    </w:p>
    <w:p w14:paraId="35B28B4A"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Heckelman, J. C. (2007). Explaining the rain: The Rise and Decline of Nations after 25 years. </w:t>
      </w:r>
      <w:r w:rsidRPr="00574B06">
        <w:rPr>
          <w:rFonts w:ascii="Times New Roman" w:hAnsi="Times New Roman" w:cs="Times New Roman"/>
          <w:i/>
          <w:iCs/>
          <w:noProof/>
        </w:rPr>
        <w:t>Southern Economic Journal</w:t>
      </w:r>
      <w:r w:rsidRPr="00574B06">
        <w:rPr>
          <w:rFonts w:ascii="Times New Roman" w:hAnsi="Times New Roman" w:cs="Times New Roman"/>
          <w:noProof/>
        </w:rPr>
        <w:t xml:space="preserve">, </w:t>
      </w:r>
      <w:r w:rsidRPr="00574B06">
        <w:rPr>
          <w:rFonts w:ascii="Times New Roman" w:hAnsi="Times New Roman" w:cs="Times New Roman"/>
          <w:i/>
          <w:iCs/>
          <w:noProof/>
        </w:rPr>
        <w:t>74</w:t>
      </w:r>
      <w:r w:rsidRPr="00574B06">
        <w:rPr>
          <w:rFonts w:ascii="Times New Roman" w:hAnsi="Times New Roman" w:cs="Times New Roman"/>
          <w:noProof/>
        </w:rPr>
        <w:t>(1), 18–33. http://doi.org/10.2307/20111950</w:t>
      </w:r>
    </w:p>
    <w:p w14:paraId="1D9653A0"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Hill, R. (2008). Optimal taxation and economic growth: a comment. </w:t>
      </w:r>
      <w:r w:rsidRPr="00574B06">
        <w:rPr>
          <w:rFonts w:ascii="Times New Roman" w:hAnsi="Times New Roman" w:cs="Times New Roman"/>
          <w:i/>
          <w:iCs/>
          <w:noProof/>
        </w:rPr>
        <w:t>Public Choice</w:t>
      </w:r>
      <w:r w:rsidRPr="00574B06">
        <w:rPr>
          <w:rFonts w:ascii="Times New Roman" w:hAnsi="Times New Roman" w:cs="Times New Roman"/>
          <w:noProof/>
        </w:rPr>
        <w:t xml:space="preserve">, </w:t>
      </w:r>
      <w:r w:rsidRPr="00574B06">
        <w:rPr>
          <w:rFonts w:ascii="Times New Roman" w:hAnsi="Times New Roman" w:cs="Times New Roman"/>
          <w:i/>
          <w:iCs/>
          <w:noProof/>
        </w:rPr>
        <w:t>134</w:t>
      </w:r>
      <w:r w:rsidRPr="00574B06">
        <w:rPr>
          <w:rFonts w:ascii="Times New Roman" w:hAnsi="Times New Roman" w:cs="Times New Roman"/>
          <w:noProof/>
        </w:rPr>
        <w:t xml:space="preserve">(3–4), </w:t>
      </w:r>
      <w:r w:rsidRPr="00574B06">
        <w:rPr>
          <w:rFonts w:ascii="Times New Roman" w:hAnsi="Times New Roman" w:cs="Times New Roman"/>
          <w:noProof/>
        </w:rPr>
        <w:lastRenderedPageBreak/>
        <w:t>419–427. http://doi.org/10.1007/s11127-007-9235-0</w:t>
      </w:r>
    </w:p>
    <w:p w14:paraId="2B12EE61"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IHSGlobal Inc. (2016). </w:t>
      </w:r>
      <w:r w:rsidRPr="00574B06">
        <w:rPr>
          <w:rFonts w:ascii="Times New Roman" w:hAnsi="Times New Roman" w:cs="Times New Roman"/>
          <w:i/>
          <w:iCs/>
          <w:noProof/>
        </w:rPr>
        <w:t>Eviews 9 User’s Guide II</w:t>
      </w:r>
      <w:r w:rsidRPr="00574B06">
        <w:rPr>
          <w:rFonts w:ascii="Times New Roman" w:hAnsi="Times New Roman" w:cs="Times New Roman"/>
          <w:noProof/>
        </w:rPr>
        <w:t xml:space="preserve"> (1st ed.). Irvine: IHS Global Inc.</w:t>
      </w:r>
    </w:p>
    <w:p w14:paraId="104FBD22"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Karras, G. (1993). Employment and Output Effects of Government Spending: Is Governments Size Important? </w:t>
      </w:r>
      <w:r w:rsidRPr="00574B06">
        <w:rPr>
          <w:rFonts w:ascii="Times New Roman" w:hAnsi="Times New Roman" w:cs="Times New Roman"/>
          <w:i/>
          <w:iCs/>
          <w:noProof/>
        </w:rPr>
        <w:t>Economic Inquiry</w:t>
      </w:r>
      <w:r w:rsidRPr="00574B06">
        <w:rPr>
          <w:rFonts w:ascii="Times New Roman" w:hAnsi="Times New Roman" w:cs="Times New Roman"/>
          <w:noProof/>
        </w:rPr>
        <w:t xml:space="preserve">, </w:t>
      </w:r>
      <w:r w:rsidRPr="00574B06">
        <w:rPr>
          <w:rFonts w:ascii="Times New Roman" w:hAnsi="Times New Roman" w:cs="Times New Roman"/>
          <w:i/>
          <w:iCs/>
          <w:noProof/>
        </w:rPr>
        <w:t>31</w:t>
      </w:r>
      <w:r w:rsidRPr="00574B06">
        <w:rPr>
          <w:rFonts w:ascii="Times New Roman" w:hAnsi="Times New Roman" w:cs="Times New Roman"/>
          <w:noProof/>
        </w:rPr>
        <w:t>(3), 354–369. http://doi.org/10.1111/j.1465-7295.1993.tb01298.x</w:t>
      </w:r>
    </w:p>
    <w:p w14:paraId="5E17762D"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Karras, G. (1996). The Optimal Government Size: Further International Evidence on the Productivity of Government Services. </w:t>
      </w:r>
      <w:r w:rsidRPr="00574B06">
        <w:rPr>
          <w:rFonts w:ascii="Times New Roman" w:hAnsi="Times New Roman" w:cs="Times New Roman"/>
          <w:i/>
          <w:iCs/>
          <w:noProof/>
        </w:rPr>
        <w:t>Economic Inquiry</w:t>
      </w:r>
      <w:r w:rsidRPr="00574B06">
        <w:rPr>
          <w:rFonts w:ascii="Times New Roman" w:hAnsi="Times New Roman" w:cs="Times New Roman"/>
          <w:noProof/>
        </w:rPr>
        <w:t xml:space="preserve">, </w:t>
      </w:r>
      <w:r w:rsidRPr="00574B06">
        <w:rPr>
          <w:rFonts w:ascii="Times New Roman" w:hAnsi="Times New Roman" w:cs="Times New Roman"/>
          <w:i/>
          <w:iCs/>
          <w:noProof/>
        </w:rPr>
        <w:t>34</w:t>
      </w:r>
      <w:r w:rsidRPr="00574B06">
        <w:rPr>
          <w:rFonts w:ascii="Times New Roman" w:hAnsi="Times New Roman" w:cs="Times New Roman"/>
          <w:noProof/>
        </w:rPr>
        <w:t>(2), 193–203. http://doi.org/10.1111/j.1465-7295.1996.tb01372.x</w:t>
      </w:r>
    </w:p>
    <w:p w14:paraId="451D785C"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Kennedy, P. E. (2000). On measuring the growth-maximizing tax rate. </w:t>
      </w:r>
      <w:r w:rsidRPr="00574B06">
        <w:rPr>
          <w:rFonts w:ascii="Times New Roman" w:hAnsi="Times New Roman" w:cs="Times New Roman"/>
          <w:i/>
          <w:iCs/>
          <w:noProof/>
        </w:rPr>
        <w:t>Pacific Economic Review</w:t>
      </w:r>
      <w:r w:rsidRPr="00574B06">
        <w:rPr>
          <w:rFonts w:ascii="Times New Roman" w:hAnsi="Times New Roman" w:cs="Times New Roman"/>
          <w:noProof/>
        </w:rPr>
        <w:t xml:space="preserve">, </w:t>
      </w:r>
      <w:r w:rsidRPr="00574B06">
        <w:rPr>
          <w:rFonts w:ascii="Times New Roman" w:hAnsi="Times New Roman" w:cs="Times New Roman"/>
          <w:i/>
          <w:iCs/>
          <w:noProof/>
        </w:rPr>
        <w:t>1</w:t>
      </w:r>
      <w:r w:rsidRPr="00574B06">
        <w:rPr>
          <w:rFonts w:ascii="Times New Roman" w:hAnsi="Times New Roman" w:cs="Times New Roman"/>
          <w:noProof/>
        </w:rPr>
        <w:t>, 89–91.</w:t>
      </w:r>
    </w:p>
    <w:p w14:paraId="169F3D5D"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Lampe, M., &amp; Sharp, P. (2013). Tariffs and income: a time series analysis for 24 countries. </w:t>
      </w:r>
      <w:r w:rsidRPr="00574B06">
        <w:rPr>
          <w:rFonts w:ascii="Times New Roman" w:hAnsi="Times New Roman" w:cs="Times New Roman"/>
          <w:i/>
          <w:iCs/>
          <w:noProof/>
        </w:rPr>
        <w:t>Cliometrica</w:t>
      </w:r>
      <w:r w:rsidRPr="00574B06">
        <w:rPr>
          <w:rFonts w:ascii="Times New Roman" w:hAnsi="Times New Roman" w:cs="Times New Roman"/>
          <w:noProof/>
        </w:rPr>
        <w:t xml:space="preserve">, </w:t>
      </w:r>
      <w:r w:rsidRPr="00574B06">
        <w:rPr>
          <w:rFonts w:ascii="Times New Roman" w:hAnsi="Times New Roman" w:cs="Times New Roman"/>
          <w:i/>
          <w:iCs/>
          <w:noProof/>
        </w:rPr>
        <w:t>7</w:t>
      </w:r>
      <w:r w:rsidRPr="00574B06">
        <w:rPr>
          <w:rFonts w:ascii="Times New Roman" w:hAnsi="Times New Roman" w:cs="Times New Roman"/>
          <w:noProof/>
        </w:rPr>
        <w:t>(3), 207–235. http://doi.org/10.1007/s11698-012-0088-5</w:t>
      </w:r>
    </w:p>
    <w:p w14:paraId="7601C763"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Leeson, P. T. (2007). Better off stateless: Somalia before and after government collapse. </w:t>
      </w:r>
      <w:r w:rsidRPr="00574B06">
        <w:rPr>
          <w:rFonts w:ascii="Times New Roman" w:hAnsi="Times New Roman" w:cs="Times New Roman"/>
          <w:i/>
          <w:iCs/>
          <w:noProof/>
        </w:rPr>
        <w:t>Journal of Comparative Economics</w:t>
      </w:r>
      <w:r w:rsidRPr="00574B06">
        <w:rPr>
          <w:rFonts w:ascii="Times New Roman" w:hAnsi="Times New Roman" w:cs="Times New Roman"/>
          <w:noProof/>
        </w:rPr>
        <w:t xml:space="preserve">, </w:t>
      </w:r>
      <w:r w:rsidRPr="00574B06">
        <w:rPr>
          <w:rFonts w:ascii="Times New Roman" w:hAnsi="Times New Roman" w:cs="Times New Roman"/>
          <w:i/>
          <w:iCs/>
          <w:noProof/>
        </w:rPr>
        <w:t>35</w:t>
      </w:r>
      <w:r w:rsidRPr="00574B06">
        <w:rPr>
          <w:rFonts w:ascii="Times New Roman" w:hAnsi="Times New Roman" w:cs="Times New Roman"/>
          <w:noProof/>
        </w:rPr>
        <w:t>(4), 689–710. http://doi.org/10.1016/j.jce.2007.10.001</w:t>
      </w:r>
    </w:p>
    <w:p w14:paraId="3D4B206B"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Magazzino, C. (2008). </w:t>
      </w:r>
      <w:r w:rsidRPr="00574B06">
        <w:rPr>
          <w:rFonts w:ascii="Times New Roman" w:hAnsi="Times New Roman" w:cs="Times New Roman"/>
          <w:noProof/>
          <w:lang w:val="pt-BR"/>
        </w:rPr>
        <w:t xml:space="preserve">Modelli interpretativi della dinamica della spesa pubblica e “curva di Armey”: il caso italiano, 1862-2001. </w:t>
      </w:r>
      <w:r w:rsidRPr="00574B06">
        <w:rPr>
          <w:rFonts w:ascii="Times New Roman" w:hAnsi="Times New Roman" w:cs="Times New Roman"/>
          <w:i/>
          <w:iCs/>
          <w:noProof/>
        </w:rPr>
        <w:t>Notizie Di Politeia</w:t>
      </w:r>
      <w:r w:rsidRPr="00574B06">
        <w:rPr>
          <w:rFonts w:ascii="Times New Roman" w:hAnsi="Times New Roman" w:cs="Times New Roman"/>
          <w:noProof/>
        </w:rPr>
        <w:t xml:space="preserve">, </w:t>
      </w:r>
      <w:r w:rsidRPr="00574B06">
        <w:rPr>
          <w:rFonts w:ascii="Times New Roman" w:hAnsi="Times New Roman" w:cs="Times New Roman"/>
          <w:i/>
          <w:iCs/>
          <w:noProof/>
        </w:rPr>
        <w:t>24</w:t>
      </w:r>
      <w:r w:rsidRPr="00574B06">
        <w:rPr>
          <w:rFonts w:ascii="Times New Roman" w:hAnsi="Times New Roman" w:cs="Times New Roman"/>
          <w:noProof/>
        </w:rPr>
        <w:t>(92), 45–60.</w:t>
      </w:r>
    </w:p>
    <w:p w14:paraId="062781AA"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Magazzino, C. (2014). Government Size and Economic Growth in Italy : An Empirical Analyses Based On New Data (1861-2008). </w:t>
      </w:r>
      <w:r w:rsidRPr="00574B06">
        <w:rPr>
          <w:rFonts w:ascii="Times New Roman" w:hAnsi="Times New Roman" w:cs="Times New Roman"/>
          <w:i/>
          <w:iCs/>
          <w:noProof/>
        </w:rPr>
        <w:t>International Journal of Empirical Finance</w:t>
      </w:r>
      <w:r w:rsidRPr="00574B06">
        <w:rPr>
          <w:rFonts w:ascii="Times New Roman" w:hAnsi="Times New Roman" w:cs="Times New Roman"/>
          <w:noProof/>
        </w:rPr>
        <w:t xml:space="preserve">, </w:t>
      </w:r>
      <w:r w:rsidRPr="00574B06">
        <w:rPr>
          <w:rFonts w:ascii="Times New Roman" w:hAnsi="Times New Roman" w:cs="Times New Roman"/>
          <w:i/>
          <w:iCs/>
          <w:noProof/>
        </w:rPr>
        <w:t>3</w:t>
      </w:r>
      <w:r w:rsidRPr="00574B06">
        <w:rPr>
          <w:rFonts w:ascii="Times New Roman" w:hAnsi="Times New Roman" w:cs="Times New Roman"/>
          <w:noProof/>
        </w:rPr>
        <w:t>(2), 38–54.</w:t>
      </w:r>
    </w:p>
    <w:p w14:paraId="34A6139A"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Mavrov, H. (2007). The Size of Government Expenditure and the Rate of Economic Growth in Bulgaria. </w:t>
      </w:r>
      <w:r w:rsidRPr="00574B06">
        <w:rPr>
          <w:rFonts w:ascii="Times New Roman" w:hAnsi="Times New Roman" w:cs="Times New Roman"/>
          <w:i/>
          <w:iCs/>
          <w:noProof/>
        </w:rPr>
        <w:t>Economic Alternatives</w:t>
      </w:r>
      <w:r w:rsidRPr="00574B06">
        <w:rPr>
          <w:rFonts w:ascii="Times New Roman" w:hAnsi="Times New Roman" w:cs="Times New Roman"/>
          <w:noProof/>
        </w:rPr>
        <w:t>, (1), 53–63.</w:t>
      </w:r>
    </w:p>
    <w:p w14:paraId="624AC14D"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Mendonça, H. F. de, &amp; Cacicedo, T. (2015). Size of government and economic growth in the largest Latin American country. </w:t>
      </w:r>
      <w:r w:rsidRPr="00574B06">
        <w:rPr>
          <w:rFonts w:ascii="Times New Roman" w:hAnsi="Times New Roman" w:cs="Times New Roman"/>
          <w:i/>
          <w:iCs/>
          <w:noProof/>
        </w:rPr>
        <w:t>Applied Economics Letters</w:t>
      </w:r>
      <w:r w:rsidRPr="00574B06">
        <w:rPr>
          <w:rFonts w:ascii="Times New Roman" w:hAnsi="Times New Roman" w:cs="Times New Roman"/>
          <w:noProof/>
        </w:rPr>
        <w:t xml:space="preserve">, </w:t>
      </w:r>
      <w:r w:rsidRPr="00574B06">
        <w:rPr>
          <w:rFonts w:ascii="Times New Roman" w:hAnsi="Times New Roman" w:cs="Times New Roman"/>
          <w:i/>
          <w:iCs/>
          <w:noProof/>
        </w:rPr>
        <w:t>22</w:t>
      </w:r>
      <w:r w:rsidRPr="00574B06">
        <w:rPr>
          <w:rFonts w:ascii="Times New Roman" w:hAnsi="Times New Roman" w:cs="Times New Roman"/>
          <w:noProof/>
        </w:rPr>
        <w:t>(11), 904–910. http://doi.org/10.1080/13504851.2014.987909</w:t>
      </w:r>
    </w:p>
    <w:p w14:paraId="68E69650"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Mueller, D. C. (2003). </w:t>
      </w:r>
      <w:r w:rsidRPr="00574B06">
        <w:rPr>
          <w:rFonts w:ascii="Times New Roman" w:hAnsi="Times New Roman" w:cs="Times New Roman"/>
          <w:i/>
          <w:iCs/>
          <w:noProof/>
        </w:rPr>
        <w:t>Public Choice III</w:t>
      </w:r>
      <w:r w:rsidRPr="00574B06">
        <w:rPr>
          <w:rFonts w:ascii="Times New Roman" w:hAnsi="Times New Roman" w:cs="Times New Roman"/>
          <w:noProof/>
        </w:rPr>
        <w:t>. Cambridge: Cambridge University Press.</w:t>
      </w:r>
    </w:p>
    <w:p w14:paraId="7121781D"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North, D. C., Wallis, J. J., &amp; Weingast, B. R. (2009). </w:t>
      </w:r>
      <w:r w:rsidRPr="00574B06">
        <w:rPr>
          <w:rFonts w:ascii="Times New Roman" w:hAnsi="Times New Roman" w:cs="Times New Roman"/>
          <w:i/>
          <w:iCs/>
          <w:noProof/>
        </w:rPr>
        <w:t>Violence and Social Orders</w:t>
      </w:r>
      <w:r w:rsidRPr="00574B06">
        <w:rPr>
          <w:rFonts w:ascii="Times New Roman" w:hAnsi="Times New Roman" w:cs="Times New Roman"/>
          <w:noProof/>
        </w:rPr>
        <w:t>. New York: Cambridge University Press.</w:t>
      </w:r>
    </w:p>
    <w:p w14:paraId="2C09F6CF"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Olson, M. (1984). </w:t>
      </w:r>
      <w:r w:rsidRPr="00574B06">
        <w:rPr>
          <w:rFonts w:ascii="Times New Roman" w:hAnsi="Times New Roman" w:cs="Times New Roman"/>
          <w:i/>
          <w:iCs/>
          <w:noProof/>
        </w:rPr>
        <w:t>The Rise and Decline of Nations: Economic Growth, Stagflation, and Social Rigidities: Mancur Olson: 9780300030792: Amazon.com: Books</w:t>
      </w:r>
      <w:r w:rsidRPr="00574B06">
        <w:rPr>
          <w:rFonts w:ascii="Times New Roman" w:hAnsi="Times New Roman" w:cs="Times New Roman"/>
          <w:noProof/>
        </w:rPr>
        <w:t>. Yale University Press. Retrieved from https://www.amazon.com/Rise-Decline-Nations-Stagflation-Rigidities/dp/0300030797</w:t>
      </w:r>
    </w:p>
    <w:p w14:paraId="154E29DC"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Pahlavani, M., Wilson, E., &amp; Worthingt, A. C. (2005). Trade-GDP Nexus in Iran: An Application of the Autoregressive Distributed Lag (ARDL) Model. </w:t>
      </w:r>
      <w:r w:rsidRPr="00574B06">
        <w:rPr>
          <w:rFonts w:ascii="Times New Roman" w:hAnsi="Times New Roman" w:cs="Times New Roman"/>
          <w:i/>
          <w:iCs/>
          <w:noProof/>
        </w:rPr>
        <w:t>American Journal of Applied Sciences</w:t>
      </w:r>
      <w:r w:rsidRPr="00574B06">
        <w:rPr>
          <w:rFonts w:ascii="Times New Roman" w:hAnsi="Times New Roman" w:cs="Times New Roman"/>
          <w:noProof/>
        </w:rPr>
        <w:t xml:space="preserve">, </w:t>
      </w:r>
      <w:r w:rsidRPr="00574B06">
        <w:rPr>
          <w:rFonts w:ascii="Times New Roman" w:hAnsi="Times New Roman" w:cs="Times New Roman"/>
          <w:i/>
          <w:iCs/>
          <w:noProof/>
        </w:rPr>
        <w:t>2</w:t>
      </w:r>
      <w:r w:rsidRPr="00574B06">
        <w:rPr>
          <w:rFonts w:ascii="Times New Roman" w:hAnsi="Times New Roman" w:cs="Times New Roman"/>
          <w:noProof/>
        </w:rPr>
        <w:t>(7), 1158–1165. http://doi.org/10.3844/ajassp.2005.1158.1165</w:t>
      </w:r>
    </w:p>
    <w:p w14:paraId="72A89B69"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Peden, E. A. (1991). Productivity in the United States and its relationship to government activity: An analysis of 57 years, 1929-1986. </w:t>
      </w:r>
      <w:r w:rsidRPr="00574B06">
        <w:rPr>
          <w:rFonts w:ascii="Times New Roman" w:hAnsi="Times New Roman" w:cs="Times New Roman"/>
          <w:i/>
          <w:iCs/>
          <w:noProof/>
        </w:rPr>
        <w:t>Public Choice</w:t>
      </w:r>
      <w:r w:rsidRPr="00574B06">
        <w:rPr>
          <w:rFonts w:ascii="Times New Roman" w:hAnsi="Times New Roman" w:cs="Times New Roman"/>
          <w:noProof/>
        </w:rPr>
        <w:t xml:space="preserve">, </w:t>
      </w:r>
      <w:r w:rsidRPr="00574B06">
        <w:rPr>
          <w:rFonts w:ascii="Times New Roman" w:hAnsi="Times New Roman" w:cs="Times New Roman"/>
          <w:i/>
          <w:iCs/>
          <w:noProof/>
        </w:rPr>
        <w:t>69</w:t>
      </w:r>
      <w:r w:rsidRPr="00574B06">
        <w:rPr>
          <w:rFonts w:ascii="Times New Roman" w:hAnsi="Times New Roman" w:cs="Times New Roman"/>
          <w:noProof/>
        </w:rPr>
        <w:t>(2), 153–173. http://doi.org/10.1007/BF00123845</w:t>
      </w:r>
    </w:p>
    <w:p w14:paraId="495EF7B7"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Peltzman, S. (1980). The Growth of Government. </w:t>
      </w:r>
      <w:r w:rsidRPr="00574B06">
        <w:rPr>
          <w:rFonts w:ascii="Times New Roman" w:hAnsi="Times New Roman" w:cs="Times New Roman"/>
          <w:i/>
          <w:iCs/>
          <w:noProof/>
        </w:rPr>
        <w:t>Journal of Law and Economics</w:t>
      </w:r>
      <w:r w:rsidRPr="00574B06">
        <w:rPr>
          <w:rFonts w:ascii="Times New Roman" w:hAnsi="Times New Roman" w:cs="Times New Roman"/>
          <w:noProof/>
        </w:rPr>
        <w:t xml:space="preserve">, </w:t>
      </w:r>
      <w:r w:rsidRPr="00574B06">
        <w:rPr>
          <w:rFonts w:ascii="Times New Roman" w:hAnsi="Times New Roman" w:cs="Times New Roman"/>
          <w:i/>
          <w:iCs/>
          <w:noProof/>
        </w:rPr>
        <w:t>23</w:t>
      </w:r>
      <w:r w:rsidRPr="00574B06">
        <w:rPr>
          <w:rFonts w:ascii="Times New Roman" w:hAnsi="Times New Roman" w:cs="Times New Roman"/>
          <w:noProof/>
        </w:rPr>
        <w:t>(2), 209–287. http://doi.org/10.1017/CBO9781107415324.004</w:t>
      </w:r>
    </w:p>
    <w:p w14:paraId="5B5208F6"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Pesaran, M. H., &amp; Shin, Y. (1999). An Autoregressive Distributed Lag Modeling Approach to Cointegration Analysis. In S. Strom (Ed.), </w:t>
      </w:r>
      <w:r w:rsidRPr="00574B06">
        <w:rPr>
          <w:rFonts w:ascii="Times New Roman" w:hAnsi="Times New Roman" w:cs="Times New Roman"/>
          <w:i/>
          <w:iCs/>
          <w:noProof/>
        </w:rPr>
        <w:t>Econometrics and Economic Theory in the 20th Century: The Ragnar Frisch centennial Symposium</w:t>
      </w:r>
      <w:r w:rsidRPr="00574B06">
        <w:rPr>
          <w:rFonts w:ascii="Times New Roman" w:hAnsi="Times New Roman" w:cs="Times New Roman"/>
          <w:noProof/>
        </w:rPr>
        <w:t xml:space="preserve"> (p. 644). Cambridge: Cambridge University Press.</w:t>
      </w:r>
    </w:p>
    <w:p w14:paraId="752EAB44"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Pesaran, M. H., Shin, Y., &amp; Smith, R. J. (2001). Bounds Testing Approaches to the Analysis of Level Relationships. </w:t>
      </w:r>
      <w:r w:rsidRPr="00574B06">
        <w:rPr>
          <w:rFonts w:ascii="Times New Roman" w:hAnsi="Times New Roman" w:cs="Times New Roman"/>
          <w:i/>
          <w:iCs/>
          <w:noProof/>
        </w:rPr>
        <w:t>Journal of Applied Econometrics</w:t>
      </w:r>
      <w:r w:rsidRPr="00574B06">
        <w:rPr>
          <w:rFonts w:ascii="Times New Roman" w:hAnsi="Times New Roman" w:cs="Times New Roman"/>
          <w:noProof/>
        </w:rPr>
        <w:t xml:space="preserve">, </w:t>
      </w:r>
      <w:r w:rsidRPr="00574B06">
        <w:rPr>
          <w:rFonts w:ascii="Times New Roman" w:hAnsi="Times New Roman" w:cs="Times New Roman"/>
          <w:i/>
          <w:iCs/>
          <w:noProof/>
        </w:rPr>
        <w:t>16</w:t>
      </w:r>
      <w:r w:rsidRPr="00574B06">
        <w:rPr>
          <w:rFonts w:ascii="Times New Roman" w:hAnsi="Times New Roman" w:cs="Times New Roman"/>
          <w:noProof/>
        </w:rPr>
        <w:t>(3), 289–326. http://doi.org/10.1002/jae.616</w:t>
      </w:r>
    </w:p>
    <w:p w14:paraId="1A6D511B"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Pevcin, P. (2004). </w:t>
      </w:r>
      <w:r w:rsidRPr="00574B06">
        <w:rPr>
          <w:rFonts w:ascii="Times New Roman" w:hAnsi="Times New Roman" w:cs="Times New Roman"/>
          <w:i/>
          <w:iCs/>
          <w:noProof/>
        </w:rPr>
        <w:t xml:space="preserve">Size of Budgetary and non-budgetary Government: explaining Cross-country </w:t>
      </w:r>
      <w:r w:rsidRPr="00574B06">
        <w:rPr>
          <w:rFonts w:ascii="Times New Roman" w:hAnsi="Times New Roman" w:cs="Times New Roman"/>
          <w:i/>
          <w:iCs/>
          <w:noProof/>
        </w:rPr>
        <w:lastRenderedPageBreak/>
        <w:t>Differences</w:t>
      </w:r>
      <w:r w:rsidRPr="00574B06">
        <w:rPr>
          <w:rFonts w:ascii="Times New Roman" w:hAnsi="Times New Roman" w:cs="Times New Roman"/>
          <w:noProof/>
        </w:rPr>
        <w:t>.</w:t>
      </w:r>
    </w:p>
    <w:p w14:paraId="6ECD46F5"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Porter, P. (2009). In Memoriam: Gerald W. Scully (1941-2009). </w:t>
      </w:r>
      <w:r w:rsidRPr="00574B06">
        <w:rPr>
          <w:rFonts w:ascii="Times New Roman" w:hAnsi="Times New Roman" w:cs="Times New Roman"/>
          <w:i/>
          <w:iCs/>
          <w:noProof/>
        </w:rPr>
        <w:t>Journal of Sports Economics</w:t>
      </w:r>
      <w:r w:rsidRPr="00574B06">
        <w:rPr>
          <w:rFonts w:ascii="Times New Roman" w:hAnsi="Times New Roman" w:cs="Times New Roman"/>
          <w:noProof/>
        </w:rPr>
        <w:t xml:space="preserve">, </w:t>
      </w:r>
      <w:r w:rsidRPr="00574B06">
        <w:rPr>
          <w:rFonts w:ascii="Times New Roman" w:hAnsi="Times New Roman" w:cs="Times New Roman"/>
          <w:i/>
          <w:iCs/>
          <w:noProof/>
        </w:rPr>
        <w:t>10</w:t>
      </w:r>
      <w:r w:rsidRPr="00574B06">
        <w:rPr>
          <w:rFonts w:ascii="Times New Roman" w:hAnsi="Times New Roman" w:cs="Times New Roman"/>
          <w:noProof/>
        </w:rPr>
        <w:t>(5), 447–450.</w:t>
      </w:r>
    </w:p>
    <w:p w14:paraId="54281027"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Ram, R. (1986). Government size and economic growth: A new framework and some evidence from cross-section and time-series data. </w:t>
      </w:r>
      <w:r w:rsidRPr="00574B06">
        <w:rPr>
          <w:rFonts w:ascii="Times New Roman" w:hAnsi="Times New Roman" w:cs="Times New Roman"/>
          <w:i/>
          <w:iCs/>
          <w:noProof/>
        </w:rPr>
        <w:t>American Economic Review</w:t>
      </w:r>
      <w:r w:rsidRPr="00574B06">
        <w:rPr>
          <w:rFonts w:ascii="Times New Roman" w:hAnsi="Times New Roman" w:cs="Times New Roman"/>
          <w:noProof/>
        </w:rPr>
        <w:t xml:space="preserve">, </w:t>
      </w:r>
      <w:r w:rsidRPr="00574B06">
        <w:rPr>
          <w:rFonts w:ascii="Times New Roman" w:hAnsi="Times New Roman" w:cs="Times New Roman"/>
          <w:i/>
          <w:iCs/>
          <w:noProof/>
        </w:rPr>
        <w:t>76</w:t>
      </w:r>
      <w:r w:rsidRPr="00574B06">
        <w:rPr>
          <w:rFonts w:ascii="Times New Roman" w:hAnsi="Times New Roman" w:cs="Times New Roman"/>
          <w:noProof/>
        </w:rPr>
        <w:t>(1), 191–203. http://doi.org/10.2307/1804790</w:t>
      </w:r>
    </w:p>
    <w:p w14:paraId="2000786B"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Scully, G. W. (1995). The “growth tax” in the United States. </w:t>
      </w:r>
      <w:r w:rsidRPr="00574B06">
        <w:rPr>
          <w:rFonts w:ascii="Times New Roman" w:hAnsi="Times New Roman" w:cs="Times New Roman"/>
          <w:i/>
          <w:iCs/>
          <w:noProof/>
        </w:rPr>
        <w:t>Public Choice</w:t>
      </w:r>
      <w:r w:rsidRPr="00574B06">
        <w:rPr>
          <w:rFonts w:ascii="Times New Roman" w:hAnsi="Times New Roman" w:cs="Times New Roman"/>
          <w:noProof/>
        </w:rPr>
        <w:t xml:space="preserve">, </w:t>
      </w:r>
      <w:r w:rsidRPr="00574B06">
        <w:rPr>
          <w:rFonts w:ascii="Times New Roman" w:hAnsi="Times New Roman" w:cs="Times New Roman"/>
          <w:i/>
          <w:iCs/>
          <w:noProof/>
        </w:rPr>
        <w:t>85</w:t>
      </w:r>
      <w:r w:rsidRPr="00574B06">
        <w:rPr>
          <w:rFonts w:ascii="Times New Roman" w:hAnsi="Times New Roman" w:cs="Times New Roman"/>
          <w:noProof/>
        </w:rPr>
        <w:t>(1–2), 71–80. http://doi.org/10.1007/BF01047902</w:t>
      </w:r>
    </w:p>
    <w:p w14:paraId="4D1868F4"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Scully, G. W. (1996). Taxation and Economic Growth in New Zealand. </w:t>
      </w:r>
      <w:r w:rsidRPr="00574B06">
        <w:rPr>
          <w:rFonts w:ascii="Times New Roman" w:hAnsi="Times New Roman" w:cs="Times New Roman"/>
          <w:i/>
          <w:iCs/>
          <w:noProof/>
        </w:rPr>
        <w:t>Pacific Economic Review</w:t>
      </w:r>
      <w:r w:rsidRPr="00574B06">
        <w:rPr>
          <w:rFonts w:ascii="Times New Roman" w:hAnsi="Times New Roman" w:cs="Times New Roman"/>
          <w:noProof/>
        </w:rPr>
        <w:t xml:space="preserve">, </w:t>
      </w:r>
      <w:r w:rsidRPr="00574B06">
        <w:rPr>
          <w:rFonts w:ascii="Times New Roman" w:hAnsi="Times New Roman" w:cs="Times New Roman"/>
          <w:i/>
          <w:iCs/>
          <w:noProof/>
        </w:rPr>
        <w:t>1</w:t>
      </w:r>
      <w:r w:rsidRPr="00574B06">
        <w:rPr>
          <w:rFonts w:ascii="Times New Roman" w:hAnsi="Times New Roman" w:cs="Times New Roman"/>
          <w:noProof/>
        </w:rPr>
        <w:t>(2), 169–177.</w:t>
      </w:r>
    </w:p>
    <w:p w14:paraId="3C7F2871"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Scully, G. W. (2000). The Growth-maximizing Tax Rate. </w:t>
      </w:r>
      <w:r w:rsidRPr="00574B06">
        <w:rPr>
          <w:rFonts w:ascii="Times New Roman" w:hAnsi="Times New Roman" w:cs="Times New Roman"/>
          <w:i/>
          <w:iCs/>
          <w:noProof/>
        </w:rPr>
        <w:t>Pacific Economic Review</w:t>
      </w:r>
      <w:r w:rsidRPr="00574B06">
        <w:rPr>
          <w:rFonts w:ascii="Times New Roman" w:hAnsi="Times New Roman" w:cs="Times New Roman"/>
          <w:noProof/>
        </w:rPr>
        <w:t xml:space="preserve">, </w:t>
      </w:r>
      <w:r w:rsidRPr="00574B06">
        <w:rPr>
          <w:rFonts w:ascii="Times New Roman" w:hAnsi="Times New Roman" w:cs="Times New Roman"/>
          <w:i/>
          <w:iCs/>
          <w:noProof/>
        </w:rPr>
        <w:t>5</w:t>
      </w:r>
      <w:r w:rsidRPr="00574B06">
        <w:rPr>
          <w:rFonts w:ascii="Times New Roman" w:hAnsi="Times New Roman" w:cs="Times New Roman"/>
          <w:noProof/>
        </w:rPr>
        <w:t>(1), 93–96. http://doi.org/10.1111/1468-0106.00091</w:t>
      </w:r>
    </w:p>
    <w:p w14:paraId="753F3BAF"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Scully, G. W. (2001). Government Expenditure and Quality of Life. </w:t>
      </w:r>
      <w:r w:rsidRPr="00574B06">
        <w:rPr>
          <w:rFonts w:ascii="Times New Roman" w:hAnsi="Times New Roman" w:cs="Times New Roman"/>
          <w:i/>
          <w:iCs/>
          <w:noProof/>
        </w:rPr>
        <w:t>Public Choice</w:t>
      </w:r>
      <w:r w:rsidRPr="00574B06">
        <w:rPr>
          <w:rFonts w:ascii="Times New Roman" w:hAnsi="Times New Roman" w:cs="Times New Roman"/>
          <w:noProof/>
        </w:rPr>
        <w:t xml:space="preserve">, </w:t>
      </w:r>
      <w:r w:rsidRPr="00574B06">
        <w:rPr>
          <w:rFonts w:ascii="Times New Roman" w:hAnsi="Times New Roman" w:cs="Times New Roman"/>
          <w:i/>
          <w:iCs/>
          <w:noProof/>
        </w:rPr>
        <w:t>108</w:t>
      </w:r>
      <w:r w:rsidRPr="00574B06">
        <w:rPr>
          <w:rFonts w:ascii="Times New Roman" w:hAnsi="Times New Roman" w:cs="Times New Roman"/>
          <w:noProof/>
        </w:rPr>
        <w:t>(1/2), 123–145. http://doi.org/10.1023/A:1017518926640</w:t>
      </w:r>
    </w:p>
    <w:p w14:paraId="15E1911A"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Scully, G. W. (2003). Optimal taxation , economic growth and income inequality. </w:t>
      </w:r>
      <w:r w:rsidRPr="00574B06">
        <w:rPr>
          <w:rFonts w:ascii="Times New Roman" w:hAnsi="Times New Roman" w:cs="Times New Roman"/>
          <w:i/>
          <w:iCs/>
          <w:noProof/>
        </w:rPr>
        <w:t>Public Choice</w:t>
      </w:r>
      <w:r w:rsidRPr="00574B06">
        <w:rPr>
          <w:rFonts w:ascii="Times New Roman" w:hAnsi="Times New Roman" w:cs="Times New Roman"/>
          <w:noProof/>
        </w:rPr>
        <w:t xml:space="preserve">, </w:t>
      </w:r>
      <w:r w:rsidRPr="00574B06">
        <w:rPr>
          <w:rFonts w:ascii="Times New Roman" w:hAnsi="Times New Roman" w:cs="Times New Roman"/>
          <w:i/>
          <w:iCs/>
          <w:noProof/>
        </w:rPr>
        <w:t>115</w:t>
      </w:r>
      <w:r w:rsidRPr="00574B06">
        <w:rPr>
          <w:rFonts w:ascii="Times New Roman" w:hAnsi="Times New Roman" w:cs="Times New Roman"/>
          <w:noProof/>
        </w:rPr>
        <w:t>(3/4), 299–312. http://doi.org/10.1023/A:1024223916710</w:t>
      </w:r>
    </w:p>
    <w:p w14:paraId="098854E9"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lang w:val="pt-BR"/>
        </w:rPr>
      </w:pPr>
      <w:r w:rsidRPr="00574B06">
        <w:rPr>
          <w:rFonts w:ascii="Times New Roman" w:hAnsi="Times New Roman" w:cs="Times New Roman"/>
          <w:noProof/>
        </w:rPr>
        <w:t xml:space="preserve">Shikida, C. D., Araujo Jr., A. F. de, &amp; Hillbrecht, R. O. (2005). Public Vices, Private Serfdom? Comments on the Optimal Size of the Brazilian State. </w:t>
      </w:r>
      <w:r w:rsidRPr="00574B06">
        <w:rPr>
          <w:rFonts w:ascii="Times New Roman" w:hAnsi="Times New Roman" w:cs="Times New Roman"/>
          <w:i/>
          <w:iCs/>
          <w:noProof/>
        </w:rPr>
        <w:t xml:space="preserve">RBEE. </w:t>
      </w:r>
      <w:r w:rsidRPr="00574B06">
        <w:rPr>
          <w:rFonts w:ascii="Times New Roman" w:hAnsi="Times New Roman" w:cs="Times New Roman"/>
          <w:i/>
          <w:iCs/>
          <w:noProof/>
          <w:lang w:val="pt-BR"/>
        </w:rPr>
        <w:t>Revista Brasileira de Economia de Empresas</w:t>
      </w:r>
      <w:r w:rsidRPr="00574B06">
        <w:rPr>
          <w:rFonts w:ascii="Times New Roman" w:hAnsi="Times New Roman" w:cs="Times New Roman"/>
          <w:noProof/>
          <w:lang w:val="pt-BR"/>
        </w:rPr>
        <w:t xml:space="preserve">, </w:t>
      </w:r>
      <w:r w:rsidRPr="00574B06">
        <w:rPr>
          <w:rFonts w:ascii="Times New Roman" w:hAnsi="Times New Roman" w:cs="Times New Roman"/>
          <w:i/>
          <w:iCs/>
          <w:noProof/>
          <w:lang w:val="pt-BR"/>
        </w:rPr>
        <w:t>5</w:t>
      </w:r>
      <w:r w:rsidRPr="00574B06">
        <w:rPr>
          <w:rFonts w:ascii="Times New Roman" w:hAnsi="Times New Roman" w:cs="Times New Roman"/>
          <w:noProof/>
          <w:lang w:val="pt-BR"/>
        </w:rPr>
        <w:t>(2), 21–35. Retrieved from 16768000</w:t>
      </w:r>
    </w:p>
    <w:p w14:paraId="4E2E268A"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lang w:val="pt-BR"/>
        </w:rPr>
        <w:t xml:space="preserve">Smith, A. (1904). </w:t>
      </w:r>
      <w:r w:rsidRPr="00574B06">
        <w:rPr>
          <w:rFonts w:ascii="Times New Roman" w:hAnsi="Times New Roman" w:cs="Times New Roman"/>
          <w:noProof/>
        </w:rPr>
        <w:t>An Inquiry into the Nature and Causes of the Wealth of Nations. Retrieved from http://www.econlib.org/library/Smith/smWN20.html</w:t>
      </w:r>
    </w:p>
    <w:p w14:paraId="5B89694D"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lang w:val="pt-BR"/>
        </w:rPr>
      </w:pPr>
      <w:r w:rsidRPr="00574B06">
        <w:rPr>
          <w:rFonts w:ascii="Times New Roman" w:hAnsi="Times New Roman" w:cs="Times New Roman"/>
          <w:noProof/>
        </w:rPr>
        <w:t xml:space="preserve">Tavares Bastos, A. C. (1863). </w:t>
      </w:r>
      <w:r w:rsidRPr="00574B06">
        <w:rPr>
          <w:rFonts w:ascii="Times New Roman" w:hAnsi="Times New Roman" w:cs="Times New Roman"/>
          <w:i/>
          <w:iCs/>
          <w:noProof/>
          <w:lang w:val="pt-BR"/>
        </w:rPr>
        <w:t>Cartas do Solitário</w:t>
      </w:r>
      <w:r w:rsidRPr="00574B06">
        <w:rPr>
          <w:rFonts w:ascii="Times New Roman" w:hAnsi="Times New Roman" w:cs="Times New Roman"/>
          <w:noProof/>
          <w:lang w:val="pt-BR"/>
        </w:rPr>
        <w:t xml:space="preserve"> (2nd ed.). Rio de Janeiro: Typgrafia da Actualidade.</w:t>
      </w:r>
    </w:p>
    <w:p w14:paraId="4199A1C3"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Turan, T. (2014). Optimal Size of Government in Turkey. </w:t>
      </w:r>
      <w:r w:rsidRPr="00574B06">
        <w:rPr>
          <w:rFonts w:ascii="Times New Roman" w:hAnsi="Times New Roman" w:cs="Times New Roman"/>
          <w:i/>
          <w:iCs/>
          <w:noProof/>
        </w:rPr>
        <w:t>International Journal of Economics and Financial Issues</w:t>
      </w:r>
      <w:r w:rsidRPr="00574B06">
        <w:rPr>
          <w:rFonts w:ascii="Times New Roman" w:hAnsi="Times New Roman" w:cs="Times New Roman"/>
          <w:noProof/>
        </w:rPr>
        <w:t xml:space="preserve">, </w:t>
      </w:r>
      <w:r w:rsidRPr="00574B06">
        <w:rPr>
          <w:rFonts w:ascii="Times New Roman" w:hAnsi="Times New Roman" w:cs="Times New Roman"/>
          <w:i/>
          <w:iCs/>
          <w:noProof/>
        </w:rPr>
        <w:t>4</w:t>
      </w:r>
      <w:r w:rsidRPr="00574B06">
        <w:rPr>
          <w:rFonts w:ascii="Times New Roman" w:hAnsi="Times New Roman" w:cs="Times New Roman"/>
          <w:noProof/>
        </w:rPr>
        <w:t>(2), 286–294.</w:t>
      </w:r>
    </w:p>
    <w:p w14:paraId="3DDF9A2B"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Vedder, R., &amp; Gallaway, L. (1991). The war between the rent seekers. </w:t>
      </w:r>
      <w:r w:rsidRPr="00574B06">
        <w:rPr>
          <w:rFonts w:ascii="Times New Roman" w:hAnsi="Times New Roman" w:cs="Times New Roman"/>
          <w:i/>
          <w:iCs/>
          <w:noProof/>
        </w:rPr>
        <w:t>Public Choice</w:t>
      </w:r>
      <w:r w:rsidRPr="00574B06">
        <w:rPr>
          <w:rFonts w:ascii="Times New Roman" w:hAnsi="Times New Roman" w:cs="Times New Roman"/>
          <w:noProof/>
        </w:rPr>
        <w:t xml:space="preserve">, </w:t>
      </w:r>
      <w:r w:rsidRPr="00574B06">
        <w:rPr>
          <w:rFonts w:ascii="Times New Roman" w:hAnsi="Times New Roman" w:cs="Times New Roman"/>
          <w:i/>
          <w:iCs/>
          <w:noProof/>
        </w:rPr>
        <w:t>68</w:t>
      </w:r>
      <w:r w:rsidRPr="00574B06">
        <w:rPr>
          <w:rFonts w:ascii="Times New Roman" w:hAnsi="Times New Roman" w:cs="Times New Roman"/>
          <w:noProof/>
        </w:rPr>
        <w:t>, 283–289.</w:t>
      </w:r>
    </w:p>
    <w:p w14:paraId="462A45C7"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Vedder, R. K., &amp; Gallaway, L. E. (1998). Government Size and Economic Growth.</w:t>
      </w:r>
    </w:p>
    <w:p w14:paraId="5EC3BB2F"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Weingast, B. R. (2009). Second generation fiscal federalism: The implications of fiscal incentives. </w:t>
      </w:r>
      <w:r w:rsidRPr="00574B06">
        <w:rPr>
          <w:rFonts w:ascii="Times New Roman" w:hAnsi="Times New Roman" w:cs="Times New Roman"/>
          <w:i/>
          <w:iCs/>
          <w:noProof/>
        </w:rPr>
        <w:t>Journal of Urban Economics</w:t>
      </w:r>
      <w:r w:rsidRPr="00574B06">
        <w:rPr>
          <w:rFonts w:ascii="Times New Roman" w:hAnsi="Times New Roman" w:cs="Times New Roman"/>
          <w:noProof/>
        </w:rPr>
        <w:t xml:space="preserve">, </w:t>
      </w:r>
      <w:r w:rsidRPr="00574B06">
        <w:rPr>
          <w:rFonts w:ascii="Times New Roman" w:hAnsi="Times New Roman" w:cs="Times New Roman"/>
          <w:i/>
          <w:iCs/>
          <w:noProof/>
        </w:rPr>
        <w:t>65</w:t>
      </w:r>
      <w:r w:rsidRPr="00574B06">
        <w:rPr>
          <w:rFonts w:ascii="Times New Roman" w:hAnsi="Times New Roman" w:cs="Times New Roman"/>
          <w:noProof/>
        </w:rPr>
        <w:t>(3), 279–293. http://doi.org/10.1016/j.jue.2008.12.005</w:t>
      </w:r>
    </w:p>
    <w:p w14:paraId="15F0D664"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Weingast, B. R. (2014). Second Generation Fiscal Federalism: Political Aspects of Decentralization and Economic Development. </w:t>
      </w:r>
      <w:r w:rsidRPr="00574B06">
        <w:rPr>
          <w:rFonts w:ascii="Times New Roman" w:hAnsi="Times New Roman" w:cs="Times New Roman"/>
          <w:i/>
          <w:iCs/>
          <w:noProof/>
        </w:rPr>
        <w:t>World Development</w:t>
      </w:r>
      <w:r w:rsidRPr="00574B06">
        <w:rPr>
          <w:rFonts w:ascii="Times New Roman" w:hAnsi="Times New Roman" w:cs="Times New Roman"/>
          <w:noProof/>
        </w:rPr>
        <w:t xml:space="preserve">, </w:t>
      </w:r>
      <w:r w:rsidRPr="00574B06">
        <w:rPr>
          <w:rFonts w:ascii="Times New Roman" w:hAnsi="Times New Roman" w:cs="Times New Roman"/>
          <w:i/>
          <w:iCs/>
          <w:noProof/>
        </w:rPr>
        <w:t>53</w:t>
      </w:r>
      <w:r w:rsidRPr="00574B06">
        <w:rPr>
          <w:rFonts w:ascii="Times New Roman" w:hAnsi="Times New Roman" w:cs="Times New Roman"/>
          <w:noProof/>
        </w:rPr>
        <w:t>, 14–25. http://doi.org/10.1016/j.worlddev.2013.01.003</w:t>
      </w:r>
    </w:p>
    <w:p w14:paraId="535D6569"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Weingast, B. R., Shepsle, K. A., &amp; Johnsen, C. (1981). The Political-Economy of Benefits and Costs - a Neoclassical Approach to Distributive Politics. </w:t>
      </w:r>
      <w:r w:rsidRPr="00574B06">
        <w:rPr>
          <w:rFonts w:ascii="Times New Roman" w:hAnsi="Times New Roman" w:cs="Times New Roman"/>
          <w:i/>
          <w:iCs/>
          <w:noProof/>
        </w:rPr>
        <w:t>Journal of Political Economy</w:t>
      </w:r>
      <w:r w:rsidRPr="00574B06">
        <w:rPr>
          <w:rFonts w:ascii="Times New Roman" w:hAnsi="Times New Roman" w:cs="Times New Roman"/>
          <w:noProof/>
        </w:rPr>
        <w:t xml:space="preserve">, </w:t>
      </w:r>
      <w:r w:rsidRPr="00574B06">
        <w:rPr>
          <w:rFonts w:ascii="Times New Roman" w:hAnsi="Times New Roman" w:cs="Times New Roman"/>
          <w:i/>
          <w:iCs/>
          <w:noProof/>
        </w:rPr>
        <w:t>89</w:t>
      </w:r>
      <w:r w:rsidRPr="00574B06">
        <w:rPr>
          <w:rFonts w:ascii="Times New Roman" w:hAnsi="Times New Roman" w:cs="Times New Roman"/>
          <w:noProof/>
        </w:rPr>
        <w:t>(4), 642–664.</w:t>
      </w:r>
    </w:p>
    <w:p w14:paraId="410857FE" w14:textId="77777777" w:rsidR="00265BDE" w:rsidRPr="00574B06" w:rsidRDefault="00265BDE" w:rsidP="009E2740">
      <w:pPr>
        <w:widowControl w:val="0"/>
        <w:autoSpaceDE w:val="0"/>
        <w:autoSpaceDN w:val="0"/>
        <w:adjustRightInd w:val="0"/>
        <w:spacing w:after="0" w:line="240" w:lineRule="auto"/>
        <w:ind w:left="480" w:hanging="480"/>
        <w:rPr>
          <w:rFonts w:ascii="Times New Roman" w:hAnsi="Times New Roman" w:cs="Times New Roman"/>
          <w:noProof/>
        </w:rPr>
      </w:pPr>
      <w:r w:rsidRPr="00574B06">
        <w:rPr>
          <w:rFonts w:ascii="Times New Roman" w:hAnsi="Times New Roman" w:cs="Times New Roman"/>
          <w:noProof/>
        </w:rPr>
        <w:t xml:space="preserve">Zeileis, A. (2000). </w:t>
      </w:r>
      <w:r w:rsidRPr="00574B06">
        <w:rPr>
          <w:rFonts w:ascii="Times New Roman" w:hAnsi="Times New Roman" w:cs="Times New Roman"/>
          <w:i/>
          <w:iCs/>
          <w:noProof/>
        </w:rPr>
        <w:t>P-Values and Alternative Boundaries for CUSUM Tests.</w:t>
      </w:r>
      <w:r w:rsidRPr="00574B06">
        <w:rPr>
          <w:rFonts w:ascii="Times New Roman" w:hAnsi="Times New Roman" w:cs="Times New Roman"/>
          <w:noProof/>
        </w:rPr>
        <w:t xml:space="preserve"> (No. 78).</w:t>
      </w:r>
    </w:p>
    <w:p w14:paraId="006C7C32" w14:textId="09CB2F3F" w:rsidR="00A778C5" w:rsidRPr="00574B06" w:rsidRDefault="00D26BE9" w:rsidP="009E2740">
      <w:pPr>
        <w:widowControl w:val="0"/>
        <w:autoSpaceDE w:val="0"/>
        <w:autoSpaceDN w:val="0"/>
        <w:adjustRightInd w:val="0"/>
        <w:spacing w:after="0" w:line="240" w:lineRule="auto"/>
        <w:ind w:left="480" w:hanging="480"/>
        <w:rPr>
          <w:rFonts w:ascii="Times New Roman" w:hAnsi="Times New Roman" w:cs="Times New Roman"/>
        </w:rPr>
      </w:pPr>
      <w:r w:rsidRPr="00574B06">
        <w:rPr>
          <w:rFonts w:ascii="Times New Roman" w:hAnsi="Times New Roman" w:cs="Times New Roman"/>
          <w:lang w:val="pt-BR"/>
        </w:rPr>
        <w:fldChar w:fldCharType="end"/>
      </w:r>
    </w:p>
    <w:sectPr w:rsidR="00A778C5" w:rsidRPr="00574B06" w:rsidSect="00047893">
      <w:footerReference w:type="default" r:id="rId57"/>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E57D1" w14:textId="77777777" w:rsidR="00BA043A" w:rsidRDefault="00BA043A" w:rsidP="00427551">
      <w:pPr>
        <w:spacing w:after="0" w:line="240" w:lineRule="auto"/>
      </w:pPr>
      <w:r>
        <w:separator/>
      </w:r>
    </w:p>
  </w:endnote>
  <w:endnote w:type="continuationSeparator" w:id="0">
    <w:p w14:paraId="57D657F2" w14:textId="77777777" w:rsidR="00BA043A" w:rsidRDefault="00BA043A" w:rsidP="00427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179641"/>
      <w:docPartObj>
        <w:docPartGallery w:val="Page Numbers (Bottom of Page)"/>
        <w:docPartUnique/>
      </w:docPartObj>
    </w:sdtPr>
    <w:sdtEndPr>
      <w:rPr>
        <w:noProof/>
      </w:rPr>
    </w:sdtEndPr>
    <w:sdtContent>
      <w:p w14:paraId="6A032E95" w14:textId="77777777" w:rsidR="00380DF3" w:rsidRDefault="00380DF3">
        <w:pPr>
          <w:pStyle w:val="Footer"/>
          <w:jc w:val="right"/>
        </w:pPr>
        <w:r>
          <w:fldChar w:fldCharType="begin"/>
        </w:r>
        <w:r>
          <w:instrText xml:space="preserve"> PAGE   \* MERGEFORMAT </w:instrText>
        </w:r>
        <w:r>
          <w:fldChar w:fldCharType="separate"/>
        </w:r>
        <w:r w:rsidR="005F795E">
          <w:rPr>
            <w:noProof/>
          </w:rPr>
          <w:t>4</w:t>
        </w:r>
        <w:r>
          <w:rPr>
            <w:noProof/>
          </w:rPr>
          <w:fldChar w:fldCharType="end"/>
        </w:r>
      </w:p>
    </w:sdtContent>
  </w:sdt>
  <w:p w14:paraId="171EFB59" w14:textId="77777777" w:rsidR="00380DF3" w:rsidRDefault="00380D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E62CF" w14:textId="77777777" w:rsidR="00BA043A" w:rsidRDefault="00BA043A" w:rsidP="00427551">
      <w:pPr>
        <w:spacing w:after="0" w:line="240" w:lineRule="auto"/>
      </w:pPr>
      <w:r>
        <w:separator/>
      </w:r>
    </w:p>
  </w:footnote>
  <w:footnote w:type="continuationSeparator" w:id="0">
    <w:p w14:paraId="04951286" w14:textId="77777777" w:rsidR="00BA043A" w:rsidRDefault="00BA043A" w:rsidP="00427551">
      <w:pPr>
        <w:spacing w:after="0" w:line="240" w:lineRule="auto"/>
      </w:pPr>
      <w:r>
        <w:continuationSeparator/>
      </w:r>
    </w:p>
  </w:footnote>
  <w:footnote w:id="1">
    <w:p w14:paraId="2F945A9E" w14:textId="753A7A01" w:rsidR="00380DF3" w:rsidRPr="009E2740" w:rsidRDefault="00380DF3">
      <w:pPr>
        <w:pStyle w:val="FootnoteText"/>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00007F11">
        <w:rPr>
          <w:rFonts w:ascii="Times New Roman" w:hAnsi="Times New Roman" w:cs="Times New Roman"/>
          <w:sz w:val="20"/>
          <w:szCs w:val="20"/>
        </w:rPr>
        <w:t xml:space="preserve"> Utiliza-se o termo</w:t>
      </w:r>
      <w:r w:rsidRPr="009E2740">
        <w:rPr>
          <w:rFonts w:ascii="Times New Roman" w:hAnsi="Times New Roman" w:cs="Times New Roman"/>
          <w:sz w:val="20"/>
          <w:szCs w:val="20"/>
        </w:rPr>
        <w:t xml:space="preserve"> “governo” e “estado” como sinônimos.</w:t>
      </w:r>
    </w:p>
  </w:footnote>
  <w:footnote w:id="2">
    <w:p w14:paraId="3A837963" w14:textId="77325FF5" w:rsidR="00380DF3" w:rsidRPr="006E2A60" w:rsidRDefault="00380DF3" w:rsidP="000A6CD9">
      <w:pPr>
        <w:pStyle w:val="FootnoteText"/>
        <w:jc w:val="both"/>
        <w:rPr>
          <w:rFonts w:ascii="Book Antiqua" w:hAnsi="Book Antiqua"/>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"DOI" : "10.2307/20111950", "ISSN" : "0038-4038", "abstract" : "In the quarter century since the publication of Mancur Olson's Rise and Decline of Nations, a large literature has evolved testing the central hypothesis regarding Olson's thesis on institutional sclerosis. These tests have taken the form of both econometric regression analysis involving a sample of various nations and detailed narrative case studies of specific nations. Tests have appeared in both economics and political science journals as well as in collected volumes and independent books, performed primarily by authors from America and Europe. A review of over 50 separate works reveals that, on the whole, the theory of institutional sclerosis is generally but certainly not universally supported. No systematic bias in favor of or opposition to Olson is found to have arisen on the basis of methodology, publication outlet, or authorship location.", "author" : [ { "dropping-particle" : "", "family" : "Heckelman", "given" : "Jac C", "non-dropping-particle" : "", "parse-names" : false, "suffix" : "" } ], "container-title" : "Southern Economic Journal", "id" : "ITEM-1", "issue" : "1", "issued" : { "date-parts" : [ [ "2007" ] ] }, "page" : "18-33", "title" : "Explaining the rain: The Rise and Decline of Nations after 25 years", "type" : "article-journal", "volume" : "74" }, "uris" : [ "http://www.mendeley.com/documents/?uuid=dd021ed5-0750-4a6a-8929-1050ed325b5c" ] } ], "mendeley" : { "formattedCitation" : "(Heckelman, 2007)", "plainTextFormattedCitation" : "(Heckelman, 2007)", "previouslyFormattedCitation" : "(Heckelman, 2007)"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(Heckelman, 2007)</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é uma boa resenha sobre os trabalhos que buscaram evidências para a hipótese da esclerose institucional.</w:t>
      </w:r>
    </w:p>
  </w:footnote>
  <w:footnote w:id="3">
    <w:p w14:paraId="50F4E432" w14:textId="19136D6B" w:rsidR="00380DF3" w:rsidRPr="009E2740" w:rsidRDefault="00380DF3" w:rsidP="000A6CD9">
      <w:pPr>
        <w:pStyle w:val="FootnoteText"/>
        <w:jc w:val="both"/>
        <w:rPr>
          <w:rFonts w:ascii="Times New Roman" w:hAnsi="Times New Roman" w:cs="Times New Roman"/>
          <w:sz w:val="20"/>
          <w:szCs w:val="20"/>
          <w:lang w:val="en-US"/>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O termo “ideologia” é usado neste artigo como sinônimo do conceito de </w:t>
      </w:r>
      <w:r w:rsidRPr="009E2740">
        <w:rPr>
          <w:rFonts w:ascii="Times New Roman" w:hAnsi="Times New Roman" w:cs="Times New Roman"/>
          <w:i/>
          <w:sz w:val="20"/>
          <w:szCs w:val="20"/>
        </w:rPr>
        <w:t xml:space="preserve">crenças centrais </w:t>
      </w:r>
      <w:r w:rsidRPr="009E2740">
        <w:rPr>
          <w:rFonts w:ascii="Times New Roman" w:hAnsi="Times New Roman" w:cs="Times New Roman"/>
          <w:sz w:val="20"/>
          <w:szCs w:val="20"/>
        </w:rPr>
        <w:t>(</w:t>
      </w:r>
      <w:r w:rsidRPr="009E2740">
        <w:rPr>
          <w:rFonts w:ascii="Times New Roman" w:hAnsi="Times New Roman" w:cs="Times New Roman"/>
          <w:i/>
          <w:sz w:val="20"/>
          <w:szCs w:val="20"/>
        </w:rPr>
        <w:t>core</w:t>
      </w:r>
      <w:r w:rsidRPr="009E2740">
        <w:rPr>
          <w:rFonts w:ascii="Times New Roman" w:hAnsi="Times New Roman" w:cs="Times New Roman"/>
          <w:sz w:val="20"/>
          <w:szCs w:val="20"/>
        </w:rPr>
        <w:t xml:space="preserve"> </w:t>
      </w:r>
      <w:r w:rsidRPr="009E2740">
        <w:rPr>
          <w:rFonts w:ascii="Times New Roman" w:hAnsi="Times New Roman" w:cs="Times New Roman"/>
          <w:i/>
          <w:sz w:val="20"/>
          <w:szCs w:val="20"/>
        </w:rPr>
        <w:t>beliefs</w:t>
      </w:r>
      <w:r w:rsidRPr="009E2740">
        <w:rPr>
          <w:rFonts w:ascii="Times New Roman" w:hAnsi="Times New Roman" w:cs="Times New Roman"/>
          <w:sz w:val="20"/>
          <w:szCs w:val="20"/>
        </w:rPr>
        <w:t xml:space="preserve">) tal como definido em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"ISBN" : "9780691162911", "author" : [ { "dropping-particle" : "", "family" : "Alston", "given" : "Lee J.", "non-dropping-particle" : "", "parse-names" : false, "suffix" : "" }, { "dropping-particle" : "", "family" : "Melo", "given" : "Marcus Andr\u00e9", "non-dropping-particle" : "", "parse-names" : false, "suffix" : "" }, { "dropping-particle" : "", "family" : "Mueller", "given" : "Bernardo", "non-dropping-particle" : "", "parse-names" : false, "suffix" : "" }, { "dropping-particle" : "", "family" : "Pereira", "given" : "Carlos", "non-dropping-particle" : "", "parse-names" : false, "suffix" : "" } ], "id" : "ITEM-1", "issued" : { "date-parts" : [ [ "2016" ] ] }, "number-of-pages" : "280", "publisher" : "Princeton University Press", "publisher-place" : "Princeton", "title" : "Brazil in transition: beliefs, leadership, and institutional change", "type" : "book" }, "uris" : [ "http://www.mendeley.com/documents/?uuid=44daa548-1349-3ba9-8ead-07e61fc0c1df" ] } ], "mendeley" : { "formattedCitation" : "(Alston et al., 2016)", "plainTextFormattedCitation" : "(Alston et al., 2016)", "previouslyFormattedCitation" : "(Alston et al., 2016)"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(Alston et al., 2016)</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w:t>
      </w:r>
      <w:r w:rsidRPr="009E2740">
        <w:rPr>
          <w:rFonts w:ascii="Times New Roman" w:hAnsi="Times New Roman" w:cs="Times New Roman"/>
          <w:i/>
          <w:sz w:val="20"/>
          <w:szCs w:val="20"/>
        </w:rPr>
        <w:t>“</w:t>
      </w:r>
      <w:r w:rsidRPr="009E2740">
        <w:rPr>
          <w:rFonts w:ascii="Times New Roman" w:hAnsi="Times New Roman" w:cs="Times New Roman"/>
          <w:sz w:val="20"/>
          <w:szCs w:val="20"/>
        </w:rPr>
        <w:t xml:space="preserve">We label the set of perceived impacts of formal laws (a subset of institutions) on outcome as core </w:t>
      </w:r>
      <w:r w:rsidRPr="009E2740">
        <w:rPr>
          <w:rFonts w:ascii="Times New Roman" w:hAnsi="Times New Roman" w:cs="Times New Roman"/>
          <w:i/>
          <w:sz w:val="20"/>
          <w:szCs w:val="20"/>
        </w:rPr>
        <w:t>beliefs</w:t>
      </w:r>
      <w:r w:rsidRPr="009E2740">
        <w:rPr>
          <w:rFonts w:ascii="Times New Roman" w:hAnsi="Times New Roman" w:cs="Times New Roman"/>
          <w:sz w:val="20"/>
          <w:szCs w:val="20"/>
        </w:rPr>
        <w:t xml:space="preserve"> (…). </w:t>
      </w:r>
      <w:r w:rsidRPr="009E2740">
        <w:rPr>
          <w:rFonts w:ascii="Times New Roman" w:hAnsi="Times New Roman" w:cs="Times New Roman"/>
          <w:sz w:val="20"/>
          <w:szCs w:val="20"/>
          <w:lang w:val="en-US"/>
        </w:rPr>
        <w:t>The beliefs about how the world works guide the choices of the dominant network over which institutions to put in place to most likely get their desired outcomes. In equilibrium, institutions must be consistent with the beliefs of those in the dominant network and in representative democracies with the majority of citizens”. [</w:t>
      </w:r>
      <w:r w:rsidRPr="009E2740">
        <w:rPr>
          <w:rFonts w:ascii="Times New Roman" w:hAnsi="Times New Roman" w:cs="Times New Roman"/>
          <w:sz w:val="20"/>
          <w:szCs w:val="20"/>
          <w:lang w:val="en-US"/>
        </w:rPr>
        <w:fldChar w:fldCharType="begin" w:fldLock="1"/>
      </w:r>
      <w:r w:rsidRPr="009E2740">
        <w:rPr>
          <w:rFonts w:ascii="Times New Roman" w:hAnsi="Times New Roman" w:cs="Times New Roman"/>
          <w:sz w:val="20"/>
          <w:szCs w:val="20"/>
          <w:lang w:val="en-US"/>
        </w:rPr>
        <w:instrText>ADDIN CSL_CITATION { "citationItems" : [ { "id" : "ITEM-1", "itemData" : { "ISBN" : "9780691162911", "author" : [ { "dropping-particle" : "", "family" : "Alston", "given" : "Lee J.", "non-dropping-particle" : "", "parse-names" : false, "suffix" : "" }, { "dropping-particle" : "", "family" : "Melo", "given" : "Marcus Andr\u00e9", "non-dropping-particle" : "", "parse-names" : false, "suffix" : "" }, { "dropping-particle" : "", "family" : "Mueller", "given" : "Bernardo", "non-dropping-particle" : "", "parse-names" : false, "suffix" : "" }, { "dropping-particle" : "", "family" : "Pereira", "given" : "Carlos", "non-dropping-particle" : "", "parse-names" : false, "suffix" : "" } ], "id" : "ITEM-1", "issued" : { "date-parts" : [ [ "2016" ] ] }, "number-of-pages" : "280", "publisher" : "Princeton University Press", "publisher-place" : "Princeton", "title" : "Brazil in transition: beliefs, leadership, and institutional change", "type" : "book" }, "uris" : [ "http://www.mendeley.com/documents/?uuid=44daa548-1349-3ba9-8ead-07e61fc0c1df" ] } ], "mendeley" : { "formattedCitation" : "(Alston et al., 2016)", "plainTextFormattedCitation" : "(Alston et al., 2016)", "previouslyFormattedCitation" : "(Alston et al., 2016)" }, "properties" : { "noteIndex" : 0 }, "schema" : "https://github.com/citation-style-language/schema/raw/master/csl-citation.json" }</w:instrText>
      </w:r>
      <w:r w:rsidRPr="009E2740">
        <w:rPr>
          <w:rFonts w:ascii="Times New Roman" w:hAnsi="Times New Roman" w:cs="Times New Roman"/>
          <w:sz w:val="20"/>
          <w:szCs w:val="20"/>
          <w:lang w:val="en-US"/>
        </w:rPr>
        <w:fldChar w:fldCharType="separate"/>
      </w:r>
      <w:r w:rsidRPr="009E2740">
        <w:rPr>
          <w:rFonts w:ascii="Times New Roman" w:hAnsi="Times New Roman" w:cs="Times New Roman"/>
          <w:noProof/>
          <w:sz w:val="20"/>
          <w:szCs w:val="20"/>
          <w:lang w:val="en-US"/>
        </w:rPr>
        <w:t>(Alston et al., 2016)</w:t>
      </w:r>
      <w:r w:rsidRPr="009E2740">
        <w:rPr>
          <w:rFonts w:ascii="Times New Roman" w:hAnsi="Times New Roman" w:cs="Times New Roman"/>
          <w:sz w:val="20"/>
          <w:szCs w:val="20"/>
          <w:lang w:val="en-US"/>
        </w:rPr>
        <w:fldChar w:fldCharType="end"/>
      </w:r>
      <w:r w:rsidRPr="009E2740">
        <w:rPr>
          <w:rFonts w:ascii="Times New Roman" w:hAnsi="Times New Roman" w:cs="Times New Roman"/>
          <w:sz w:val="20"/>
          <w:szCs w:val="20"/>
          <w:lang w:val="en-US"/>
        </w:rPr>
        <w:t>, 24]</w:t>
      </w:r>
    </w:p>
  </w:footnote>
  <w:footnote w:id="4">
    <w:p w14:paraId="5731217D" w14:textId="40FB536E" w:rsidR="00380DF3" w:rsidRPr="009E2740" w:rsidRDefault="00380DF3" w:rsidP="00B20AD6">
      <w:pPr>
        <w:pStyle w:val="FootnoteText"/>
        <w:jc w:val="both"/>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E46E05">
        <w:rPr>
          <w:rFonts w:ascii="Times New Roman" w:hAnsi="Times New Roman" w:cs="Times New Roman"/>
          <w:sz w:val="20"/>
          <w:szCs w:val="20"/>
          <w:lang w:val="en-US"/>
        </w:rPr>
        <w:t xml:space="preserve"> A literatura identifica esse modelo de diversas formas. </w:t>
      </w:r>
      <w:r w:rsidRPr="00E46E05">
        <w:rPr>
          <w:rFonts w:ascii="Times New Roman" w:hAnsi="Times New Roman" w:cs="Times New Roman"/>
          <w:sz w:val="20"/>
          <w:szCs w:val="20"/>
        </w:rPr>
        <w:t xml:space="preserve">Alguns textos chama de Curva Armey, outros de Curva Rahn </w:t>
      </w:r>
      <w:r w:rsidRPr="009E2740">
        <w:rPr>
          <w:rFonts w:ascii="Times New Roman" w:hAnsi="Times New Roman" w:cs="Times New Roman"/>
          <w:sz w:val="20"/>
          <w:szCs w:val="20"/>
        </w:rPr>
        <w:t>ou de Modelo de Scully. Por fim alguns textos usam o termo Curva BARS como menção as letras iniciais dos autores. Armey é geralmente citado por seu apelido, “Dick Armey” (Richard Keith “Dick” Armey).</w:t>
      </w:r>
    </w:p>
  </w:footnote>
  <w:footnote w:id="5">
    <w:p w14:paraId="1835DB87" w14:textId="48ADC6AB" w:rsidR="00380DF3" w:rsidRPr="006E2A60" w:rsidRDefault="00380DF3" w:rsidP="00B20AD6">
      <w:pPr>
        <w:pStyle w:val="FootnoteText"/>
        <w:jc w:val="both"/>
        <w:rPr>
          <w:rFonts w:ascii="Book Antiqua" w:hAnsi="Book Antiqua"/>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Ver também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"author" : [ { "dropping-particle" : "", "family" : "Scully", "given" : "Gerald W", "non-dropping-particle" : "", "parse-names" : false, "suffix" : "" } ], "container-title" : "Pacific Economic Review", "id" : "ITEM-1", "issue" : "2", "issued" : { "date-parts" : [ [ "1996" ] ] }, "page" : "169-177", "title" : "Taxation and Economic Growth in New Zealand", "type" : "article-journal", "volume" : "1" }, "uris" : [ "http://www.mendeley.com/documents/?uuid=b6296ab7-a280-4374-a2d8-c0cdfa03612a" ] } ], "mendeley" : { "formattedCitation" : "(Scully, 1996)", "plainTextFormattedCitation" : "(Scully, 1996)", "previouslyFormattedCitation" : "(Scully, 1996)"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(Scully, 1996)</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Críticas ao modelo foram feitas por </w:t>
      </w:r>
      <w:r w:rsidRPr="009E2740">
        <w:rPr>
          <w:rFonts w:ascii="Times New Roman" w:hAnsi="Times New Roman" w:cs="Times New Roman"/>
          <w:sz w:val="20"/>
          <w:szCs w:val="20"/>
          <w:lang w:val="en-US"/>
        </w:rPr>
        <w:fldChar w:fldCharType="begin" w:fldLock="1"/>
      </w:r>
      <w:r w:rsidRPr="009E2740">
        <w:rPr>
          <w:rFonts w:ascii="Times New Roman" w:hAnsi="Times New Roman" w:cs="Times New Roman"/>
          <w:sz w:val="20"/>
          <w:szCs w:val="20"/>
        </w:rPr>
        <w:instrText>ADDIN CSL_CITATION { "citationItems" : [ { "id" : "ITEM-1", "itemData" : { "author" : [ { "dropping-particle" : "", "family" : "Kennedy", "given" : "Peter E", "non-dropping-particle" : "", "parse-names" : false, "suffix" : "" } ], "container-title" : "Pacific Economic Review", "id" : "ITEM-1", "issued" : { "date-parts" : [ [ "2000" ] ] }, "page" : "89-91", "title" : "On measuring the growth-maximizing tax rate", "type" : "article-journal", "volume" : "1" }, "uris" : [ "http://www.mendeley.com/documents/?uuid=f57475f6-8480-48af-81d3-46386a3ac31d" ] } ], "mendeley" : { "formattedCitation" : "(Kennedy, 2000)", "plainTextFormattedCitation" : "(Kennedy, 2000)", "previouslyFormattedCitation" : "(Kennedy, 2000)" }, "properties" : { "noteIndex" : 0 }, "schema" : "https://github.com/citation-style-language/schema/raw/master/csl-citation.json" }</w:instrText>
      </w:r>
      <w:r w:rsidRPr="009E2740">
        <w:rPr>
          <w:rFonts w:ascii="Times New Roman" w:hAnsi="Times New Roman" w:cs="Times New Roman"/>
          <w:sz w:val="20"/>
          <w:szCs w:val="20"/>
          <w:lang w:val="en-US"/>
        </w:rPr>
        <w:fldChar w:fldCharType="separate"/>
      </w:r>
      <w:r w:rsidRPr="009E2740">
        <w:rPr>
          <w:rFonts w:ascii="Times New Roman" w:hAnsi="Times New Roman" w:cs="Times New Roman"/>
          <w:noProof/>
          <w:sz w:val="20"/>
          <w:szCs w:val="20"/>
        </w:rPr>
        <w:t>(Kennedy, 2000)</w:t>
      </w:r>
      <w:r w:rsidRPr="009E2740">
        <w:rPr>
          <w:rFonts w:ascii="Times New Roman" w:hAnsi="Times New Roman" w:cs="Times New Roman"/>
          <w:sz w:val="20"/>
          <w:szCs w:val="20"/>
          <w:lang w:val="en-US"/>
        </w:rPr>
        <w:fldChar w:fldCharType="end"/>
      </w:r>
      <w:r w:rsidRPr="009E2740">
        <w:rPr>
          <w:rFonts w:ascii="Times New Roman" w:hAnsi="Times New Roman" w:cs="Times New Roman"/>
          <w:sz w:val="20"/>
          <w:szCs w:val="20"/>
        </w:rPr>
        <w:t xml:space="preserve"> e respondidas por </w:t>
      </w:r>
      <w:r w:rsidRPr="009E2740">
        <w:rPr>
          <w:rFonts w:ascii="Times New Roman" w:hAnsi="Times New Roman" w:cs="Times New Roman"/>
          <w:sz w:val="20"/>
          <w:szCs w:val="20"/>
          <w:lang w:val="en-US"/>
        </w:rPr>
        <w:fldChar w:fldCharType="begin" w:fldLock="1"/>
      </w:r>
      <w:r w:rsidRPr="009E2740">
        <w:rPr>
          <w:rFonts w:ascii="Times New Roman" w:hAnsi="Times New Roman" w:cs="Times New Roman"/>
          <w:sz w:val="20"/>
          <w:szCs w:val="20"/>
        </w:rPr>
        <w:instrText>ADDIN CSL_CITATION { "citationItems" : [ { "id" : "ITEM-1", "itemData" : { "DOI" : "10.1111/1468-0106.00091", "ISSN" : "1361-374X", "author" : [ { "dropping-particle" : "", "family" : "Scully", "given" : "Gerald W.", "non-dropping-particle" : "", "parse-names" : false, "suffix" : "" } ], "container-title" : "Pacific Economic Review", "id" : "ITEM-1", "issue" : "1", "issued" : { "date-parts" : [ [ "2000" ] ] }, "page" : "93-96", "title" : "The Growth-maximizing Tax Rate", "type" : "article-journal", "volume" : "5" }, "uris" : [ "http://www.mendeley.com/documents/?uuid=8082982d-823c-46ba-8538-006af79d0c0e" ] } ], "mendeley" : { "formattedCitation" : "(Scully, 2000)", "plainTextFormattedCitation" : "(Scully, 2000)", "previouslyFormattedCitation" : "(Scully, 2000)" }, "properties" : { "noteIndex" : 0 }, "schema" : "https://github.com/citation-style-language/schema/raw/master/csl-citation.json" }</w:instrText>
      </w:r>
      <w:r w:rsidRPr="009E2740">
        <w:rPr>
          <w:rFonts w:ascii="Times New Roman" w:hAnsi="Times New Roman" w:cs="Times New Roman"/>
          <w:sz w:val="20"/>
          <w:szCs w:val="20"/>
          <w:lang w:val="en-US"/>
        </w:rPr>
        <w:fldChar w:fldCharType="separate"/>
      </w:r>
      <w:r w:rsidRPr="009E2740">
        <w:rPr>
          <w:rFonts w:ascii="Times New Roman" w:hAnsi="Times New Roman" w:cs="Times New Roman"/>
          <w:noProof/>
          <w:sz w:val="20"/>
          <w:szCs w:val="20"/>
        </w:rPr>
        <w:t>(Scully, 2000)</w:t>
      </w:r>
      <w:r w:rsidRPr="009E2740">
        <w:rPr>
          <w:rFonts w:ascii="Times New Roman" w:hAnsi="Times New Roman" w:cs="Times New Roman"/>
          <w:sz w:val="20"/>
          <w:szCs w:val="20"/>
          <w:lang w:val="en-US"/>
        </w:rPr>
        <w:fldChar w:fldCharType="end"/>
      </w:r>
      <w:r w:rsidRPr="009E2740">
        <w:rPr>
          <w:rFonts w:ascii="Times New Roman" w:hAnsi="Times New Roman" w:cs="Times New Roman"/>
          <w:sz w:val="20"/>
          <w:szCs w:val="20"/>
        </w:rPr>
        <w:t xml:space="preserve">. Ver também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"DOI" : "10.1023/A:1017518926640", "ISSN" : "00485829", "author" : [ { "dropping-particle" : "", "family" : "Scully", "given" : "Gerald W.", "non-dropping-particle" : "", "parse-names" : false, "suffix" : "" } ], "container-title" : "Public Choice", "id" : "ITEM-1", "issue" : "1/2", "issued" : { "date-parts" : [ [ "2001" ] ] }, "page" : "123-145", "publisher" : "Kluwer Academic Publishers", "title" : "Government Expenditure and Quality of Life", "type" : "article-journal", "volume" : "108" }, "uris" : [ "http://www.mendeley.com/documents/?uuid=c5cd3f12-117a-344c-85d3-1b8b569042a0" ] } ], "mendeley" : { "formattedCitation" : "(Scully, 2001)", "plainTextFormattedCitation" : "(Scully, 2001)", "previouslyFormattedCitation" : "(Scully, 2001)"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(Scully, 2001)</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"DOI" : "10.1023/A:1024223916710", "ISSN" : "0048-5829", "author" : [ { "dropping-particle" : "", "family" : "Scully", "given" : "Gerald W.", "non-dropping-particle" : "", "parse-names" : false, "suffix" : "" } ], "container-title" : "Public Choice", "id" : "ITEM-1", "issue" : "3/4", "issued" : { "date-parts" : [ [ "2003", "6" ] ] }, "page" : "299-312", "publisher" : "Kluwer Academic Publishers", "title" : "Optimal taxation , economic growth and income inequality", "type" : "article-journal", "volume" : "115" }, "uris" : [ "http://www.mendeley.com/documents/?uuid=5286c191-aca0-4c8f-8cfa-9ec4713c5861" ] } ], "mendeley" : { "formattedCitation" : "(Scully, 2003)", "plainTextFormattedCitation" : "(Scully, 2003)", "previouslyFormattedCitation" : "(Scully, 2003)"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(Scully, 2003)</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e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"DOI" : "10.1007/s11127-007-9235-0", "ISSN" : "0048-5829", "author" : [ { "dropping-particle" : "", "family" : "Hill", "given" : "Roderick", "non-dropping-particle" : "", "parse-names" : false, "suffix" : "" } ], "container-title" : "Public Choice", "id" : "ITEM-1", "issue" : "3-4", "issued" : { "date-parts" : [ [ "2008", "3", "20" ] ] }, "page" : "419-427", "publisher" : "Springer US", "title" : "Optimal taxation and economic growth: a comment", "type" : "article-journal", "volume" : "134" }, "uris" : [ "http://www.mendeley.com/documents/?uuid=aa668063-9670-37f4-9219-2ba95819b7e4" ] } ], "mendeley" : { "formattedCitation" : "(Hill, 2008)", "plainTextFormattedCitation" : "(Hill, 2008)", "previouslyFormattedCitation" : "(Hill, 2008)"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(Hill, 2008)</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w:t>
      </w:r>
    </w:p>
  </w:footnote>
  <w:footnote w:id="6">
    <w:p w14:paraId="5C70D571" w14:textId="4F5F0366" w:rsidR="00380DF3" w:rsidRPr="009E2740" w:rsidRDefault="00380DF3" w:rsidP="00B20AD6">
      <w:pPr>
        <w:pStyle w:val="FootnoteText"/>
        <w:jc w:val="both"/>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Supõe-se equilíbrio orçamentário do governo. Como destacado por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"DOI" : "10.1017/CBO9781107415324.004", "ISBN" : "9788578110796", "ISSN" : "1098-6596", "PMID" : "25246403", "author" : [ { "dropping-particle" : "", "family" : "Peltzman", "given" : "Sam", "non-dropping-particle" : "", "parse-names" : false, "suffix" : "" } ], "container-title" : "Journal of Law and Economics", "id" : "ITEM-1", "issue" : "2", "issued" : { "date-parts" : [ [ "1980" ] ] }, "page" : "209-287", "title" : "The Growth of Government", "type" : "article-journal", "volume" : "23" }, "uris" : [ "http://www.mendeley.com/documents/?uuid=706c0ced-1e97-4c3e-98f6-9adc3acae53c" ] } ], "mendeley" : { "formattedCitation" : "(Peltzman, 1980)", "plainTextFormattedCitation" : "(Peltzman, 1980)", "previouslyFormattedCitation" : "(Peltzman, 1980)"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(Peltzman, 1980)</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a limitação dos dados sobre contas públicas é um fator importante neste caso (a dificuldade em se calcular a senhoriagem é um bom exemplo disto). </w:t>
      </w:r>
    </w:p>
  </w:footnote>
  <w:footnote w:id="7">
    <w:p w14:paraId="350BC60C" w14:textId="6AF92355" w:rsidR="00380DF3" w:rsidRPr="009E2740" w:rsidRDefault="00380DF3" w:rsidP="00B20AD6">
      <w:pPr>
        <w:pStyle w:val="FootnoteText"/>
        <w:jc w:val="both"/>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Ver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"author" : [ { "dropping-particle" : "", "family" : "Porter", "given" : "Philip", "non-dropping-particle" : "", "parse-names" : false, "suffix" : "" } ], "container-title" : "Journal of Sports Economics", "id" : "ITEM-1", "issue" : "5", "issued" : { "date-parts" : [ [ "2009" ] ] }, "page" : "447-450", "title" : "In Memoriam: Gerald W. Scully (1941-2009)", "type" : "article-journal", "volume" : "10" }, "uris" : [ "http://www.mendeley.com/documents/?uuid=4da9721b-2ed1-4cd0-96e3-fe2dff96092f" ] } ], "mendeley" : { "formattedCitation" : "(Porter, 2009)", "plainTextFormattedCitation" : "(Porter, 2009)", "previouslyFormattedCitation" : "(Porter, 2009)"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(Porter, 2009)</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w:t>
      </w:r>
    </w:p>
  </w:footnote>
  <w:footnote w:id="8">
    <w:p w14:paraId="5B875E79" w14:textId="523940F2" w:rsidR="00380DF3" w:rsidRPr="009E2740" w:rsidRDefault="00380DF3" w:rsidP="00792A4C">
      <w:pPr>
        <w:pStyle w:val="FootnoteText"/>
        <w:jc w:val="both"/>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Uma estratégia alternativa seria usar uma amostra com mais países e usar um painel para a estimação. Entretanto, como destacam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"DOI" : "10.1007/s11698-012-0088-5", "ISBN" : "1863-2505\\r1863-2513", "ISSN" : "1863-2505", "abstract" : "We argue for a new approach to examining the relationship between tariffs and growth. We demonstrate that more can be learned from time series analyses of the experience of individual countries rather than the usual panel data approach, which imposes a causal relation and presents an average coefficient for all countries. Tentative initial results using simple two-variable cointegrated VAR models suggest considerable heterogeneity in the experiences of the countries we look at. For most, however, there was a negative relationship between tariffs and levels of income for both the pre- and post-Second World War periods. However, in the second half of the twentieth century, the causality ran from income to tariffs: that is, countries simply liberalized as they got richer. Policy decisions based on the usual panel approach might thus be very inappropriate for individual countries.", "author" : [ { "dropping-particle" : "", "family" : "Lampe", "given" : "Markus", "non-dropping-particle" : "", "parse-names" : false, "suffix" : "" }, { "dropping-particle" : "", "family" : "Sharp", "given" : "Paul", "non-dropping-particle" : "", "parse-names" : false, "suffix" : "" } ], "container-title" : "Cliometrica", "id" : "ITEM-1", "issue" : "3", "issued" : { "date-parts" : [ [ "2013" ] ] }, "page" : "207-235", "title" : "Tariffs and income: a time series analysis for 24 countries", "type" : "article-journal", "volume" : "7" }, "uris" : [ "http://www.mendeley.com/documents/?uuid=b7df95c1-689e-48e3-a30b-565562faca13" ] } ], "mendeley" : { "formattedCitation" : "(Lampe &amp; Sharp, 2013)", "plainTextFormattedCitation" : "(Lampe &amp; Sharp, 2013)", "previouslyFormattedCitation" : "(Lampe &amp; Sharp, 2013)"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(Lampe &amp; Sharp, 2013)</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estimações com dados de painel pode complicar a interpretação para situações históricas específicas. Pode-se dizer que o uso de econometria de dados em painel ou a de séries de tempo são estratégias distintas com objetivos similares, mas não idênticos. Não é escopo deste trabalho obter uma relação média para um conjunto de países, mas sim obter parâmetros que sejam econometricamente importantes para explicar a trajetória da economia brasileira. </w:t>
      </w:r>
    </w:p>
  </w:footnote>
  <w:footnote w:id="9">
    <w:p w14:paraId="07B8F078" w14:textId="1812C608" w:rsidR="00380DF3" w:rsidRPr="009E2740" w:rsidRDefault="00380DF3" w:rsidP="00427551">
      <w:pPr>
        <w:pStyle w:val="FootnoteText"/>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lang w:val="en-US"/>
        </w:rPr>
        <w:t xml:space="preserve"> Ver </w:t>
      </w:r>
      <w:r w:rsidRPr="009E2740">
        <w:rPr>
          <w:rFonts w:ascii="Times New Roman" w:hAnsi="Times New Roman" w:cs="Times New Roman"/>
          <w:sz w:val="20"/>
          <w:szCs w:val="20"/>
          <w:lang w:val="en-US"/>
        </w:rPr>
        <w:fldChar w:fldCharType="begin" w:fldLock="1"/>
      </w:r>
      <w:r w:rsidRPr="009E2740">
        <w:rPr>
          <w:rFonts w:ascii="Times New Roman" w:hAnsi="Times New Roman" w:cs="Times New Roman"/>
          <w:sz w:val="20"/>
          <w:szCs w:val="20"/>
          <w:lang w:val="en-US"/>
        </w:rPr>
        <w:instrText>ADDIN CSL_CITATION { "citationItems" : [ { "id" : "ITEM-1", "itemData" : { "DOI" : "10.3844/ajassp.2005.1158.1165", "ISSN" : "15469239", "abstract" : ": This study employed annual time series data (1960-2003) and unit root tests with multiple breaks to determine the most likely times of structural breaks in major factors impacting on the trade- GDP nexus in Iran We found, inter alia, that the endogenously determined structural breaks coincided with important events in the Iranian economy, including the 1979 Islamic revolution and the outbreak of the Iraq-Iran war in 1980. By applying the Lumsdaine and Papell (1997) approach, the stationarity of the variable under investigation was examined and in the presence of structural breaks, we found that the null hypothesis of unit root could be rejected for all of the variables under analysis except one. Under such circumstances, applying the ARDL procedure was the best way of determining long run relationships. For this reason, the error correction version of the autoregressive distributed lag procedure (ARDL) was then employed to specify the short and long-term determinants of economic growth in the presence of structural breaks. The results showed that while the effects of gross capital formation and oil exports were important for the expansion of the Iranian GDP over the sample period, non-oil exports and human capital were generally less pivotal. It was also found that the speed of adjustment in the estimated models is relatively high and had the expected significant and negative sign.", "author" : [ { "dropping-particle" : "", "family" : "Pahlavani", "given" : "Mosayeb", "non-dropping-particle" : "", "parse-names" : false, "suffix" : "" }, { "dropping-particle" : "", "family" : "Wilson", "given" : "Ed", "non-dropping-particle" : "", "parse-names" : false, "suffix" : "" }, { "dropping-particle" : "", "family" : "Worthingt", "given" : "Andrew C.", "non-dropping-particle" : "", "parse-names" : false, "suffix" : "" } ], "container-title" : "American Journal of Applied Sciences", "id" : "ITEM-1", "issue" : "7", "issued" : { "date-parts" : [ [ "2005" ] ] }, "page" : "1158-1165", "title" : "Trade-GDP Nexus in Iran: An Application of the Autoregressive Distributed Lag (ARDL) Model", "type" : "article-journal", "volume" : "2" }, "uris" : [ "http://www.mendeley.com/documents/?uuid=d0c85fab-ca2b-419e-bf17-38805d4d56cf" ] } ], "mendeley" : { "formattedCitation" : "(Pahlavani, Wilson, &amp; Worthingt, 2005)", "plainTextFormattedCitation" : "(Pahlavani, Wilson, &amp; Worthingt, 2005)", "previouslyFormattedCitation" : "(Pahlavani, Wilson, &amp; Worthingt, 2005)" }, "properties" : { "noteIndex" : 0 }, "schema" : "https://github.com/citation-style-language/schema/raw/master/csl-citation.json" }</w:instrText>
      </w:r>
      <w:r w:rsidRPr="009E2740">
        <w:rPr>
          <w:rFonts w:ascii="Times New Roman" w:hAnsi="Times New Roman" w:cs="Times New Roman"/>
          <w:sz w:val="20"/>
          <w:szCs w:val="20"/>
          <w:lang w:val="en-US"/>
        </w:rPr>
        <w:fldChar w:fldCharType="separate"/>
      </w:r>
      <w:r w:rsidRPr="009E2740">
        <w:rPr>
          <w:rFonts w:ascii="Times New Roman" w:hAnsi="Times New Roman" w:cs="Times New Roman"/>
          <w:noProof/>
          <w:sz w:val="20"/>
          <w:szCs w:val="20"/>
          <w:lang w:val="en-US"/>
        </w:rPr>
        <w:t>(Pahlavani, Wilson, &amp; Worthingt, 2005)</w:t>
      </w:r>
      <w:r w:rsidRPr="009E2740">
        <w:rPr>
          <w:rFonts w:ascii="Times New Roman" w:hAnsi="Times New Roman" w:cs="Times New Roman"/>
          <w:sz w:val="20"/>
          <w:szCs w:val="20"/>
          <w:lang w:val="en-US"/>
        </w:rPr>
        <w:fldChar w:fldCharType="end"/>
      </w:r>
      <w:r w:rsidRPr="009E2740">
        <w:rPr>
          <w:rFonts w:ascii="Times New Roman" w:hAnsi="Times New Roman" w:cs="Times New Roman"/>
          <w:sz w:val="20"/>
          <w:szCs w:val="20"/>
          <w:lang w:val="en-US"/>
        </w:rPr>
        <w:t xml:space="preserve"> e </w:t>
      </w:r>
      <w:r w:rsidRPr="009E2740">
        <w:rPr>
          <w:rFonts w:ascii="Times New Roman" w:hAnsi="Times New Roman" w:cs="Times New Roman"/>
          <w:sz w:val="20"/>
          <w:szCs w:val="20"/>
          <w:lang w:val="en-US"/>
        </w:rPr>
        <w:fldChar w:fldCharType="begin" w:fldLock="1"/>
      </w:r>
      <w:r w:rsidRPr="009E2740">
        <w:rPr>
          <w:rFonts w:ascii="Times New Roman" w:hAnsi="Times New Roman" w:cs="Times New Roman"/>
          <w:sz w:val="20"/>
          <w:szCs w:val="20"/>
          <w:lang w:val="en-US"/>
        </w:rPr>
        <w:instrText>ADDIN CSL_CITATION { "citationItems" : [ { "id" : "ITEM-1", "itemData" : { "DOI" : "10.1016/j.ecosys.2013.09.002", "ISBN" : "09393625 (ISSN)", "ISSN" : "09393625", "abstract" : "The relat</w:instrText>
      </w:r>
      <w:r w:rsidRPr="009E2740">
        <w:rPr>
          <w:rFonts w:ascii="Times New Roman" w:hAnsi="Times New Roman" w:cs="Times New Roman"/>
          <w:sz w:val="20"/>
          <w:szCs w:val="20"/>
        </w:rPr>
        <w:instrText>ionship between foreign direct investment (FDI), trade openness and economic growth in host countries remains one of the most important issues in the economic literature and met with renewed interest in recent years mainly for countries suffering from unemployment problems and lack of technological progress. This paper examines this issue for Tunisia by applying the bounds testing (ARDL) approach to cointegration for the period from 1970 to 2008. The bounds tests suggest that the variables of interest are bound together in the long run when foreign direct investment is the dependent variable. The associated equilibrium correction is also significant, confirming the existence of a long-run relationship. The results also indicate that there is no significant Granger causality from FDI to economic growth, from economic growth to FDI, from trade to economic growth and from economic growth to trade in the short run. Even though there is a widespread belief that FDI can generate positive spillover externalities for the host country, our empirical results fail to confirm this belief for the case of Tunisia. They go against the generally accepted idea considering the positive impact of FDI on economic growth to be automatic. The results found for Tunisia can be generalized and compared to other developing countries which share a common experience in attracting FDI and trade liberalization. \u00a9 2014 Elsevier B.V.", "author" : [ { "dropping-particle" : "", "family" : "Belloumi", "given" : "Mounir", "non-dropping-particle" : "", "parse-names" : false, "suffix" : "" } ], "container-title" : "Economic Systems", "id" : "ITEM-1", "issue" : "2", "issued" : { "date-parts" : [ [ "2014" ] ] }, "page" : "269-287", "title" : "The relationship between trade, FDI and economic growth in Tunisia: An application of the autoregressive distributed lag model", "type" : "article-journal", "volume" : "38" }, "uris" : [ "http://www.mendeley.com/documents/?uuid=c9b65b1d-1dda-411b-91f3-ba167fdc0f81" ] } ], "mendeley" : { "formattedCitation" : "(Belloumi, 2014)", "plainTextFormattedCitation" : "(Belloumi, 2014)", "previouslyFormattedCitation" : "(Belloumi, 2014)" }, "properties" : { "noteIndex" : 0 }, "schema" : "https://github.com/citation-style-language/schema/raw/master/csl-citation.json" }</w:instrText>
      </w:r>
      <w:r w:rsidRPr="009E2740">
        <w:rPr>
          <w:rFonts w:ascii="Times New Roman" w:hAnsi="Times New Roman" w:cs="Times New Roman"/>
          <w:sz w:val="20"/>
          <w:szCs w:val="20"/>
          <w:lang w:val="en-US"/>
        </w:rPr>
        <w:fldChar w:fldCharType="separate"/>
      </w:r>
      <w:r w:rsidRPr="009E2740">
        <w:rPr>
          <w:rFonts w:ascii="Times New Roman" w:hAnsi="Times New Roman" w:cs="Times New Roman"/>
          <w:noProof/>
          <w:sz w:val="20"/>
          <w:szCs w:val="20"/>
        </w:rPr>
        <w:t>(Belloumi, 2014)</w:t>
      </w:r>
      <w:r w:rsidRPr="009E2740">
        <w:rPr>
          <w:rFonts w:ascii="Times New Roman" w:hAnsi="Times New Roman" w:cs="Times New Roman"/>
          <w:sz w:val="20"/>
          <w:szCs w:val="20"/>
          <w:lang w:val="en-US"/>
        </w:rPr>
        <w:fldChar w:fldCharType="end"/>
      </w:r>
      <w:r w:rsidRPr="009E2740">
        <w:rPr>
          <w:rFonts w:ascii="Times New Roman" w:hAnsi="Times New Roman" w:cs="Times New Roman"/>
          <w:sz w:val="20"/>
          <w:szCs w:val="20"/>
        </w:rPr>
        <w:t xml:space="preserve">. </w:t>
      </w:r>
    </w:p>
  </w:footnote>
  <w:footnote w:id="10">
    <w:p w14:paraId="17B4F26A" w14:textId="4C6405E0" w:rsidR="00380DF3" w:rsidRPr="006E2A60" w:rsidRDefault="00380DF3">
      <w:pPr>
        <w:pStyle w:val="FootnoteText"/>
        <w:rPr>
          <w:rFonts w:ascii="Book Antiqua" w:hAnsi="Book Antiqua"/>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Esta seção segue de perto a exposição de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"author" : [ { "dropping-particle" : "", "family" : "IHSGlobal Inc", "given" : "", "non-dropping-particle" : "", "parse-names" : false, "suffix" : "" } ], "edition" : "1", "id" : "ITEM-1", "issued" : { "date-parts" : [ [ "2016" ] ] }, "number-of-pages" : "1122", "publisher" : "IHS Global Inc", "publisher-place" : "Irvine", "title" : "Eviews 9 User's Guide II", "type" : "book" }, "uris" : [ "http://www.mendeley.com/documents/?uuid=969ede82-6719-4482-bc81-411d032b7401" ] } ], "mendeley" : { "formattedCitation" : "(IHSGlobal Inc, 2016)", "plainTextFormattedCitation" : "(IHSGlobal Inc, 2016)", "previouslyFormattedCitation" : "(IHSGlobal Inc, 2016)"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(IHSGlobal Inc, 2016)</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w:t>
      </w:r>
    </w:p>
  </w:footnote>
  <w:footnote w:id="11">
    <w:p w14:paraId="5CEDF060" w14:textId="77777777" w:rsidR="00380DF3" w:rsidRPr="009E2740" w:rsidRDefault="00380DF3">
      <w:pPr>
        <w:pStyle w:val="FootnoteText"/>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Aplicam-se as hipóteses usuais sobre os erros.</w:t>
      </w:r>
    </w:p>
  </w:footnote>
  <w:footnote w:id="12">
    <w:p w14:paraId="2F2B8957" w14:textId="77777777" w:rsidR="00380DF3" w:rsidRPr="006E2A60" w:rsidRDefault="00380DF3" w:rsidP="00427551">
      <w:pPr>
        <w:pStyle w:val="FootnoteText"/>
        <w:rPr>
          <w:rFonts w:ascii="Book Antiqua" w:hAnsi="Book Antiqua"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E também desde que não exista alguma variável I(2) no modelo.</w:t>
      </w:r>
    </w:p>
  </w:footnote>
  <w:footnote w:id="13">
    <w:p w14:paraId="2740161C" w14:textId="2FE9A48D" w:rsidR="00380DF3" w:rsidRPr="009E2740" w:rsidRDefault="00380DF3">
      <w:pPr>
        <w:pStyle w:val="FootnoteText"/>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Para detalhes sobre a evolução da carga tributária, ver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"author" : [ { "dropping-particle" : "", "family" : "BNDES", "given" : "", "non-dropping-particle" : "", "parse-names" : false, "suffix" : "" } ], "container-title" : "Informe-se", "id" : "ITEM-1", "issued" : { "date-parts" : [ [ "2001" ] ] }, "page" : "1-8", "publisher-place" : "Rio de Janeiro", "title" : "Carga tribut\u00e1ria - evolu\u00e7\u00e3o hist\u00f3rica: uma tend\u00eancia crescente", "type" : "article-magazine" }, "uris" : [ "http://www.mendeley.com/documents/?uuid=00994025-514d-46fa-81e2-cea0cd917dda" ] } ], "mendeley" : { "formattedCitation" : "(BNDES, 2001)", "plainTextFormattedCitation" : "(BNDES, 2001)", "previouslyFormattedCitation" : "(BNDES, 2001)"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(BNDES, 2001)</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e </w:t>
      </w:r>
      <w:r w:rsidRPr="009E2740">
        <w:rPr>
          <w:rFonts w:ascii="Times New Roman" w:hAnsi="Times New Roman" w:cs="Times New Roman"/>
          <w:sz w:val="20"/>
          <w:szCs w:val="20"/>
        </w:rPr>
        <w:fldChar w:fldCharType="begin" w:fldLock="1"/>
      </w:r>
      <w:r w:rsidRPr="009E2740">
        <w:rPr>
          <w:rFonts w:ascii="Times New Roman" w:hAnsi="Times New Roman" w:cs="Times New Roman"/>
          <w:sz w:val="20"/>
          <w:szCs w:val="20"/>
        </w:rPr>
        <w:instrText>ADDIN CSL_CITATION { "citationItems" : [ { "id" : "ITEM-1", "itemData" : { "author" : [ { "dropping-particle" : "", "family" : "Shikida", "given" : "Claudio D", "non-dropping-particle" : "", "parse-names" : false, "suffix" : "" }, { "dropping-particle" : "de", "family" : "Araujo Jr.", "given" : "Ari Francisco", "non-dropping-particle" : "", "parse-names" : false, "suffix" : "" }, { "dropping-particle" : "", "family" : "Hillbrecht", "given" : "Ronald O.", "non-dropping-particle" : "", "parse-names" : false, "suffix" : "" } ], "container-title" : "RBEE. Revista Brasileira de Economia de Empresas", "id" : "ITEM-1", "issue" : "2", "issued" : { "date-parts" : [ [ "2005" ] ] }, "page" : "21-35", "title" : "Public Vices, Private Serfdom? Comments on the Optimal Size of the Brazilian State", "type" : "article-journal", "volume" : "5" }, "uris" : [ "http://www.mendeley.com/documents/?uuid=620da43b-4a20-4934-af01-84185ed4c78c" ] } ], "mendeley" : { "formattedCitation" : "(Shikida et al., 2005)", "plainTextFormattedCitation" : "(Shikida et al., 2005)", "previouslyFormattedCitation" : "(Shikida et al., 2005)" }, "properties" : { "noteIndex" : 0 }, "schema" : "https://github.com/citation-style-language/schema/raw/master/csl-citation.json" }</w:instrText>
      </w:r>
      <w:r w:rsidRPr="009E2740">
        <w:rPr>
          <w:rFonts w:ascii="Times New Roman" w:hAnsi="Times New Roman" w:cs="Times New Roman"/>
          <w:sz w:val="20"/>
          <w:szCs w:val="20"/>
        </w:rPr>
        <w:fldChar w:fldCharType="separate"/>
      </w:r>
      <w:r w:rsidRPr="009E2740">
        <w:rPr>
          <w:rFonts w:ascii="Times New Roman" w:hAnsi="Times New Roman" w:cs="Times New Roman"/>
          <w:noProof/>
          <w:sz w:val="20"/>
          <w:szCs w:val="20"/>
        </w:rPr>
        <w:t>(Shikida et al., 2005)</w:t>
      </w:r>
      <w:r w:rsidRPr="009E2740">
        <w:rPr>
          <w:rFonts w:ascii="Times New Roman" w:hAnsi="Times New Roman" w:cs="Times New Roman"/>
          <w:sz w:val="20"/>
          <w:szCs w:val="20"/>
        </w:rPr>
        <w:fldChar w:fldCharType="end"/>
      </w:r>
      <w:r w:rsidRPr="009E2740">
        <w:rPr>
          <w:rFonts w:ascii="Times New Roman" w:hAnsi="Times New Roman" w:cs="Times New Roman"/>
          <w:sz w:val="20"/>
          <w:szCs w:val="20"/>
        </w:rPr>
        <w:t xml:space="preserve">. Pode-se também consultar os relatórios da Receita Federal disponíveis em: </w:t>
      </w:r>
      <w:hyperlink r:id="rId1" w:history="1">
        <w:r w:rsidRPr="009E2740">
          <w:rPr>
            <w:rStyle w:val="Hyperlink"/>
            <w:rFonts w:ascii="Times New Roman" w:hAnsi="Times New Roman" w:cs="Times New Roman"/>
            <w:sz w:val="20"/>
            <w:szCs w:val="20"/>
          </w:rPr>
          <w:t>http://idg.receita.fazenda.gov.br/dados/receitadata/estudos-e-tributarios-e-aduaneiros/estudos-e-estatisticas/carga-tributaria-no-brasil/carga-tributaria-no-brasil-capa</w:t>
        </w:r>
      </w:hyperlink>
      <w:r w:rsidRPr="009E2740">
        <w:rPr>
          <w:rFonts w:ascii="Times New Roman" w:hAnsi="Times New Roman" w:cs="Times New Roman"/>
          <w:sz w:val="20"/>
          <w:szCs w:val="20"/>
        </w:rPr>
        <w:t xml:space="preserve"> .</w:t>
      </w:r>
    </w:p>
  </w:footnote>
  <w:footnote w:id="14">
    <w:p w14:paraId="344088C0" w14:textId="232ABC3F" w:rsidR="00380DF3" w:rsidRPr="009E2740" w:rsidRDefault="00380DF3">
      <w:pPr>
        <w:pStyle w:val="FootnoteText"/>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Esta é hipótese mais forte des</w:t>
      </w:r>
      <w:r w:rsidR="00007F11">
        <w:rPr>
          <w:rFonts w:ascii="Times New Roman" w:hAnsi="Times New Roman" w:cs="Times New Roman"/>
          <w:sz w:val="20"/>
          <w:szCs w:val="20"/>
        </w:rPr>
        <w:t>te modelo. Além disso, não se tem</w:t>
      </w:r>
      <w:r w:rsidRPr="009E2740">
        <w:rPr>
          <w:rFonts w:ascii="Times New Roman" w:hAnsi="Times New Roman" w:cs="Times New Roman"/>
          <w:sz w:val="20"/>
          <w:szCs w:val="20"/>
        </w:rPr>
        <w:t xml:space="preserve"> receita de senhoriagem aqui. Por outro lado, é difícil obter uma série de tempo extensa para a senhoriagem que seja de amplo consenso.</w:t>
      </w:r>
    </w:p>
  </w:footnote>
  <w:footnote w:id="15">
    <w:p w14:paraId="2ACB05CB" w14:textId="77777777" w:rsidR="00380DF3" w:rsidRPr="009E2740" w:rsidRDefault="00380DF3">
      <w:pPr>
        <w:pStyle w:val="FootnoteText"/>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O valor do teste F foi de 0.019, com p-valor de aproximadamente 0.89. </w:t>
      </w:r>
    </w:p>
  </w:footnote>
  <w:footnote w:id="16">
    <w:p w14:paraId="49AA00A2" w14:textId="77777777" w:rsidR="00380DF3" w:rsidRPr="009E2740" w:rsidRDefault="00380DF3">
      <w:pPr>
        <w:pStyle w:val="FootnoteText"/>
        <w:rPr>
          <w:rFonts w:ascii="Times New Roman" w:hAnsi="Times New Roman" w:cs="Times New Roman"/>
          <w:sz w:val="20"/>
          <w:szCs w:val="20"/>
        </w:rPr>
      </w:pPr>
      <w:r w:rsidRPr="009E2740">
        <w:rPr>
          <w:rStyle w:val="FootnoteReference"/>
          <w:rFonts w:ascii="Times New Roman" w:hAnsi="Times New Roman" w:cs="Times New Roman"/>
          <w:sz w:val="20"/>
          <w:szCs w:val="20"/>
        </w:rPr>
        <w:footnoteRef/>
      </w:r>
      <w:r w:rsidRPr="009E2740">
        <w:rPr>
          <w:rFonts w:ascii="Times New Roman" w:hAnsi="Times New Roman" w:cs="Times New Roman"/>
          <w:sz w:val="20"/>
          <w:szCs w:val="20"/>
        </w:rPr>
        <w:t xml:space="preserve"> Impactos marginais sobre a média da amostra.</w:t>
      </w:r>
    </w:p>
  </w:footnote>
  <w:footnote w:id="17">
    <w:p w14:paraId="23E5E4DB" w14:textId="36FC1B9A" w:rsidR="00380DF3" w:rsidRPr="00F93B1C" w:rsidRDefault="00380DF3" w:rsidP="00772D3D">
      <w:pPr>
        <w:pStyle w:val="FootnoteText"/>
        <w:rPr>
          <w:rFonts w:ascii="Times New Roman" w:hAnsi="Times New Roman" w:cs="Times New Roman"/>
          <w:sz w:val="20"/>
          <w:szCs w:val="20"/>
        </w:rPr>
      </w:pPr>
      <w:r w:rsidRPr="00F93B1C">
        <w:rPr>
          <w:rFonts w:ascii="Times New Roman" w:hAnsi="Times New Roman" w:cs="Times New Roman"/>
          <w:sz w:val="20"/>
          <w:szCs w:val="20"/>
        </w:rPr>
        <w:footnoteRef/>
      </w:r>
      <w:r w:rsidRPr="00F93B1C">
        <w:rPr>
          <w:rFonts w:ascii="Times New Roman" w:hAnsi="Times New Roman" w:cs="Times New Roman"/>
          <w:sz w:val="20"/>
          <w:szCs w:val="20"/>
        </w:rPr>
        <w:t xml:space="preserve"> O teste CUSUM padrão é baseado em resíduos recursivos distribuídos de forma independente na sua hipótese nula enquanto o CUSUM quadrático na soma cumulativa dos quadrados. Ambos são adequados no contexto de regressores estacionários, veja </w:t>
      </w:r>
      <w:r w:rsidRPr="00F93B1C">
        <w:rPr>
          <w:rFonts w:ascii="Times New Roman" w:hAnsi="Times New Roman" w:cs="Times New Roman"/>
          <w:sz w:val="20"/>
          <w:szCs w:val="20"/>
        </w:rPr>
        <w:fldChar w:fldCharType="begin" w:fldLock="1"/>
      </w:r>
      <w:r w:rsidRPr="00F93B1C">
        <w:rPr>
          <w:rFonts w:ascii="Times New Roman" w:hAnsi="Times New Roman" w:cs="Times New Roman"/>
          <w:sz w:val="20"/>
          <w:szCs w:val="20"/>
        </w:rPr>
        <w:instrText>ADDIN CSL_CITATION { "citationItems" : [ { "id" : "ITEM-1", "itemData" : { "author" : [ { "dropping-particle" : "", "family" : "Zeileis", "given" : "Achim", "non-dropping-particle" : "", "parse-names" : false, "suffix" : "" } ], "id" : "ITEM-1", "issued" : { "date-parts" : [ [ "2000" ] ] }, "number" : "78", "number-of-pages" : "14", "title" : "P-Values and Alternative Boundaries for CUSUM Tests.", "type" : "report" }, "uris" : [ "http://www.mendeley.com/documents/?uuid=83a1bd9e-0eea-4bbe-b8aa-fca460fdec77" ] } ], "mendeley" : { "formattedCitation" : "(Zeileis, 2000)", "plainTextFormattedCitation" : "(Zeileis, 2000)", "previouslyFormattedCitation" : "(Zeileis, 2000)" }, "properties" : { "noteIndex" : 0 }, "schema" : "https://github.com/citation-style-language/schema/raw/master/csl-citation.json" }</w:instrText>
      </w:r>
      <w:r w:rsidRPr="00F93B1C">
        <w:rPr>
          <w:rFonts w:ascii="Times New Roman" w:hAnsi="Times New Roman" w:cs="Times New Roman"/>
          <w:sz w:val="20"/>
          <w:szCs w:val="20"/>
        </w:rPr>
        <w:fldChar w:fldCharType="separate"/>
      </w:r>
      <w:r w:rsidRPr="00F93B1C">
        <w:rPr>
          <w:rFonts w:ascii="Times New Roman" w:hAnsi="Times New Roman" w:cs="Times New Roman"/>
          <w:noProof/>
          <w:sz w:val="20"/>
          <w:szCs w:val="20"/>
        </w:rPr>
        <w:t>(Zeileis, 2000)</w:t>
      </w:r>
      <w:r w:rsidRPr="00F93B1C">
        <w:rPr>
          <w:rFonts w:ascii="Times New Roman" w:hAnsi="Times New Roman" w:cs="Times New Roman"/>
          <w:sz w:val="20"/>
          <w:szCs w:val="20"/>
        </w:rPr>
        <w:fldChar w:fldCharType="end"/>
      </w:r>
      <w:r w:rsidRPr="00F93B1C">
        <w:rPr>
          <w:rFonts w:ascii="Times New Roman" w:hAnsi="Times New Roman" w:cs="Times New Roman"/>
          <w:sz w:val="20"/>
          <w:szCs w:val="20"/>
        </w:rPr>
        <w:t>.</w:t>
      </w:r>
    </w:p>
  </w:footnote>
  <w:footnote w:id="18">
    <w:p w14:paraId="19E7100F" w14:textId="251AD80F" w:rsidR="00380DF3" w:rsidRPr="00F93B1C" w:rsidRDefault="00380DF3" w:rsidP="002946A7">
      <w:pPr>
        <w:pStyle w:val="FootnoteText"/>
        <w:jc w:val="both"/>
        <w:rPr>
          <w:rFonts w:ascii="Times New Roman" w:hAnsi="Times New Roman" w:cs="Times New Roman"/>
          <w:sz w:val="20"/>
          <w:szCs w:val="20"/>
        </w:rPr>
      </w:pPr>
      <w:r w:rsidRPr="00F93B1C">
        <w:rPr>
          <w:rStyle w:val="FootnoteReference"/>
          <w:rFonts w:ascii="Times New Roman" w:hAnsi="Times New Roman" w:cs="Times New Roman"/>
          <w:sz w:val="20"/>
          <w:szCs w:val="20"/>
        </w:rPr>
        <w:footnoteRef/>
      </w:r>
      <w:r w:rsidRPr="00F93B1C">
        <w:rPr>
          <w:rFonts w:ascii="Times New Roman" w:hAnsi="Times New Roman" w:cs="Times New Roman"/>
          <w:sz w:val="20"/>
          <w:szCs w:val="20"/>
        </w:rPr>
        <w:t xml:space="preserve"> Trata-se da aplicação, ao caso brasileiro, da metodologia do </w:t>
      </w:r>
      <w:r w:rsidRPr="00F93B1C">
        <w:rPr>
          <w:rFonts w:ascii="Times New Roman" w:hAnsi="Times New Roman" w:cs="Times New Roman"/>
          <w:i/>
          <w:sz w:val="20"/>
          <w:szCs w:val="20"/>
        </w:rPr>
        <w:t>tax freedom day</w:t>
      </w:r>
      <w:r w:rsidRPr="00F93B1C">
        <w:rPr>
          <w:rFonts w:ascii="Times New Roman" w:hAnsi="Times New Roman" w:cs="Times New Roman"/>
          <w:sz w:val="20"/>
          <w:szCs w:val="20"/>
        </w:rPr>
        <w:t xml:space="preserve"> calculado anualmente pela </w:t>
      </w:r>
      <w:r w:rsidRPr="00F93B1C">
        <w:rPr>
          <w:rFonts w:ascii="Times New Roman" w:hAnsi="Times New Roman" w:cs="Times New Roman"/>
          <w:i/>
          <w:sz w:val="20"/>
          <w:szCs w:val="20"/>
        </w:rPr>
        <w:t>Tax Foundation</w:t>
      </w:r>
      <w:r w:rsidRPr="00F93B1C">
        <w:rPr>
          <w:rFonts w:ascii="Times New Roman" w:hAnsi="Times New Roman" w:cs="Times New Roman"/>
          <w:sz w:val="20"/>
          <w:szCs w:val="20"/>
        </w:rPr>
        <w:t xml:space="preserve"> para os EUA. Para detalhes, ver: </w:t>
      </w:r>
      <w:hyperlink r:id="rId2" w:history="1">
        <w:r w:rsidRPr="00F93B1C">
          <w:rPr>
            <w:rStyle w:val="Hyperlink"/>
            <w:rFonts w:ascii="Times New Roman" w:hAnsi="Times New Roman" w:cs="Times New Roman"/>
            <w:sz w:val="20"/>
            <w:szCs w:val="20"/>
          </w:rPr>
          <w:t>http://taxfoundation.org/tax-topics/tax-freedom-day</w:t>
        </w:r>
      </w:hyperlink>
      <w:r w:rsidRPr="00F93B1C">
        <w:rPr>
          <w:rFonts w:ascii="Times New Roman" w:hAnsi="Times New Roman" w:cs="Times New Roman"/>
          <w:sz w:val="20"/>
          <w:szCs w:val="20"/>
        </w:rPr>
        <w:t xml:space="preserve"> . No Brasil, o evento recebeu o nome de “Dia da Liberdade de Impostos”. Ver, por exemplo, esta notícia: </w:t>
      </w:r>
      <w:hyperlink r:id="rId3" w:history="1">
        <w:r w:rsidRPr="00F93B1C">
          <w:rPr>
            <w:rStyle w:val="Hyperlink"/>
            <w:rFonts w:ascii="Times New Roman" w:hAnsi="Times New Roman" w:cs="Times New Roman"/>
            <w:sz w:val="20"/>
            <w:szCs w:val="20"/>
          </w:rPr>
          <w:t>http://www.ibpt.com.br/noticia/2468/Belo-Horizonte-participa-do-Dia-da-Liberdade-de-Impostos</w:t>
        </w:r>
      </w:hyperlink>
      <w:r w:rsidRPr="00F93B1C">
        <w:rPr>
          <w:rFonts w:ascii="Times New Roman" w:hAnsi="Times New Roman" w:cs="Times New Roman"/>
          <w:sz w:val="20"/>
          <w:szCs w:val="20"/>
        </w:rPr>
        <w:t xml:space="preserve"> .</w:t>
      </w:r>
    </w:p>
  </w:footnote>
  <w:footnote w:id="19">
    <w:p w14:paraId="52CF6415" w14:textId="77069EEF" w:rsidR="00380DF3" w:rsidRPr="00DF68EB" w:rsidRDefault="00380DF3" w:rsidP="009F4900">
      <w:pPr>
        <w:pStyle w:val="FootnoteText"/>
        <w:jc w:val="both"/>
        <w:rPr>
          <w:rFonts w:ascii="Times New Roman" w:hAnsi="Times New Roman" w:cs="Times New Roman"/>
          <w:sz w:val="20"/>
          <w:szCs w:val="20"/>
        </w:rPr>
      </w:pPr>
      <w:r w:rsidRPr="00DF68EB">
        <w:rPr>
          <w:rStyle w:val="FootnoteReference"/>
          <w:rFonts w:ascii="Times New Roman" w:hAnsi="Times New Roman" w:cs="Times New Roman"/>
          <w:sz w:val="20"/>
          <w:szCs w:val="20"/>
        </w:rPr>
        <w:footnoteRef/>
      </w:r>
      <w:r w:rsidRPr="00DF68EB">
        <w:rPr>
          <w:rFonts w:ascii="Times New Roman" w:hAnsi="Times New Roman" w:cs="Times New Roman"/>
          <w:sz w:val="20"/>
          <w:szCs w:val="20"/>
        </w:rPr>
        <w:t xml:space="preserve"> Neste sentido, a discussão sobre instituições federalistas (</w:t>
      </w:r>
      <w:r w:rsidRPr="00DF68EB">
        <w:rPr>
          <w:rFonts w:ascii="Times New Roman" w:hAnsi="Times New Roman" w:cs="Times New Roman"/>
          <w:sz w:val="20"/>
          <w:szCs w:val="20"/>
        </w:rPr>
        <w:fldChar w:fldCharType="begin" w:fldLock="1"/>
      </w:r>
      <w:r w:rsidRPr="00DF68EB">
        <w:rPr>
          <w:rFonts w:ascii="Times New Roman" w:hAnsi="Times New Roman" w:cs="Times New Roman"/>
          <w:sz w:val="20"/>
          <w:szCs w:val="20"/>
        </w:rPr>
        <w:instrText>ADDIN CSL_CITATION { "citationItems" : [ { "id" : "ITEM-1", "itemData" : { "DOI" : "10.1016/j.jue.2008.12.005", "ISBN" : "0094-1190 1095-9068", "ISSN" : "00941190", "abstract" : "First generation fiscal federalism (FGFF) studies the performance of decentralized systems under the assumption of benevolent social planners. Second generation fiscal federalism (SGFF) studies performance based on the fiscal and political incentives facing subnational officials. The paper focuses on three aspects of SGFF. First, it considers the design of intergovernmental transfers. While FGFF emphasizes correcting vertical and horizontal equity, SGFF emphasizes the importance of fiscal incentives for producing local economic prosperity. SGFF extends FGFF approaches by showing how non-linear transfer systems can produce both equalization and high marginal fiscal incentives to produce local economic growth. Second, the paper raises the fiscal incentive approach, showing how different tax systems produce different fiscal incentives for political officials to choose policies. Third, the paper discusses the interaction of democracy and fiscal federalism. ?? 2008 Elsevier Inc. All rights reserved.", "author" : [ { "dropping-particle" : "", "family" : "Weingast", "given" : "Barry R.", "non-dropping-particle" : "", "parse-names" : false, "suffix" : "" } ], "container-title" : "Journal of Urban Economics", "id" : "ITEM-1", "issue" : "3", "issued" : { "date-parts" : [ [ "2009" ] ] }, "page" : "279-293", "publisher" : "Elsevier Inc.", "title" : "Second generation fiscal federalism: The implications of fiscal incentives", "type" : "article-journal", "volume" : "65" }, "uris" : [ "http://www.mendeley.com/documents/?uuid=3e5e9ad2-d064-4864-ac68-a960c33307bc" ] }, { "id" : "ITEM-2", "itemData" : { "DOI" : "10.1016/j.worlddev.2013.01.003", "ISBN" : "0305750X", "ISSN" : "0305750X", "abstract" : "This essay contributes to second generation fiscal federalism (SGFF), which traces the implications of incentives created by political and fiscal institutions. The approach explores how various forms of fiscal federalism work in the presence of political officials who, rather than being benevolent social planners, face various forms of political incentives. The paper focuses on three sets of positive models: First, it explores self-enforcing federalism; that is, how federal systems are held together given various tendencies for federal systems to become centralized or fall apart. Second, it considers how specific political institutions, such as democracy, interact with decentralization. Finally, it studies various political impediments to economic growth, again highlighting the interaction with decentralization. ?? 2013 Elsevier Ltd.", "author" : [ { "dropping-particle" : "", "family" : "Weingast", "given" : "Barry R.", "non-dropping-particle" : "", "parse-names" : false, "suffix" : "" } ], "container-title" : "World Development", "id" : "ITEM-2", "issued" : { "date-parts" : [ [ "2014" ] ] }, "page" : "14-25", "publisher" : "Elsevier Ltd", "title" : "Second Generation Fiscal Federalism: Political Aspects of Decentralization and Economic Development", "type" : "article-journal", "volume" : "53" }, "uris" : [ "http://www.mendeley.com/documents/?uuid=047bc0fa-7115-4aff-9d0a-458ce53d5467" ] } ], "mendeley" : { "formattedCitation" : "(Weingast, 2009, 2014)", "plainTextFormattedCitation" : "(Weingast, 2009, 2014)", "previouslyFormattedCitation" : "(Weingast, 2009, 2014)" }, "properties" : { "noteIndex" : 0 }, "schema" : "https://github.com/citation-style-language/schema/raw/master/csl-citation.json" }</w:instrText>
      </w:r>
      <w:r w:rsidRPr="00DF68EB">
        <w:rPr>
          <w:rFonts w:ascii="Times New Roman" w:hAnsi="Times New Roman" w:cs="Times New Roman"/>
          <w:sz w:val="20"/>
          <w:szCs w:val="20"/>
        </w:rPr>
        <w:fldChar w:fldCharType="separate"/>
      </w:r>
      <w:r w:rsidRPr="00DF68EB">
        <w:rPr>
          <w:rFonts w:ascii="Times New Roman" w:hAnsi="Times New Roman" w:cs="Times New Roman"/>
          <w:noProof/>
          <w:sz w:val="20"/>
          <w:szCs w:val="20"/>
        </w:rPr>
        <w:t>(Weingast, 2009, 2014)</w:t>
      </w:r>
      <w:r w:rsidRPr="00DF68EB">
        <w:rPr>
          <w:rFonts w:ascii="Times New Roman" w:hAnsi="Times New Roman" w:cs="Times New Roman"/>
          <w:sz w:val="20"/>
          <w:szCs w:val="20"/>
        </w:rPr>
        <w:fldChar w:fldCharType="end"/>
      </w:r>
      <w:r w:rsidRPr="00DF68EB">
        <w:rPr>
          <w:rFonts w:ascii="Times New Roman" w:hAnsi="Times New Roman" w:cs="Times New Roman"/>
          <w:sz w:val="20"/>
          <w:szCs w:val="20"/>
        </w:rPr>
        <w:t xml:space="preserve">) citada anteriormente talvez mereça maior atenção.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A0BA3"/>
    <w:multiLevelType w:val="hybridMultilevel"/>
    <w:tmpl w:val="97A05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551"/>
    <w:rsid w:val="000036F4"/>
    <w:rsid w:val="00007F11"/>
    <w:rsid w:val="000130D0"/>
    <w:rsid w:val="00027C4F"/>
    <w:rsid w:val="00046D92"/>
    <w:rsid w:val="00047893"/>
    <w:rsid w:val="00065B27"/>
    <w:rsid w:val="00074306"/>
    <w:rsid w:val="00080CF4"/>
    <w:rsid w:val="00084620"/>
    <w:rsid w:val="000920FB"/>
    <w:rsid w:val="000A4567"/>
    <w:rsid w:val="000A6CD9"/>
    <w:rsid w:val="000D79FF"/>
    <w:rsid w:val="000F31F5"/>
    <w:rsid w:val="00107921"/>
    <w:rsid w:val="00117BF0"/>
    <w:rsid w:val="0013676A"/>
    <w:rsid w:val="00143438"/>
    <w:rsid w:val="001467AA"/>
    <w:rsid w:val="00182607"/>
    <w:rsid w:val="00185FA8"/>
    <w:rsid w:val="0019313A"/>
    <w:rsid w:val="001979A9"/>
    <w:rsid w:val="001A2915"/>
    <w:rsid w:val="001A51E8"/>
    <w:rsid w:val="001A71C9"/>
    <w:rsid w:val="001A77FA"/>
    <w:rsid w:val="001C3A08"/>
    <w:rsid w:val="001C529E"/>
    <w:rsid w:val="001C665A"/>
    <w:rsid w:val="001E32BF"/>
    <w:rsid w:val="001F07F3"/>
    <w:rsid w:val="0020548A"/>
    <w:rsid w:val="0020736F"/>
    <w:rsid w:val="002220FE"/>
    <w:rsid w:val="00224CCC"/>
    <w:rsid w:val="00257DD0"/>
    <w:rsid w:val="00265BDE"/>
    <w:rsid w:val="002946A7"/>
    <w:rsid w:val="002A551E"/>
    <w:rsid w:val="002A56A1"/>
    <w:rsid w:val="002A63D1"/>
    <w:rsid w:val="002D258C"/>
    <w:rsid w:val="002D53D1"/>
    <w:rsid w:val="00317E2B"/>
    <w:rsid w:val="003223F7"/>
    <w:rsid w:val="00336EFF"/>
    <w:rsid w:val="0034685C"/>
    <w:rsid w:val="003521EB"/>
    <w:rsid w:val="00364B33"/>
    <w:rsid w:val="0037260F"/>
    <w:rsid w:val="00376CE6"/>
    <w:rsid w:val="00380DF3"/>
    <w:rsid w:val="003834D3"/>
    <w:rsid w:val="0038401B"/>
    <w:rsid w:val="00384B54"/>
    <w:rsid w:val="00391BA8"/>
    <w:rsid w:val="003A590C"/>
    <w:rsid w:val="00401AFF"/>
    <w:rsid w:val="0042512D"/>
    <w:rsid w:val="00427551"/>
    <w:rsid w:val="00452FE3"/>
    <w:rsid w:val="00471717"/>
    <w:rsid w:val="00474397"/>
    <w:rsid w:val="004843FB"/>
    <w:rsid w:val="00485E2A"/>
    <w:rsid w:val="004871CB"/>
    <w:rsid w:val="004E5B49"/>
    <w:rsid w:val="004E7A7F"/>
    <w:rsid w:val="005048AA"/>
    <w:rsid w:val="00507D90"/>
    <w:rsid w:val="00510BAF"/>
    <w:rsid w:val="00510E06"/>
    <w:rsid w:val="005111CA"/>
    <w:rsid w:val="005243F4"/>
    <w:rsid w:val="0052621F"/>
    <w:rsid w:val="005324EE"/>
    <w:rsid w:val="00534F28"/>
    <w:rsid w:val="0055089F"/>
    <w:rsid w:val="005508BD"/>
    <w:rsid w:val="00566236"/>
    <w:rsid w:val="005712D9"/>
    <w:rsid w:val="00573D79"/>
    <w:rsid w:val="00574785"/>
    <w:rsid w:val="00574B06"/>
    <w:rsid w:val="00575480"/>
    <w:rsid w:val="005959A4"/>
    <w:rsid w:val="005B31ED"/>
    <w:rsid w:val="005B4A95"/>
    <w:rsid w:val="005D372E"/>
    <w:rsid w:val="005F6755"/>
    <w:rsid w:val="005F795E"/>
    <w:rsid w:val="00602E20"/>
    <w:rsid w:val="00614E4A"/>
    <w:rsid w:val="006150EE"/>
    <w:rsid w:val="00617A4C"/>
    <w:rsid w:val="00617EF9"/>
    <w:rsid w:val="00624186"/>
    <w:rsid w:val="00624216"/>
    <w:rsid w:val="00630C85"/>
    <w:rsid w:val="00630CEA"/>
    <w:rsid w:val="006433D5"/>
    <w:rsid w:val="00652B27"/>
    <w:rsid w:val="00656D81"/>
    <w:rsid w:val="00665852"/>
    <w:rsid w:val="00665D43"/>
    <w:rsid w:val="006724E2"/>
    <w:rsid w:val="00673A77"/>
    <w:rsid w:val="00685554"/>
    <w:rsid w:val="006904D9"/>
    <w:rsid w:val="00692863"/>
    <w:rsid w:val="00695280"/>
    <w:rsid w:val="0069731B"/>
    <w:rsid w:val="006A453C"/>
    <w:rsid w:val="006A702F"/>
    <w:rsid w:val="006C6DBA"/>
    <w:rsid w:val="006D35A0"/>
    <w:rsid w:val="006D5D35"/>
    <w:rsid w:val="006D62C0"/>
    <w:rsid w:val="006E2A60"/>
    <w:rsid w:val="006E2F80"/>
    <w:rsid w:val="006E5B51"/>
    <w:rsid w:val="006F003E"/>
    <w:rsid w:val="00711754"/>
    <w:rsid w:val="00724EC3"/>
    <w:rsid w:val="00740F21"/>
    <w:rsid w:val="0077114D"/>
    <w:rsid w:val="00772D3D"/>
    <w:rsid w:val="00773397"/>
    <w:rsid w:val="007756AD"/>
    <w:rsid w:val="00790C67"/>
    <w:rsid w:val="00792A4C"/>
    <w:rsid w:val="00794917"/>
    <w:rsid w:val="007B06B9"/>
    <w:rsid w:val="007B2966"/>
    <w:rsid w:val="007B3B54"/>
    <w:rsid w:val="007B6B4B"/>
    <w:rsid w:val="007C3179"/>
    <w:rsid w:val="007C384A"/>
    <w:rsid w:val="007D1E87"/>
    <w:rsid w:val="007D723C"/>
    <w:rsid w:val="007E5DF8"/>
    <w:rsid w:val="007F0A8E"/>
    <w:rsid w:val="007F5090"/>
    <w:rsid w:val="007F6985"/>
    <w:rsid w:val="008004AD"/>
    <w:rsid w:val="00801529"/>
    <w:rsid w:val="00817BB0"/>
    <w:rsid w:val="008226DE"/>
    <w:rsid w:val="00834636"/>
    <w:rsid w:val="00841595"/>
    <w:rsid w:val="0085446A"/>
    <w:rsid w:val="00857464"/>
    <w:rsid w:val="00861C0F"/>
    <w:rsid w:val="0088424F"/>
    <w:rsid w:val="0089101D"/>
    <w:rsid w:val="00897654"/>
    <w:rsid w:val="008C01C9"/>
    <w:rsid w:val="008C4FAA"/>
    <w:rsid w:val="008C67A1"/>
    <w:rsid w:val="008D12D0"/>
    <w:rsid w:val="008E05DC"/>
    <w:rsid w:val="00903D57"/>
    <w:rsid w:val="009124CC"/>
    <w:rsid w:val="009137BC"/>
    <w:rsid w:val="009175F0"/>
    <w:rsid w:val="00950224"/>
    <w:rsid w:val="00962D79"/>
    <w:rsid w:val="00981E5B"/>
    <w:rsid w:val="009843AC"/>
    <w:rsid w:val="009A3443"/>
    <w:rsid w:val="009B5436"/>
    <w:rsid w:val="009B569A"/>
    <w:rsid w:val="009B6263"/>
    <w:rsid w:val="009B7D30"/>
    <w:rsid w:val="009D5465"/>
    <w:rsid w:val="009E2740"/>
    <w:rsid w:val="009E29C7"/>
    <w:rsid w:val="009F4900"/>
    <w:rsid w:val="009F69ED"/>
    <w:rsid w:val="009F7C26"/>
    <w:rsid w:val="00A01EB7"/>
    <w:rsid w:val="00A03000"/>
    <w:rsid w:val="00A10D6C"/>
    <w:rsid w:val="00A128FF"/>
    <w:rsid w:val="00A250CE"/>
    <w:rsid w:val="00A44697"/>
    <w:rsid w:val="00A644BF"/>
    <w:rsid w:val="00A6485F"/>
    <w:rsid w:val="00A711EB"/>
    <w:rsid w:val="00A76DEC"/>
    <w:rsid w:val="00A778C5"/>
    <w:rsid w:val="00A81C6A"/>
    <w:rsid w:val="00A82EB8"/>
    <w:rsid w:val="00A91F7C"/>
    <w:rsid w:val="00A92783"/>
    <w:rsid w:val="00AA1CDA"/>
    <w:rsid w:val="00AA76AE"/>
    <w:rsid w:val="00AB4D07"/>
    <w:rsid w:val="00AD3A19"/>
    <w:rsid w:val="00AD42E3"/>
    <w:rsid w:val="00AE665F"/>
    <w:rsid w:val="00AE761E"/>
    <w:rsid w:val="00B0584D"/>
    <w:rsid w:val="00B115C8"/>
    <w:rsid w:val="00B1706B"/>
    <w:rsid w:val="00B20AD6"/>
    <w:rsid w:val="00B20CBF"/>
    <w:rsid w:val="00B5051D"/>
    <w:rsid w:val="00B55C43"/>
    <w:rsid w:val="00B632CE"/>
    <w:rsid w:val="00B65698"/>
    <w:rsid w:val="00B81C0D"/>
    <w:rsid w:val="00B9052C"/>
    <w:rsid w:val="00B925DC"/>
    <w:rsid w:val="00B94248"/>
    <w:rsid w:val="00B95D43"/>
    <w:rsid w:val="00BA043A"/>
    <w:rsid w:val="00BA70CB"/>
    <w:rsid w:val="00BD10E4"/>
    <w:rsid w:val="00BD574B"/>
    <w:rsid w:val="00BE3835"/>
    <w:rsid w:val="00BE5E53"/>
    <w:rsid w:val="00C11D8F"/>
    <w:rsid w:val="00C14E7E"/>
    <w:rsid w:val="00C16191"/>
    <w:rsid w:val="00C3649E"/>
    <w:rsid w:val="00C429DC"/>
    <w:rsid w:val="00C858E1"/>
    <w:rsid w:val="00C86796"/>
    <w:rsid w:val="00C87D3E"/>
    <w:rsid w:val="00C90A80"/>
    <w:rsid w:val="00C90F10"/>
    <w:rsid w:val="00C913AB"/>
    <w:rsid w:val="00C95450"/>
    <w:rsid w:val="00CB3935"/>
    <w:rsid w:val="00CB6692"/>
    <w:rsid w:val="00CD1066"/>
    <w:rsid w:val="00CD4184"/>
    <w:rsid w:val="00CE2519"/>
    <w:rsid w:val="00CE5185"/>
    <w:rsid w:val="00CF0CDD"/>
    <w:rsid w:val="00CF6278"/>
    <w:rsid w:val="00CF7270"/>
    <w:rsid w:val="00D062C7"/>
    <w:rsid w:val="00D13D98"/>
    <w:rsid w:val="00D21B76"/>
    <w:rsid w:val="00D26BE9"/>
    <w:rsid w:val="00D471F7"/>
    <w:rsid w:val="00D67E70"/>
    <w:rsid w:val="00D8298C"/>
    <w:rsid w:val="00D86210"/>
    <w:rsid w:val="00DA1229"/>
    <w:rsid w:val="00DA5518"/>
    <w:rsid w:val="00DB31EB"/>
    <w:rsid w:val="00DC036D"/>
    <w:rsid w:val="00DC26FF"/>
    <w:rsid w:val="00DD3BD7"/>
    <w:rsid w:val="00DE6D8D"/>
    <w:rsid w:val="00DF5E38"/>
    <w:rsid w:val="00DF68EB"/>
    <w:rsid w:val="00E01624"/>
    <w:rsid w:val="00E039FD"/>
    <w:rsid w:val="00E04952"/>
    <w:rsid w:val="00E14049"/>
    <w:rsid w:val="00E16DCD"/>
    <w:rsid w:val="00E31011"/>
    <w:rsid w:val="00E377F0"/>
    <w:rsid w:val="00E46E05"/>
    <w:rsid w:val="00E61425"/>
    <w:rsid w:val="00E76187"/>
    <w:rsid w:val="00E94FF0"/>
    <w:rsid w:val="00EC6208"/>
    <w:rsid w:val="00EC733E"/>
    <w:rsid w:val="00ED76AB"/>
    <w:rsid w:val="00EE02CA"/>
    <w:rsid w:val="00EE039C"/>
    <w:rsid w:val="00EE0590"/>
    <w:rsid w:val="00EE0646"/>
    <w:rsid w:val="00EF1791"/>
    <w:rsid w:val="00EF1A38"/>
    <w:rsid w:val="00F00115"/>
    <w:rsid w:val="00F013C2"/>
    <w:rsid w:val="00F01CF7"/>
    <w:rsid w:val="00F14F5D"/>
    <w:rsid w:val="00F436F6"/>
    <w:rsid w:val="00F57B66"/>
    <w:rsid w:val="00F70D95"/>
    <w:rsid w:val="00F80D56"/>
    <w:rsid w:val="00F93B1C"/>
    <w:rsid w:val="00FC072D"/>
    <w:rsid w:val="00FE6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2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EastAsia" w:hAnsi="Book Antiqua" w:cstheme="minorBidi"/>
        <w:sz w:val="24"/>
        <w:szCs w:val="24"/>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27551"/>
    <w:pPr>
      <w:keepNext/>
      <w:keepLines/>
      <w:spacing w:before="240" w:after="0"/>
      <w:outlineLvl w:val="0"/>
    </w:pPr>
    <w:rPr>
      <w:rFonts w:ascii="Times New Roman" w:eastAsiaTheme="majorEastAsia" w:hAnsi="Times New Roman" w:cstheme="majorBidi"/>
      <w:b/>
      <w:szCs w:val="32"/>
      <w:lang w:val="pt-B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551"/>
    <w:rPr>
      <w:rFonts w:ascii="Times New Roman" w:eastAsiaTheme="majorEastAsia" w:hAnsi="Times New Roman" w:cstheme="majorBidi"/>
      <w:b/>
      <w:szCs w:val="32"/>
      <w:lang w:val="pt-BR" w:eastAsia="en-US"/>
    </w:rPr>
  </w:style>
  <w:style w:type="paragraph" w:styleId="FootnoteText">
    <w:name w:val="footnote text"/>
    <w:basedOn w:val="Normal"/>
    <w:link w:val="FootnoteTextChar"/>
    <w:unhideWhenUsed/>
    <w:rsid w:val="00427551"/>
    <w:pPr>
      <w:spacing w:after="0" w:line="240" w:lineRule="auto"/>
    </w:pPr>
    <w:rPr>
      <w:rFonts w:asciiTheme="minorHAnsi" w:hAnsiTheme="minorHAnsi"/>
      <w:lang w:val="pt-BR" w:eastAsia="en-US"/>
    </w:rPr>
  </w:style>
  <w:style w:type="character" w:customStyle="1" w:styleId="FootnoteTextChar">
    <w:name w:val="Footnote Text Char"/>
    <w:basedOn w:val="DefaultParagraphFont"/>
    <w:link w:val="FootnoteText"/>
    <w:rsid w:val="00427551"/>
    <w:rPr>
      <w:rFonts w:asciiTheme="minorHAnsi" w:hAnsiTheme="minorHAnsi"/>
      <w:lang w:val="pt-BR" w:eastAsia="en-US"/>
    </w:rPr>
  </w:style>
  <w:style w:type="character" w:styleId="FootnoteReference">
    <w:name w:val="footnote reference"/>
    <w:basedOn w:val="DefaultParagraphFont"/>
    <w:unhideWhenUsed/>
    <w:rsid w:val="00427551"/>
    <w:rPr>
      <w:vertAlign w:val="superscript"/>
    </w:rPr>
  </w:style>
  <w:style w:type="paragraph" w:styleId="BalloonText">
    <w:name w:val="Balloon Text"/>
    <w:basedOn w:val="Normal"/>
    <w:link w:val="BalloonTextChar"/>
    <w:uiPriority w:val="99"/>
    <w:semiHidden/>
    <w:unhideWhenUsed/>
    <w:rsid w:val="004275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551"/>
    <w:rPr>
      <w:rFonts w:ascii="Tahoma" w:hAnsi="Tahoma" w:cs="Tahoma"/>
      <w:sz w:val="16"/>
      <w:szCs w:val="16"/>
    </w:rPr>
  </w:style>
  <w:style w:type="paragraph" w:customStyle="1" w:styleId="PargrafodaLista1">
    <w:name w:val="Parágrafo da Lista1"/>
    <w:basedOn w:val="Normal"/>
    <w:rsid w:val="00391BA8"/>
    <w:pPr>
      <w:suppressAutoHyphens/>
      <w:spacing w:line="360" w:lineRule="auto"/>
      <w:ind w:left="720"/>
      <w:jc w:val="center"/>
    </w:pPr>
    <w:rPr>
      <w:rFonts w:ascii="Calibri" w:eastAsia="Times New Roman" w:hAnsi="Calibri" w:cs="Calibri"/>
      <w:sz w:val="22"/>
      <w:szCs w:val="22"/>
      <w:lang w:val="pt-BR" w:eastAsia="ar-SA"/>
    </w:rPr>
  </w:style>
  <w:style w:type="paragraph" w:styleId="Header">
    <w:name w:val="header"/>
    <w:basedOn w:val="Normal"/>
    <w:link w:val="HeaderChar"/>
    <w:uiPriority w:val="99"/>
    <w:unhideWhenUsed/>
    <w:rsid w:val="00452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FE3"/>
  </w:style>
  <w:style w:type="paragraph" w:styleId="Footer">
    <w:name w:val="footer"/>
    <w:basedOn w:val="Normal"/>
    <w:link w:val="FooterChar"/>
    <w:uiPriority w:val="99"/>
    <w:unhideWhenUsed/>
    <w:rsid w:val="00452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FE3"/>
  </w:style>
  <w:style w:type="table" w:styleId="TableGrid">
    <w:name w:val="Table Grid"/>
    <w:basedOn w:val="TableNormal"/>
    <w:uiPriority w:val="59"/>
    <w:rsid w:val="00A10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D81"/>
    <w:pPr>
      <w:ind w:left="720"/>
      <w:contextualSpacing/>
    </w:pPr>
  </w:style>
  <w:style w:type="character" w:styleId="CommentReference">
    <w:name w:val="annotation reference"/>
    <w:basedOn w:val="DefaultParagraphFont"/>
    <w:uiPriority w:val="99"/>
    <w:semiHidden/>
    <w:unhideWhenUsed/>
    <w:rsid w:val="00F436F6"/>
    <w:rPr>
      <w:sz w:val="16"/>
      <w:szCs w:val="16"/>
    </w:rPr>
  </w:style>
  <w:style w:type="paragraph" w:styleId="CommentText">
    <w:name w:val="annotation text"/>
    <w:basedOn w:val="Normal"/>
    <w:link w:val="CommentTextChar"/>
    <w:uiPriority w:val="99"/>
    <w:semiHidden/>
    <w:unhideWhenUsed/>
    <w:rsid w:val="00F436F6"/>
    <w:pPr>
      <w:spacing w:line="240" w:lineRule="auto"/>
    </w:pPr>
    <w:rPr>
      <w:sz w:val="20"/>
      <w:szCs w:val="20"/>
    </w:rPr>
  </w:style>
  <w:style w:type="character" w:customStyle="1" w:styleId="CommentTextChar">
    <w:name w:val="Comment Text Char"/>
    <w:basedOn w:val="DefaultParagraphFont"/>
    <w:link w:val="CommentText"/>
    <w:uiPriority w:val="99"/>
    <w:semiHidden/>
    <w:rsid w:val="00F436F6"/>
    <w:rPr>
      <w:sz w:val="20"/>
      <w:szCs w:val="20"/>
    </w:rPr>
  </w:style>
  <w:style w:type="paragraph" w:styleId="CommentSubject">
    <w:name w:val="annotation subject"/>
    <w:basedOn w:val="CommentText"/>
    <w:next w:val="CommentText"/>
    <w:link w:val="CommentSubjectChar"/>
    <w:uiPriority w:val="99"/>
    <w:semiHidden/>
    <w:unhideWhenUsed/>
    <w:rsid w:val="00F436F6"/>
    <w:rPr>
      <w:b/>
      <w:bCs/>
    </w:rPr>
  </w:style>
  <w:style w:type="character" w:customStyle="1" w:styleId="CommentSubjectChar">
    <w:name w:val="Comment Subject Char"/>
    <w:basedOn w:val="CommentTextChar"/>
    <w:link w:val="CommentSubject"/>
    <w:uiPriority w:val="99"/>
    <w:semiHidden/>
    <w:rsid w:val="00F436F6"/>
    <w:rPr>
      <w:b/>
      <w:bCs/>
      <w:sz w:val="20"/>
      <w:szCs w:val="20"/>
    </w:rPr>
  </w:style>
  <w:style w:type="character" w:styleId="Hyperlink">
    <w:name w:val="Hyperlink"/>
    <w:basedOn w:val="DefaultParagraphFont"/>
    <w:uiPriority w:val="99"/>
    <w:unhideWhenUsed/>
    <w:rsid w:val="006904D9"/>
    <w:rPr>
      <w:color w:val="0000FF" w:themeColor="hyperlink"/>
      <w:u w:val="single"/>
    </w:rPr>
  </w:style>
  <w:style w:type="character" w:styleId="FollowedHyperlink">
    <w:name w:val="FollowedHyperlink"/>
    <w:basedOn w:val="DefaultParagraphFont"/>
    <w:uiPriority w:val="99"/>
    <w:semiHidden/>
    <w:unhideWhenUsed/>
    <w:rsid w:val="00574B0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EastAsia" w:hAnsi="Book Antiqua" w:cstheme="minorBidi"/>
        <w:sz w:val="24"/>
        <w:szCs w:val="24"/>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27551"/>
    <w:pPr>
      <w:keepNext/>
      <w:keepLines/>
      <w:spacing w:before="240" w:after="0"/>
      <w:outlineLvl w:val="0"/>
    </w:pPr>
    <w:rPr>
      <w:rFonts w:ascii="Times New Roman" w:eastAsiaTheme="majorEastAsia" w:hAnsi="Times New Roman" w:cstheme="majorBidi"/>
      <w:b/>
      <w:szCs w:val="32"/>
      <w:lang w:val="pt-B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551"/>
    <w:rPr>
      <w:rFonts w:ascii="Times New Roman" w:eastAsiaTheme="majorEastAsia" w:hAnsi="Times New Roman" w:cstheme="majorBidi"/>
      <w:b/>
      <w:szCs w:val="32"/>
      <w:lang w:val="pt-BR" w:eastAsia="en-US"/>
    </w:rPr>
  </w:style>
  <w:style w:type="paragraph" w:styleId="FootnoteText">
    <w:name w:val="footnote text"/>
    <w:basedOn w:val="Normal"/>
    <w:link w:val="FootnoteTextChar"/>
    <w:unhideWhenUsed/>
    <w:rsid w:val="00427551"/>
    <w:pPr>
      <w:spacing w:after="0" w:line="240" w:lineRule="auto"/>
    </w:pPr>
    <w:rPr>
      <w:rFonts w:asciiTheme="minorHAnsi" w:hAnsiTheme="minorHAnsi"/>
      <w:lang w:val="pt-BR" w:eastAsia="en-US"/>
    </w:rPr>
  </w:style>
  <w:style w:type="character" w:customStyle="1" w:styleId="FootnoteTextChar">
    <w:name w:val="Footnote Text Char"/>
    <w:basedOn w:val="DefaultParagraphFont"/>
    <w:link w:val="FootnoteText"/>
    <w:rsid w:val="00427551"/>
    <w:rPr>
      <w:rFonts w:asciiTheme="minorHAnsi" w:hAnsiTheme="minorHAnsi"/>
      <w:lang w:val="pt-BR" w:eastAsia="en-US"/>
    </w:rPr>
  </w:style>
  <w:style w:type="character" w:styleId="FootnoteReference">
    <w:name w:val="footnote reference"/>
    <w:basedOn w:val="DefaultParagraphFont"/>
    <w:unhideWhenUsed/>
    <w:rsid w:val="00427551"/>
    <w:rPr>
      <w:vertAlign w:val="superscript"/>
    </w:rPr>
  </w:style>
  <w:style w:type="paragraph" w:styleId="BalloonText">
    <w:name w:val="Balloon Text"/>
    <w:basedOn w:val="Normal"/>
    <w:link w:val="BalloonTextChar"/>
    <w:uiPriority w:val="99"/>
    <w:semiHidden/>
    <w:unhideWhenUsed/>
    <w:rsid w:val="004275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551"/>
    <w:rPr>
      <w:rFonts w:ascii="Tahoma" w:hAnsi="Tahoma" w:cs="Tahoma"/>
      <w:sz w:val="16"/>
      <w:szCs w:val="16"/>
    </w:rPr>
  </w:style>
  <w:style w:type="paragraph" w:customStyle="1" w:styleId="PargrafodaLista1">
    <w:name w:val="Parágrafo da Lista1"/>
    <w:basedOn w:val="Normal"/>
    <w:rsid w:val="00391BA8"/>
    <w:pPr>
      <w:suppressAutoHyphens/>
      <w:spacing w:line="360" w:lineRule="auto"/>
      <w:ind w:left="720"/>
      <w:jc w:val="center"/>
    </w:pPr>
    <w:rPr>
      <w:rFonts w:ascii="Calibri" w:eastAsia="Times New Roman" w:hAnsi="Calibri" w:cs="Calibri"/>
      <w:sz w:val="22"/>
      <w:szCs w:val="22"/>
      <w:lang w:val="pt-BR" w:eastAsia="ar-SA"/>
    </w:rPr>
  </w:style>
  <w:style w:type="paragraph" w:styleId="Header">
    <w:name w:val="header"/>
    <w:basedOn w:val="Normal"/>
    <w:link w:val="HeaderChar"/>
    <w:uiPriority w:val="99"/>
    <w:unhideWhenUsed/>
    <w:rsid w:val="00452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FE3"/>
  </w:style>
  <w:style w:type="paragraph" w:styleId="Footer">
    <w:name w:val="footer"/>
    <w:basedOn w:val="Normal"/>
    <w:link w:val="FooterChar"/>
    <w:uiPriority w:val="99"/>
    <w:unhideWhenUsed/>
    <w:rsid w:val="00452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FE3"/>
  </w:style>
  <w:style w:type="table" w:styleId="TableGrid">
    <w:name w:val="Table Grid"/>
    <w:basedOn w:val="TableNormal"/>
    <w:uiPriority w:val="59"/>
    <w:rsid w:val="00A10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D81"/>
    <w:pPr>
      <w:ind w:left="720"/>
      <w:contextualSpacing/>
    </w:pPr>
  </w:style>
  <w:style w:type="character" w:styleId="CommentReference">
    <w:name w:val="annotation reference"/>
    <w:basedOn w:val="DefaultParagraphFont"/>
    <w:uiPriority w:val="99"/>
    <w:semiHidden/>
    <w:unhideWhenUsed/>
    <w:rsid w:val="00F436F6"/>
    <w:rPr>
      <w:sz w:val="16"/>
      <w:szCs w:val="16"/>
    </w:rPr>
  </w:style>
  <w:style w:type="paragraph" w:styleId="CommentText">
    <w:name w:val="annotation text"/>
    <w:basedOn w:val="Normal"/>
    <w:link w:val="CommentTextChar"/>
    <w:uiPriority w:val="99"/>
    <w:semiHidden/>
    <w:unhideWhenUsed/>
    <w:rsid w:val="00F436F6"/>
    <w:pPr>
      <w:spacing w:line="240" w:lineRule="auto"/>
    </w:pPr>
    <w:rPr>
      <w:sz w:val="20"/>
      <w:szCs w:val="20"/>
    </w:rPr>
  </w:style>
  <w:style w:type="character" w:customStyle="1" w:styleId="CommentTextChar">
    <w:name w:val="Comment Text Char"/>
    <w:basedOn w:val="DefaultParagraphFont"/>
    <w:link w:val="CommentText"/>
    <w:uiPriority w:val="99"/>
    <w:semiHidden/>
    <w:rsid w:val="00F436F6"/>
    <w:rPr>
      <w:sz w:val="20"/>
      <w:szCs w:val="20"/>
    </w:rPr>
  </w:style>
  <w:style w:type="paragraph" w:styleId="CommentSubject">
    <w:name w:val="annotation subject"/>
    <w:basedOn w:val="CommentText"/>
    <w:next w:val="CommentText"/>
    <w:link w:val="CommentSubjectChar"/>
    <w:uiPriority w:val="99"/>
    <w:semiHidden/>
    <w:unhideWhenUsed/>
    <w:rsid w:val="00F436F6"/>
    <w:rPr>
      <w:b/>
      <w:bCs/>
    </w:rPr>
  </w:style>
  <w:style w:type="character" w:customStyle="1" w:styleId="CommentSubjectChar">
    <w:name w:val="Comment Subject Char"/>
    <w:basedOn w:val="CommentTextChar"/>
    <w:link w:val="CommentSubject"/>
    <w:uiPriority w:val="99"/>
    <w:semiHidden/>
    <w:rsid w:val="00F436F6"/>
    <w:rPr>
      <w:b/>
      <w:bCs/>
      <w:sz w:val="20"/>
      <w:szCs w:val="20"/>
    </w:rPr>
  </w:style>
  <w:style w:type="character" w:styleId="Hyperlink">
    <w:name w:val="Hyperlink"/>
    <w:basedOn w:val="DefaultParagraphFont"/>
    <w:uiPriority w:val="99"/>
    <w:unhideWhenUsed/>
    <w:rsid w:val="006904D9"/>
    <w:rPr>
      <w:color w:val="0000FF" w:themeColor="hyperlink"/>
      <w:u w:val="single"/>
    </w:rPr>
  </w:style>
  <w:style w:type="character" w:styleId="FollowedHyperlink">
    <w:name w:val="FollowedHyperlink"/>
    <w:basedOn w:val="DefaultParagraphFont"/>
    <w:uiPriority w:val="99"/>
    <w:semiHidden/>
    <w:unhideWhenUsed/>
    <w:rsid w:val="00574B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14687">
      <w:bodyDiv w:val="1"/>
      <w:marLeft w:val="0"/>
      <w:marRight w:val="0"/>
      <w:marTop w:val="0"/>
      <w:marBottom w:val="0"/>
      <w:divBdr>
        <w:top w:val="none" w:sz="0" w:space="0" w:color="auto"/>
        <w:left w:val="none" w:sz="0" w:space="0" w:color="auto"/>
        <w:bottom w:val="none" w:sz="0" w:space="0" w:color="auto"/>
        <w:right w:val="none" w:sz="0" w:space="0" w:color="auto"/>
      </w:divBdr>
    </w:div>
    <w:div w:id="251938595">
      <w:bodyDiv w:val="1"/>
      <w:marLeft w:val="0"/>
      <w:marRight w:val="0"/>
      <w:marTop w:val="0"/>
      <w:marBottom w:val="0"/>
      <w:divBdr>
        <w:top w:val="none" w:sz="0" w:space="0" w:color="auto"/>
        <w:left w:val="none" w:sz="0" w:space="0" w:color="auto"/>
        <w:bottom w:val="none" w:sz="0" w:space="0" w:color="auto"/>
        <w:right w:val="none" w:sz="0" w:space="0" w:color="auto"/>
      </w:divBdr>
    </w:div>
    <w:div w:id="1252472074">
      <w:bodyDiv w:val="1"/>
      <w:marLeft w:val="0"/>
      <w:marRight w:val="0"/>
      <w:marTop w:val="0"/>
      <w:marBottom w:val="0"/>
      <w:divBdr>
        <w:top w:val="none" w:sz="0" w:space="0" w:color="auto"/>
        <w:left w:val="none" w:sz="0" w:space="0" w:color="auto"/>
        <w:bottom w:val="none" w:sz="0" w:space="0" w:color="auto"/>
        <w:right w:val="none" w:sz="0" w:space="0" w:color="auto"/>
      </w:divBdr>
    </w:div>
    <w:div w:id="1497110437">
      <w:bodyDiv w:val="1"/>
      <w:marLeft w:val="0"/>
      <w:marRight w:val="0"/>
      <w:marTop w:val="0"/>
      <w:marBottom w:val="0"/>
      <w:divBdr>
        <w:top w:val="none" w:sz="0" w:space="0" w:color="auto"/>
        <w:left w:val="none" w:sz="0" w:space="0" w:color="auto"/>
        <w:bottom w:val="none" w:sz="0" w:space="0" w:color="auto"/>
        <w:right w:val="none" w:sz="0" w:space="0" w:color="auto"/>
      </w:divBdr>
    </w:div>
    <w:div w:id="185565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oleObject" Target="embeddings/oleObject19.bin"/><Relationship Id="rId50" Type="http://schemas.openxmlformats.org/officeDocument/2006/relationships/oleObject" Target="embeddings/oleObject20.bin"/><Relationship Id="rId55" Type="http://schemas.openxmlformats.org/officeDocument/2006/relationships/image" Target="media/image2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emf"/><Relationship Id="rId37" Type="http://schemas.openxmlformats.org/officeDocument/2006/relationships/oleObject" Target="embeddings/oleObject14.bin"/><Relationship Id="rId40" Type="http://schemas.openxmlformats.org/officeDocument/2006/relationships/image" Target="media/image17.wmf"/><Relationship Id="rId45" Type="http://schemas.openxmlformats.org/officeDocument/2006/relationships/oleObject" Target="embeddings/oleObject18.bin"/><Relationship Id="rId53" Type="http://schemas.openxmlformats.org/officeDocument/2006/relationships/image" Target="media/image23.emf"/><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chart" Target="charts/chart1.xml"/><Relationship Id="rId56" Type="http://schemas.openxmlformats.org/officeDocument/2006/relationships/image" Target="media/image25.png"/><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wmf"/><Relationship Id="rId49" Type="http://schemas.openxmlformats.org/officeDocument/2006/relationships/image" Target="media/image21.emf"/><Relationship Id="rId57" Type="http://schemas.openxmlformats.org/officeDocument/2006/relationships/footer" Target="footer1.xml"/><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oleObject" Target="embeddings/oleObject21.bin"/></Relationships>
</file>

<file path=word/_rels/footnotes.xml.rels><?xml version="1.0" encoding="UTF-8" standalone="yes"?>
<Relationships xmlns="http://schemas.openxmlformats.org/package/2006/relationships"><Relationship Id="rId3" Type="http://schemas.openxmlformats.org/officeDocument/2006/relationships/hyperlink" Target="http://www.ibpt.com.br/noticia/2468/Belo-Horizonte-participa-do-Dia-da-Liberdade-de-Impostos" TargetMode="External"/><Relationship Id="rId2" Type="http://schemas.openxmlformats.org/officeDocument/2006/relationships/hyperlink" Target="http://taxfoundation.org/tax-topics/tax-freedom-day" TargetMode="External"/><Relationship Id="rId1" Type="http://schemas.openxmlformats.org/officeDocument/2006/relationships/hyperlink" Target="http://idg.receita.fazenda.gov.br/dados/receitadata/estudos-e-tributarios-e-aduaneiros/estudos-e-estatisticas/carga-tributaria-no-brasil/carga-tributaria-no-brasil-cap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dshi_000\Documents\Meus%20Documentos\Meus%20Documentos\textos\textos%20em%20andamento%20(e%20planilhas)\novocargatributaria\cargatributaria_seri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1"/>
          <c:tx>
            <c:strRef>
              <c:f>[cargatributaria_serie.xlsx]Plan1!$C$1</c:f>
              <c:strCache>
                <c:ptCount val="1"/>
                <c:pt idx="0">
                  <c:v>PIB R$ de 2013 (milhões)</c:v>
                </c:pt>
              </c:strCache>
            </c:strRef>
          </c:tx>
          <c:marker>
            <c:symbol val="none"/>
          </c:marker>
          <c:cat>
            <c:numRef>
              <c:f>[cargatributaria_serie.xlsx]Plan1!$A$2:$A$68</c:f>
              <c:numCache>
                <c:formatCode>General</c:formatCode>
                <c:ptCount val="67"/>
                <c:pt idx="0">
                  <c:v>1947</c:v>
                </c:pt>
                <c:pt idx="1">
                  <c:v>1948</c:v>
                </c:pt>
                <c:pt idx="2">
                  <c:v>1949</c:v>
                </c:pt>
                <c:pt idx="3">
                  <c:v>1950</c:v>
                </c:pt>
                <c:pt idx="4">
                  <c:v>1951</c:v>
                </c:pt>
                <c:pt idx="5">
                  <c:v>1952</c:v>
                </c:pt>
                <c:pt idx="6">
                  <c:v>1953</c:v>
                </c:pt>
                <c:pt idx="7">
                  <c:v>1954</c:v>
                </c:pt>
                <c:pt idx="8">
                  <c:v>1955</c:v>
                </c:pt>
                <c:pt idx="9">
                  <c:v>1956</c:v>
                </c:pt>
                <c:pt idx="10">
                  <c:v>1957</c:v>
                </c:pt>
                <c:pt idx="11">
                  <c:v>1958</c:v>
                </c:pt>
                <c:pt idx="12">
                  <c:v>1959</c:v>
                </c:pt>
                <c:pt idx="13">
                  <c:v>1960</c:v>
                </c:pt>
                <c:pt idx="14">
                  <c:v>1961</c:v>
                </c:pt>
                <c:pt idx="15">
                  <c:v>1962</c:v>
                </c:pt>
                <c:pt idx="16">
                  <c:v>1963</c:v>
                </c:pt>
                <c:pt idx="17">
                  <c:v>1964</c:v>
                </c:pt>
                <c:pt idx="18">
                  <c:v>1965</c:v>
                </c:pt>
                <c:pt idx="19">
                  <c:v>1966</c:v>
                </c:pt>
                <c:pt idx="20">
                  <c:v>1967</c:v>
                </c:pt>
                <c:pt idx="21">
                  <c:v>1968</c:v>
                </c:pt>
                <c:pt idx="22">
                  <c:v>1969</c:v>
                </c:pt>
                <c:pt idx="23">
                  <c:v>1970</c:v>
                </c:pt>
                <c:pt idx="24">
                  <c:v>1971</c:v>
                </c:pt>
                <c:pt idx="25">
                  <c:v>1972</c:v>
                </c:pt>
                <c:pt idx="26">
                  <c:v>1973</c:v>
                </c:pt>
                <c:pt idx="27">
                  <c:v>1974</c:v>
                </c:pt>
                <c:pt idx="28">
                  <c:v>1975</c:v>
                </c:pt>
                <c:pt idx="29">
                  <c:v>1976</c:v>
                </c:pt>
                <c:pt idx="30">
                  <c:v>1977</c:v>
                </c:pt>
                <c:pt idx="31">
                  <c:v>1978</c:v>
                </c:pt>
                <c:pt idx="32">
                  <c:v>1979</c:v>
                </c:pt>
                <c:pt idx="33">
                  <c:v>1980</c:v>
                </c:pt>
                <c:pt idx="34">
                  <c:v>1981</c:v>
                </c:pt>
                <c:pt idx="35">
                  <c:v>1982</c:v>
                </c:pt>
                <c:pt idx="36">
                  <c:v>1983</c:v>
                </c:pt>
                <c:pt idx="37">
                  <c:v>1984</c:v>
                </c:pt>
                <c:pt idx="38">
                  <c:v>1985</c:v>
                </c:pt>
                <c:pt idx="39">
                  <c:v>1986</c:v>
                </c:pt>
                <c:pt idx="40">
                  <c:v>1987</c:v>
                </c:pt>
                <c:pt idx="41">
                  <c:v>1988</c:v>
                </c:pt>
                <c:pt idx="42">
                  <c:v>1989</c:v>
                </c:pt>
                <c:pt idx="43">
                  <c:v>1990</c:v>
                </c:pt>
                <c:pt idx="44">
                  <c:v>1991</c:v>
                </c:pt>
                <c:pt idx="45">
                  <c:v>1992</c:v>
                </c:pt>
                <c:pt idx="46">
                  <c:v>1993</c:v>
                </c:pt>
                <c:pt idx="47">
                  <c:v>1994</c:v>
                </c:pt>
                <c:pt idx="48">
                  <c:v>1995</c:v>
                </c:pt>
                <c:pt idx="49">
                  <c:v>1996</c:v>
                </c:pt>
                <c:pt idx="50">
                  <c:v>1997</c:v>
                </c:pt>
                <c:pt idx="51">
                  <c:v>1998</c:v>
                </c:pt>
                <c:pt idx="52">
                  <c:v>1999</c:v>
                </c:pt>
                <c:pt idx="53">
                  <c:v>2000</c:v>
                </c:pt>
                <c:pt idx="54">
                  <c:v>2001</c:v>
                </c:pt>
                <c:pt idx="55">
                  <c:v>2002</c:v>
                </c:pt>
                <c:pt idx="56">
                  <c:v>2003</c:v>
                </c:pt>
                <c:pt idx="57">
                  <c:v>2004</c:v>
                </c:pt>
                <c:pt idx="58">
                  <c:v>2005</c:v>
                </c:pt>
                <c:pt idx="59">
                  <c:v>2006</c:v>
                </c:pt>
                <c:pt idx="60">
                  <c:v>2007</c:v>
                </c:pt>
                <c:pt idx="61">
                  <c:v>2008</c:v>
                </c:pt>
                <c:pt idx="62">
                  <c:v>2009</c:v>
                </c:pt>
                <c:pt idx="63">
                  <c:v>2010</c:v>
                </c:pt>
                <c:pt idx="64">
                  <c:v>2011</c:v>
                </c:pt>
                <c:pt idx="65">
                  <c:v>2012</c:v>
                </c:pt>
                <c:pt idx="66">
                  <c:v>2013</c:v>
                </c:pt>
              </c:numCache>
            </c:numRef>
          </c:cat>
          <c:val>
            <c:numRef>
              <c:f>[cargatributaria_serie.xlsx]Plan1!$C$2:$C$68</c:f>
              <c:numCache>
                <c:formatCode>#,##0.00</c:formatCode>
                <c:ptCount val="67"/>
                <c:pt idx="0">
                  <c:v>199455.671623403</c:v>
                </c:pt>
                <c:pt idx="1">
                  <c:v>218802.871770873</c:v>
                </c:pt>
                <c:pt idx="2">
                  <c:v>235650.69289723001</c:v>
                </c:pt>
                <c:pt idx="3">
                  <c:v>251674.940014241</c:v>
                </c:pt>
                <c:pt idx="4">
                  <c:v>264007.01207493898</c:v>
                </c:pt>
                <c:pt idx="5">
                  <c:v>283279.52395641</c:v>
                </c:pt>
                <c:pt idx="6">
                  <c:v>296593.66158236098</c:v>
                </c:pt>
                <c:pt idx="7">
                  <c:v>319727.967185785</c:v>
                </c:pt>
                <c:pt idx="8">
                  <c:v>347864.02829813398</c:v>
                </c:pt>
                <c:pt idx="9">
                  <c:v>357952.08511878003</c:v>
                </c:pt>
                <c:pt idx="10">
                  <c:v>385514.39567292598</c:v>
                </c:pt>
                <c:pt idx="11">
                  <c:v>427149.95040560199</c:v>
                </c:pt>
                <c:pt idx="12">
                  <c:v>469010.64554535103</c:v>
                </c:pt>
                <c:pt idx="13">
                  <c:v>513097.646226615</c:v>
                </c:pt>
                <c:pt idx="14">
                  <c:v>557224.04380210303</c:v>
                </c:pt>
                <c:pt idx="15">
                  <c:v>594000.83069304202</c:v>
                </c:pt>
                <c:pt idx="16">
                  <c:v>597564.8356772</c:v>
                </c:pt>
                <c:pt idx="17">
                  <c:v>617882.04009022505</c:v>
                </c:pt>
                <c:pt idx="18">
                  <c:v>632711.209052391</c:v>
                </c:pt>
                <c:pt idx="19">
                  <c:v>675102.86005890102</c:v>
                </c:pt>
                <c:pt idx="20">
                  <c:v>703457.18018137501</c:v>
                </c:pt>
                <c:pt idx="21">
                  <c:v>772395.983839149</c:v>
                </c:pt>
                <c:pt idx="22">
                  <c:v>845773.60230386804</c:v>
                </c:pt>
                <c:pt idx="23">
                  <c:v>933734.05694347096</c:v>
                </c:pt>
                <c:pt idx="24">
                  <c:v>1039646.7826464199</c:v>
                </c:pt>
                <c:pt idx="25">
                  <c:v>1163784.22767381</c:v>
                </c:pt>
                <c:pt idx="26">
                  <c:v>1326350.0085533401</c:v>
                </c:pt>
                <c:pt idx="27">
                  <c:v>1434499.7749935901</c:v>
                </c:pt>
                <c:pt idx="28">
                  <c:v>1508615.3444791799</c:v>
                </c:pt>
                <c:pt idx="29">
                  <c:v>1663355.97454409</c:v>
                </c:pt>
                <c:pt idx="30">
                  <c:v>1745431.4152965399</c:v>
                </c:pt>
                <c:pt idx="31">
                  <c:v>1832177.5708727599</c:v>
                </c:pt>
                <c:pt idx="32">
                  <c:v>1956024.71531845</c:v>
                </c:pt>
                <c:pt idx="33">
                  <c:v>2135978.98912775</c:v>
                </c:pt>
                <c:pt idx="34">
                  <c:v>2045199.88208982</c:v>
                </c:pt>
                <c:pt idx="35">
                  <c:v>2062175.0411111701</c:v>
                </c:pt>
                <c:pt idx="36">
                  <c:v>2001753.31240661</c:v>
                </c:pt>
                <c:pt idx="37">
                  <c:v>2109847.9912765701</c:v>
                </c:pt>
                <c:pt idx="38">
                  <c:v>2275471.0585917798</c:v>
                </c:pt>
                <c:pt idx="39">
                  <c:v>2445903.8408802999</c:v>
                </c:pt>
                <c:pt idx="40">
                  <c:v>2532244.24646337</c:v>
                </c:pt>
                <c:pt idx="41">
                  <c:v>2530724.8999155001</c:v>
                </c:pt>
                <c:pt idx="42">
                  <c:v>2610695.8067528298</c:v>
                </c:pt>
                <c:pt idx="43">
                  <c:v>2497130.53915908</c:v>
                </c:pt>
                <c:pt idx="44">
                  <c:v>2522888.0480641001</c:v>
                </c:pt>
                <c:pt idx="45">
                  <c:v>2511108.3072495898</c:v>
                </c:pt>
                <c:pt idx="46">
                  <c:v>2628255.3002576702</c:v>
                </c:pt>
                <c:pt idx="47">
                  <c:v>2768455.8964548698</c:v>
                </c:pt>
                <c:pt idx="48">
                  <c:v>2890733.9422103702</c:v>
                </c:pt>
                <c:pt idx="49">
                  <c:v>2952899.14305986</c:v>
                </c:pt>
                <c:pt idx="50">
                  <c:v>3052568.2893038802</c:v>
                </c:pt>
                <c:pt idx="51">
                  <c:v>3053647.24018218</c:v>
                </c:pt>
                <c:pt idx="52">
                  <c:v>3061405.8954494898</c:v>
                </c:pt>
                <c:pt idx="53">
                  <c:v>3193235.7536974698</c:v>
                </c:pt>
                <c:pt idx="54">
                  <c:v>3235166.7330199699</c:v>
                </c:pt>
                <c:pt idx="55">
                  <c:v>3321160.5086035398</c:v>
                </c:pt>
                <c:pt idx="56">
                  <c:v>3359241.5933473702</c:v>
                </c:pt>
                <c:pt idx="57">
                  <c:v>3551131.2947756401</c:v>
                </c:pt>
                <c:pt idx="58">
                  <c:v>3663335.4532543099</c:v>
                </c:pt>
                <c:pt idx="59">
                  <c:v>3808294.9214162799</c:v>
                </c:pt>
                <c:pt idx="60">
                  <c:v>4040273.8026759201</c:v>
                </c:pt>
                <c:pt idx="61">
                  <c:v>4249220.5019968301</c:v>
                </c:pt>
                <c:pt idx="62">
                  <c:v>4235209.6634814097</c:v>
                </c:pt>
                <c:pt idx="63">
                  <c:v>4554277.1452239603</c:v>
                </c:pt>
                <c:pt idx="64">
                  <c:v>4678736.6697719302</c:v>
                </c:pt>
                <c:pt idx="65">
                  <c:v>4726976.0975623401</c:v>
                </c:pt>
                <c:pt idx="66">
                  <c:v>4844815.0760000004</c:v>
                </c:pt>
              </c:numCache>
            </c:numRef>
          </c:val>
          <c:smooth val="0"/>
        </c:ser>
        <c:dLbls>
          <c:showLegendKey val="0"/>
          <c:showVal val="0"/>
          <c:showCatName val="0"/>
          <c:showSerName val="0"/>
          <c:showPercent val="0"/>
          <c:showBubbleSize val="0"/>
        </c:dLbls>
        <c:marker val="1"/>
        <c:smooth val="0"/>
        <c:axId val="52792832"/>
        <c:axId val="330528960"/>
      </c:lineChart>
      <c:lineChart>
        <c:grouping val="standard"/>
        <c:varyColors val="0"/>
        <c:ser>
          <c:idx val="0"/>
          <c:order val="0"/>
          <c:tx>
            <c:strRef>
              <c:f>[cargatributaria_serie.xlsx]Plan1!$B$1</c:f>
              <c:strCache>
                <c:ptCount val="1"/>
                <c:pt idx="0">
                  <c:v>Carga Tributária % do PIB</c:v>
                </c:pt>
              </c:strCache>
            </c:strRef>
          </c:tx>
          <c:spPr>
            <a:ln>
              <a:prstDash val="dash"/>
            </a:ln>
          </c:spPr>
          <c:marker>
            <c:symbol val="none"/>
          </c:marker>
          <c:cat>
            <c:numRef>
              <c:f>[cargatributaria_serie.xlsx]Plan1!$A$2:$A$68</c:f>
              <c:numCache>
                <c:formatCode>General</c:formatCode>
                <c:ptCount val="67"/>
                <c:pt idx="0">
                  <c:v>1947</c:v>
                </c:pt>
                <c:pt idx="1">
                  <c:v>1948</c:v>
                </c:pt>
                <c:pt idx="2">
                  <c:v>1949</c:v>
                </c:pt>
                <c:pt idx="3">
                  <c:v>1950</c:v>
                </c:pt>
                <c:pt idx="4">
                  <c:v>1951</c:v>
                </c:pt>
                <c:pt idx="5">
                  <c:v>1952</c:v>
                </c:pt>
                <c:pt idx="6">
                  <c:v>1953</c:v>
                </c:pt>
                <c:pt idx="7">
                  <c:v>1954</c:v>
                </c:pt>
                <c:pt idx="8">
                  <c:v>1955</c:v>
                </c:pt>
                <c:pt idx="9">
                  <c:v>1956</c:v>
                </c:pt>
                <c:pt idx="10">
                  <c:v>1957</c:v>
                </c:pt>
                <c:pt idx="11">
                  <c:v>1958</c:v>
                </c:pt>
                <c:pt idx="12">
                  <c:v>1959</c:v>
                </c:pt>
                <c:pt idx="13">
                  <c:v>1960</c:v>
                </c:pt>
                <c:pt idx="14">
                  <c:v>1961</c:v>
                </c:pt>
                <c:pt idx="15">
                  <c:v>1962</c:v>
                </c:pt>
                <c:pt idx="16">
                  <c:v>1963</c:v>
                </c:pt>
                <c:pt idx="17">
                  <c:v>1964</c:v>
                </c:pt>
                <c:pt idx="18">
                  <c:v>1965</c:v>
                </c:pt>
                <c:pt idx="19">
                  <c:v>1966</c:v>
                </c:pt>
                <c:pt idx="20">
                  <c:v>1967</c:v>
                </c:pt>
                <c:pt idx="21">
                  <c:v>1968</c:v>
                </c:pt>
                <c:pt idx="22">
                  <c:v>1969</c:v>
                </c:pt>
                <c:pt idx="23">
                  <c:v>1970</c:v>
                </c:pt>
                <c:pt idx="24">
                  <c:v>1971</c:v>
                </c:pt>
                <c:pt idx="25">
                  <c:v>1972</c:v>
                </c:pt>
                <c:pt idx="26">
                  <c:v>1973</c:v>
                </c:pt>
                <c:pt idx="27">
                  <c:v>1974</c:v>
                </c:pt>
                <c:pt idx="28">
                  <c:v>1975</c:v>
                </c:pt>
                <c:pt idx="29">
                  <c:v>1976</c:v>
                </c:pt>
                <c:pt idx="30">
                  <c:v>1977</c:v>
                </c:pt>
                <c:pt idx="31">
                  <c:v>1978</c:v>
                </c:pt>
                <c:pt idx="32">
                  <c:v>1979</c:v>
                </c:pt>
                <c:pt idx="33">
                  <c:v>1980</c:v>
                </c:pt>
                <c:pt idx="34">
                  <c:v>1981</c:v>
                </c:pt>
                <c:pt idx="35">
                  <c:v>1982</c:v>
                </c:pt>
                <c:pt idx="36">
                  <c:v>1983</c:v>
                </c:pt>
                <c:pt idx="37">
                  <c:v>1984</c:v>
                </c:pt>
                <c:pt idx="38">
                  <c:v>1985</c:v>
                </c:pt>
                <c:pt idx="39">
                  <c:v>1986</c:v>
                </c:pt>
                <c:pt idx="40">
                  <c:v>1987</c:v>
                </c:pt>
                <c:pt idx="41">
                  <c:v>1988</c:v>
                </c:pt>
                <c:pt idx="42">
                  <c:v>1989</c:v>
                </c:pt>
                <c:pt idx="43">
                  <c:v>1990</c:v>
                </c:pt>
                <c:pt idx="44">
                  <c:v>1991</c:v>
                </c:pt>
                <c:pt idx="45">
                  <c:v>1992</c:v>
                </c:pt>
                <c:pt idx="46">
                  <c:v>1993</c:v>
                </c:pt>
                <c:pt idx="47">
                  <c:v>1994</c:v>
                </c:pt>
                <c:pt idx="48">
                  <c:v>1995</c:v>
                </c:pt>
                <c:pt idx="49">
                  <c:v>1996</c:v>
                </c:pt>
                <c:pt idx="50">
                  <c:v>1997</c:v>
                </c:pt>
                <c:pt idx="51">
                  <c:v>1998</c:v>
                </c:pt>
                <c:pt idx="52">
                  <c:v>1999</c:v>
                </c:pt>
                <c:pt idx="53">
                  <c:v>2000</c:v>
                </c:pt>
                <c:pt idx="54">
                  <c:v>2001</c:v>
                </c:pt>
                <c:pt idx="55">
                  <c:v>2002</c:v>
                </c:pt>
                <c:pt idx="56">
                  <c:v>2003</c:v>
                </c:pt>
                <c:pt idx="57">
                  <c:v>2004</c:v>
                </c:pt>
                <c:pt idx="58">
                  <c:v>2005</c:v>
                </c:pt>
                <c:pt idx="59">
                  <c:v>2006</c:v>
                </c:pt>
                <c:pt idx="60">
                  <c:v>2007</c:v>
                </c:pt>
                <c:pt idx="61">
                  <c:v>2008</c:v>
                </c:pt>
                <c:pt idx="62">
                  <c:v>2009</c:v>
                </c:pt>
                <c:pt idx="63">
                  <c:v>2010</c:v>
                </c:pt>
                <c:pt idx="64">
                  <c:v>2011</c:v>
                </c:pt>
                <c:pt idx="65">
                  <c:v>2012</c:v>
                </c:pt>
                <c:pt idx="66">
                  <c:v>2013</c:v>
                </c:pt>
              </c:numCache>
            </c:numRef>
          </c:cat>
          <c:val>
            <c:numRef>
              <c:f>[cargatributaria_serie.xlsx]Plan1!$B$2:$B$68</c:f>
              <c:numCache>
                <c:formatCode>General</c:formatCode>
                <c:ptCount val="67"/>
                <c:pt idx="0">
                  <c:v>13.84</c:v>
                </c:pt>
                <c:pt idx="1">
                  <c:v>14.03</c:v>
                </c:pt>
                <c:pt idx="2">
                  <c:v>14.39</c:v>
                </c:pt>
                <c:pt idx="3">
                  <c:v>14.42</c:v>
                </c:pt>
                <c:pt idx="4">
                  <c:v>15.74</c:v>
                </c:pt>
                <c:pt idx="5">
                  <c:v>15.41</c:v>
                </c:pt>
                <c:pt idx="6">
                  <c:v>15.2</c:v>
                </c:pt>
                <c:pt idx="7">
                  <c:v>15.82</c:v>
                </c:pt>
                <c:pt idx="8">
                  <c:v>15.05</c:v>
                </c:pt>
                <c:pt idx="9">
                  <c:v>16.420000000000002</c:v>
                </c:pt>
                <c:pt idx="10">
                  <c:v>16.66</c:v>
                </c:pt>
                <c:pt idx="11">
                  <c:v>18.7</c:v>
                </c:pt>
                <c:pt idx="12">
                  <c:v>17.86</c:v>
                </c:pt>
                <c:pt idx="13">
                  <c:v>17.41</c:v>
                </c:pt>
                <c:pt idx="14">
                  <c:v>16.38</c:v>
                </c:pt>
                <c:pt idx="15">
                  <c:v>15.76</c:v>
                </c:pt>
                <c:pt idx="16">
                  <c:v>16.05</c:v>
                </c:pt>
                <c:pt idx="17">
                  <c:v>17.02</c:v>
                </c:pt>
                <c:pt idx="18">
                  <c:v>18.989999999999998</c:v>
                </c:pt>
                <c:pt idx="19">
                  <c:v>20.95</c:v>
                </c:pt>
                <c:pt idx="20">
                  <c:v>20.47</c:v>
                </c:pt>
                <c:pt idx="21">
                  <c:v>23.29</c:v>
                </c:pt>
                <c:pt idx="22">
                  <c:v>24.87</c:v>
                </c:pt>
                <c:pt idx="23">
                  <c:v>25.98</c:v>
                </c:pt>
                <c:pt idx="24">
                  <c:v>25.26</c:v>
                </c:pt>
                <c:pt idx="25">
                  <c:v>26.01</c:v>
                </c:pt>
                <c:pt idx="26">
                  <c:v>25.05</c:v>
                </c:pt>
                <c:pt idx="27">
                  <c:v>25.05</c:v>
                </c:pt>
                <c:pt idx="28">
                  <c:v>25.22</c:v>
                </c:pt>
                <c:pt idx="29">
                  <c:v>25.14</c:v>
                </c:pt>
                <c:pt idx="30">
                  <c:v>25.55</c:v>
                </c:pt>
                <c:pt idx="31">
                  <c:v>25.7</c:v>
                </c:pt>
                <c:pt idx="32">
                  <c:v>24.66</c:v>
                </c:pt>
                <c:pt idx="33">
                  <c:v>24.52</c:v>
                </c:pt>
                <c:pt idx="34">
                  <c:v>25.25</c:v>
                </c:pt>
                <c:pt idx="35">
                  <c:v>26.34</c:v>
                </c:pt>
                <c:pt idx="36">
                  <c:v>26.97</c:v>
                </c:pt>
                <c:pt idx="37">
                  <c:v>24.34</c:v>
                </c:pt>
                <c:pt idx="38">
                  <c:v>24.06</c:v>
                </c:pt>
                <c:pt idx="39">
                  <c:v>26.19</c:v>
                </c:pt>
                <c:pt idx="40">
                  <c:v>23.77</c:v>
                </c:pt>
                <c:pt idx="41">
                  <c:v>22.43</c:v>
                </c:pt>
                <c:pt idx="42">
                  <c:v>24.13</c:v>
                </c:pt>
                <c:pt idx="43">
                  <c:v>30.5</c:v>
                </c:pt>
                <c:pt idx="44">
                  <c:v>25.21</c:v>
                </c:pt>
                <c:pt idx="45">
                  <c:v>25.85</c:v>
                </c:pt>
                <c:pt idx="46">
                  <c:v>25.72</c:v>
                </c:pt>
                <c:pt idx="47">
                  <c:v>29.46</c:v>
                </c:pt>
                <c:pt idx="48">
                  <c:v>29.76</c:v>
                </c:pt>
                <c:pt idx="49">
                  <c:v>28.97</c:v>
                </c:pt>
                <c:pt idx="50">
                  <c:v>29.03</c:v>
                </c:pt>
                <c:pt idx="51">
                  <c:v>29.74</c:v>
                </c:pt>
                <c:pt idx="52">
                  <c:v>31.74</c:v>
                </c:pt>
                <c:pt idx="53">
                  <c:v>32.549999999999997</c:v>
                </c:pt>
                <c:pt idx="54">
                  <c:v>34.01</c:v>
                </c:pt>
                <c:pt idx="55">
                  <c:v>32.24</c:v>
                </c:pt>
                <c:pt idx="56">
                  <c:v>31.55</c:v>
                </c:pt>
                <c:pt idx="57">
                  <c:v>32.4</c:v>
                </c:pt>
                <c:pt idx="58">
                  <c:v>33.630000000000003</c:v>
                </c:pt>
                <c:pt idx="59">
                  <c:v>33.42</c:v>
                </c:pt>
                <c:pt idx="60">
                  <c:v>33.78</c:v>
                </c:pt>
                <c:pt idx="61">
                  <c:v>33.700000000000003</c:v>
                </c:pt>
                <c:pt idx="62">
                  <c:v>32.409999999999997</c:v>
                </c:pt>
                <c:pt idx="63" formatCode="#,##0">
                  <c:v>32.520000000000003</c:v>
                </c:pt>
                <c:pt idx="64">
                  <c:v>33.43</c:v>
                </c:pt>
                <c:pt idx="65">
                  <c:v>33.39</c:v>
                </c:pt>
                <c:pt idx="66">
                  <c:v>33.74</c:v>
                </c:pt>
              </c:numCache>
            </c:numRef>
          </c:val>
          <c:smooth val="0"/>
        </c:ser>
        <c:dLbls>
          <c:showLegendKey val="0"/>
          <c:showVal val="0"/>
          <c:showCatName val="0"/>
          <c:showSerName val="0"/>
          <c:showPercent val="0"/>
          <c:showBubbleSize val="0"/>
        </c:dLbls>
        <c:marker val="1"/>
        <c:smooth val="0"/>
        <c:axId val="232884736"/>
        <c:axId val="330529536"/>
      </c:lineChart>
      <c:catAx>
        <c:axId val="52792832"/>
        <c:scaling>
          <c:orientation val="minMax"/>
        </c:scaling>
        <c:delete val="0"/>
        <c:axPos val="b"/>
        <c:numFmt formatCode="General" sourceLinked="1"/>
        <c:majorTickMark val="out"/>
        <c:minorTickMark val="none"/>
        <c:tickLblPos val="nextTo"/>
        <c:crossAx val="330528960"/>
        <c:crosses val="autoZero"/>
        <c:auto val="1"/>
        <c:lblAlgn val="ctr"/>
        <c:lblOffset val="100"/>
        <c:noMultiLvlLbl val="0"/>
      </c:catAx>
      <c:valAx>
        <c:axId val="330528960"/>
        <c:scaling>
          <c:orientation val="minMax"/>
        </c:scaling>
        <c:delete val="0"/>
        <c:axPos val="l"/>
        <c:majorGridlines/>
        <c:numFmt formatCode="#,##0.00" sourceLinked="1"/>
        <c:majorTickMark val="out"/>
        <c:minorTickMark val="none"/>
        <c:tickLblPos val="nextTo"/>
        <c:crossAx val="52792832"/>
        <c:crosses val="autoZero"/>
        <c:crossBetween val="between"/>
      </c:valAx>
      <c:valAx>
        <c:axId val="330529536"/>
        <c:scaling>
          <c:orientation val="minMax"/>
        </c:scaling>
        <c:delete val="0"/>
        <c:axPos val="r"/>
        <c:numFmt formatCode="General" sourceLinked="1"/>
        <c:majorTickMark val="out"/>
        <c:minorTickMark val="none"/>
        <c:tickLblPos val="nextTo"/>
        <c:crossAx val="232884736"/>
        <c:crosses val="max"/>
        <c:crossBetween val="between"/>
      </c:valAx>
      <c:catAx>
        <c:axId val="232884736"/>
        <c:scaling>
          <c:orientation val="minMax"/>
        </c:scaling>
        <c:delete val="1"/>
        <c:axPos val="b"/>
        <c:numFmt formatCode="General" sourceLinked="1"/>
        <c:majorTickMark val="out"/>
        <c:minorTickMark val="none"/>
        <c:tickLblPos val="nextTo"/>
        <c:crossAx val="330529536"/>
        <c:crosses val="autoZero"/>
        <c:auto val="1"/>
        <c:lblAlgn val="ctr"/>
        <c:lblOffset val="100"/>
        <c:noMultiLvlLbl val="0"/>
      </c:cat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FA174AA-C2D1-4A56-9FD4-D7D9DE8AE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17355</Words>
  <Characters>98930</Characters>
  <Application>Microsoft Office Word</Application>
  <DocSecurity>0</DocSecurity>
  <Lines>824</Lines>
  <Paragraphs>232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cdshikida@gmail.com</dc:creator>
  <cp:lastModifiedBy>cdshikida@gmail.com</cp:lastModifiedBy>
  <cp:revision>2</cp:revision>
  <cp:lastPrinted>2016-11-04T18:33:00Z</cp:lastPrinted>
  <dcterms:created xsi:type="dcterms:W3CDTF">2016-11-04T20:13:00Z</dcterms:created>
  <dcterms:modified xsi:type="dcterms:W3CDTF">2016-11-04T20:13:00Z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http://www.zotero.org/styles/associacao-brasileira-de-normas-tecnicas-ufpr</vt:lpwstr>
  </property>
  <property fmtid="{D5CDD505-2E9C-101B-9397-08002B2CF9AE}" pid="11" name="Mendeley Recent Style Name 3_1">
    <vt:lpwstr>Associação Brasileira de Normas Técnicas - Universidade Federal do Paraná (Portuguese - Brazil)</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16th edition (full note)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http://www.zotero.org/styles/journal-of-econometrics</vt:lpwstr>
  </property>
  <property fmtid="{D5CDD505-2E9C-101B-9397-08002B2CF9AE}" pid="19" name="Mendeley Recent Style Name 7_1">
    <vt:lpwstr>Journal of Econometrics</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http://www.zotero.org/styles/public-choice</vt:lpwstr>
  </property>
  <property fmtid="{D5CDD505-2E9C-101B-9397-08002B2CF9AE}" pid="23" name="Mendeley Recent Style Name 9_1">
    <vt:lpwstr>Public Choice</vt:lpwstr>
  </property>
  <property fmtid="{D5CDD505-2E9C-101B-9397-08002B2CF9AE}" pid="24" name="MTWinEqns">
    <vt:bool>true</vt:bool>
  </property>
  <property fmtid="{D5CDD505-2E9C-101B-9397-08002B2CF9AE}" pid="25" name="Mendeley Unique User Id_1">
    <vt:lpwstr>37b7161f-6696-3c10-aa3b-2966e8d37ae5</vt:lpwstr>
  </property>
</Properties>
</file>