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  <w:rtl w:val="0"/>
        </w:rPr>
        <w:t xml:space="preserve">Carta Resposta (Alterações em vermelho)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  <w:rtl w:val="0"/>
        </w:rPr>
        <w:t xml:space="preserve">1. A introdução é extensa e repetitiva, favor revisar.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  <w:rtl w:val="0"/>
        </w:rPr>
        <w:t xml:space="preserve">Feito alterações.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  <w:rtl w:val="0"/>
        </w:rPr>
        <w:t xml:space="preserve">2. O manuscrito está fora da metodologia da revista, as tabelas estão desconfiguradas.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  <w:rtl w:val="0"/>
        </w:rPr>
        <w:t xml:space="preserve">Feito alterações.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  <w:rtl w:val="0"/>
        </w:rPr>
        <w:t xml:space="preserve">3. baixo número amostral.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  <w:rtl w:val="0"/>
        </w:rPr>
        <w:t xml:space="preserve">Houve um número baixo pois o artigo teve que ser interrompido devido ao início da pandemia pelo COVID-19, e pelo fato de atendermos somente os pacientes da clínica escola.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  <w:rtl w:val="0"/>
        </w:rPr>
        <w:t xml:space="preserve">4. A conclusão do artigo está pobre.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  <w:rtl w:val="0"/>
        </w:rPr>
        <w:t xml:space="preserve">Feito alterações.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