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DF4" w:rsidRPr="004E6265" w:rsidRDefault="006D3DF4" w:rsidP="00071D00">
      <w:pPr>
        <w:spacing w:after="0" w:line="240" w:lineRule="auto"/>
        <w:jc w:val="center"/>
        <w:rPr>
          <w:rFonts w:ascii="Times New Roman" w:hAnsi="Times New Roman"/>
          <w:color w:val="000000"/>
          <w:sz w:val="24"/>
          <w:szCs w:val="24"/>
          <w:lang w:val="pt-BR"/>
        </w:rPr>
      </w:pPr>
      <w:bookmarkStart w:id="0" w:name="_GoBack"/>
      <w:r w:rsidRPr="004E6265">
        <w:rPr>
          <w:rFonts w:ascii="Times New Roman" w:hAnsi="Times New Roman"/>
          <w:color w:val="000000"/>
          <w:sz w:val="24"/>
          <w:szCs w:val="24"/>
          <w:lang w:val="pt-BR"/>
        </w:rPr>
        <w:t>Revisão de Literatura</w:t>
      </w:r>
    </w:p>
    <w:p w:rsidR="006D3DF4" w:rsidRPr="004E6265" w:rsidRDefault="006D3DF4" w:rsidP="00071D00">
      <w:pPr>
        <w:spacing w:after="0" w:line="240" w:lineRule="auto"/>
        <w:jc w:val="center"/>
        <w:rPr>
          <w:rFonts w:ascii="Times New Roman" w:hAnsi="Times New Roman"/>
          <w:color w:val="000000"/>
          <w:sz w:val="28"/>
          <w:szCs w:val="28"/>
          <w:lang w:val="pt-BR"/>
        </w:rPr>
      </w:pPr>
    </w:p>
    <w:p w:rsidR="006D3DF4" w:rsidRPr="004E6265" w:rsidRDefault="006D3DF4" w:rsidP="00F138E7">
      <w:pPr>
        <w:spacing w:line="360" w:lineRule="auto"/>
        <w:contextualSpacing/>
        <w:jc w:val="center"/>
        <w:rPr>
          <w:rFonts w:ascii="Times New Roman" w:hAnsi="Times New Roman"/>
          <w:color w:val="000000"/>
          <w:sz w:val="28"/>
          <w:szCs w:val="28"/>
          <w:lang w:val="pt-BR"/>
        </w:rPr>
      </w:pPr>
      <w:r w:rsidRPr="004E6265">
        <w:rPr>
          <w:rFonts w:ascii="Times New Roman" w:hAnsi="Times New Roman"/>
          <w:color w:val="000000"/>
          <w:sz w:val="28"/>
          <w:szCs w:val="28"/>
          <w:lang w:val="pt-BR"/>
        </w:rPr>
        <w:t>Esteatose Hepática e Estilo de Vida Ativo: Revisão de Literatura</w:t>
      </w:r>
    </w:p>
    <w:p w:rsidR="006D3DF4" w:rsidRPr="004E6265" w:rsidRDefault="006D3DF4" w:rsidP="00F138E7">
      <w:pPr>
        <w:spacing w:line="360" w:lineRule="auto"/>
        <w:contextualSpacing/>
        <w:jc w:val="center"/>
        <w:rPr>
          <w:rFonts w:ascii="Times New Roman" w:hAnsi="Times New Roman"/>
          <w:color w:val="000000"/>
          <w:sz w:val="28"/>
          <w:szCs w:val="28"/>
          <w:lang w:val="pt-BR"/>
        </w:rPr>
      </w:pPr>
    </w:p>
    <w:p w:rsidR="006D3DF4" w:rsidRPr="004E6265" w:rsidRDefault="006D3DF4" w:rsidP="00F138E7">
      <w:pPr>
        <w:spacing w:line="360" w:lineRule="auto"/>
        <w:contextualSpacing/>
        <w:jc w:val="both"/>
        <w:rPr>
          <w:rFonts w:ascii="Times New Roman" w:hAnsi="Times New Roman"/>
          <w:color w:val="000000"/>
          <w:sz w:val="28"/>
          <w:szCs w:val="28"/>
          <w:lang w:val="pt-BR"/>
        </w:rPr>
      </w:pPr>
      <w:r w:rsidRPr="004E6265">
        <w:rPr>
          <w:rFonts w:ascii="Times New Roman" w:hAnsi="Times New Roman"/>
          <w:b/>
          <w:i/>
          <w:color w:val="000000"/>
          <w:sz w:val="24"/>
          <w:szCs w:val="24"/>
          <w:lang w:val="pt-BR"/>
        </w:rPr>
        <w:t xml:space="preserve">RESUMO: </w:t>
      </w:r>
      <w:r w:rsidRPr="004E6265">
        <w:rPr>
          <w:rFonts w:ascii="Times New Roman" w:hAnsi="Times New Roman"/>
          <w:color w:val="000000"/>
          <w:sz w:val="24"/>
          <w:szCs w:val="24"/>
          <w:lang w:val="pt-BR"/>
        </w:rPr>
        <w:t>A</w:t>
      </w:r>
      <w:r w:rsidRPr="004E6265">
        <w:rPr>
          <w:rFonts w:ascii="Times New Roman" w:hAnsi="Times New Roman"/>
          <w:color w:val="000000"/>
          <w:sz w:val="24"/>
          <w:lang w:val="pt-BR"/>
        </w:rPr>
        <w:t xml:space="preserve"> esteatose hepática (EH) ou fígado gorduroso </w:t>
      </w:r>
      <w:r w:rsidRPr="004E6265">
        <w:rPr>
          <w:rFonts w:ascii="Times New Roman" w:hAnsi="Times New Roman"/>
          <w:color w:val="000000"/>
          <w:sz w:val="24"/>
          <w:szCs w:val="24"/>
          <w:lang w:val="pt-BR"/>
        </w:rPr>
        <w:t>é uma derivação da Doença Hepática Gordurosa Não Alcoólica (DHGNA)</w:t>
      </w:r>
      <w:r w:rsidRPr="004E6265">
        <w:rPr>
          <w:rFonts w:ascii="Times New Roman" w:hAnsi="Times New Roman"/>
          <w:color w:val="000000"/>
          <w:sz w:val="24"/>
          <w:lang w:val="pt-BR"/>
        </w:rPr>
        <w:t>,</w:t>
      </w:r>
      <w:r w:rsidRPr="004E6265">
        <w:rPr>
          <w:rFonts w:ascii="Times New Roman" w:hAnsi="Times New Roman"/>
          <w:color w:val="000000"/>
          <w:sz w:val="24"/>
          <w:szCs w:val="24"/>
          <w:lang w:val="pt-BR"/>
        </w:rPr>
        <w:t xml:space="preserve"> e na condição histopatológica, quando o acúmulo de lipídios nos hepatócitos representa mais de 5% do peso desse órgão. Como a EH promove lesões hepáticas, tem sido considerada como uma das causas mais comuns de doenças hepáticas crônicas nos países desenvolvidos e em desenvolvimento. Considerando a forte associação com o estilo de vida, o objetivo do presente estudo foi apresentar, através de uma revisão na literatura, os principais fatores relacionados ao risco do desenvolvimento de EH e sua associação com o nível de atividade física. Assegura-se que o desenvolvimento da EH esteja relacionado ao estilo de vida, em especial com o histórico de inatividade física e hábitos alimentares pouco saudáveis, fatores associados ao desenvolvimento da síndrome metabólica. </w:t>
      </w:r>
      <w:r w:rsidRPr="004E6265">
        <w:rPr>
          <w:rStyle w:val="hps"/>
          <w:rFonts w:ascii="Times New Roman" w:hAnsi="Times New Roman"/>
          <w:color w:val="000000"/>
          <w:sz w:val="24"/>
          <w:szCs w:val="24"/>
          <w:lang w:val="pt-PT"/>
        </w:rPr>
        <w:t>A prevalência da</w:t>
      </w:r>
      <w:r w:rsidRPr="004E6265">
        <w:rPr>
          <w:rFonts w:ascii="Times New Roman" w:hAnsi="Times New Roman"/>
          <w:color w:val="000000"/>
          <w:sz w:val="24"/>
          <w:szCs w:val="24"/>
          <w:lang w:val="pt-PT"/>
        </w:rPr>
        <w:t xml:space="preserve"> </w:t>
      </w:r>
      <w:r w:rsidRPr="004E6265">
        <w:rPr>
          <w:rStyle w:val="hps"/>
          <w:rFonts w:ascii="Times New Roman" w:hAnsi="Times New Roman"/>
          <w:color w:val="000000"/>
          <w:sz w:val="24"/>
          <w:szCs w:val="24"/>
          <w:lang w:val="pt-PT"/>
        </w:rPr>
        <w:t>EH está associada a</w:t>
      </w:r>
      <w:r w:rsidRPr="004E6265">
        <w:rPr>
          <w:rFonts w:ascii="Times New Roman" w:hAnsi="Times New Roman"/>
          <w:color w:val="000000"/>
          <w:sz w:val="24"/>
          <w:szCs w:val="24"/>
          <w:lang w:val="pt-PT"/>
        </w:rPr>
        <w:t xml:space="preserve">o excesso de peso e a obesidade; diabetes melitus do tipo 2 e inatividade fisica, apresentando prevalência entre </w:t>
      </w:r>
      <w:r w:rsidRPr="004E6265">
        <w:rPr>
          <w:rFonts w:ascii="Times New Roman" w:hAnsi="Times New Roman"/>
          <w:color w:val="000000"/>
          <w:sz w:val="24"/>
          <w:szCs w:val="24"/>
          <w:lang w:val="pt-BR"/>
        </w:rPr>
        <w:t>10 e 24% da população mundial. A atividade física é considerada como um dos fatores moduladores mais eficazes na prevenção de doenças como a esteatose hepática e a promoção da saúde. Assim, aumentar o nível de atividade física através das atividades da vida diária e pelo envolvimento em programas de exercícios são comportamentos desejáveis na prevenção de doenças crônicas. O presente estudo permite concluir que a EH como doença metabólica se associa com o ganho de peso e baixo nível de atividade física populacional. Os estudos indicaram que aumentar o nível de atividade física pode colaborar com a diminuição de gordura no fígado e prevenir o aparecimento do quadro de EH. Importante frisar que outros hábitos na vida diária poderiam se associar a EH, destacando neste caso, o consumo de bebidas alcoólicas.</w:t>
      </w:r>
    </w:p>
    <w:p w:rsidR="006D3DF4" w:rsidRPr="004E6265" w:rsidRDefault="006D3DF4" w:rsidP="00F138E7">
      <w:pPr>
        <w:spacing w:line="360" w:lineRule="auto"/>
        <w:contextualSpacing/>
        <w:jc w:val="both"/>
        <w:rPr>
          <w:rFonts w:ascii="Times New Roman" w:hAnsi="Times New Roman"/>
          <w:color w:val="000000"/>
          <w:sz w:val="24"/>
          <w:szCs w:val="24"/>
          <w:lang w:val="pt-BR"/>
        </w:rPr>
      </w:pPr>
      <w:r w:rsidRPr="004E6265">
        <w:rPr>
          <w:rFonts w:ascii="Times New Roman" w:hAnsi="Times New Roman"/>
          <w:b/>
          <w:color w:val="000000"/>
          <w:sz w:val="24"/>
          <w:szCs w:val="24"/>
          <w:lang w:val="pt-BR"/>
        </w:rPr>
        <w:t>Palavras-chaves:</w:t>
      </w:r>
      <w:r w:rsidRPr="004E6265">
        <w:rPr>
          <w:rFonts w:ascii="Times New Roman" w:hAnsi="Times New Roman"/>
          <w:color w:val="000000"/>
          <w:sz w:val="24"/>
          <w:szCs w:val="24"/>
          <w:lang w:val="pt-BR"/>
        </w:rPr>
        <w:t xml:space="preserve"> Esteatose hepática; fígado gorduroso; estilo de vida ativo; atividade física.</w:t>
      </w:r>
    </w:p>
    <w:p w:rsidR="006D3DF4" w:rsidRPr="004E6265" w:rsidRDefault="006D3DF4" w:rsidP="00071D00">
      <w:pPr>
        <w:spacing w:line="360" w:lineRule="auto"/>
        <w:contextualSpacing/>
        <w:jc w:val="center"/>
        <w:rPr>
          <w:rFonts w:ascii="Times New Roman" w:hAnsi="Times New Roman"/>
          <w:b/>
          <w:color w:val="000000"/>
          <w:sz w:val="28"/>
          <w:szCs w:val="28"/>
          <w:lang w:val="pt-BR"/>
        </w:rPr>
      </w:pPr>
    </w:p>
    <w:p w:rsidR="006D3DF4" w:rsidRPr="004E6265" w:rsidRDefault="006D3DF4" w:rsidP="00071D00">
      <w:pPr>
        <w:spacing w:line="360" w:lineRule="auto"/>
        <w:contextualSpacing/>
        <w:jc w:val="center"/>
        <w:rPr>
          <w:rFonts w:ascii="Times New Roman" w:hAnsi="Times New Roman"/>
          <w:b/>
          <w:color w:val="000000"/>
          <w:sz w:val="28"/>
          <w:szCs w:val="28"/>
          <w:lang w:val="pt-BR"/>
        </w:rPr>
      </w:pPr>
    </w:p>
    <w:p w:rsidR="006D3DF4" w:rsidRPr="004E6265" w:rsidRDefault="006D3DF4" w:rsidP="00071D00">
      <w:pPr>
        <w:spacing w:line="360" w:lineRule="auto"/>
        <w:contextualSpacing/>
        <w:jc w:val="center"/>
        <w:rPr>
          <w:rFonts w:ascii="Times New Roman" w:hAnsi="Times New Roman"/>
          <w:b/>
          <w:color w:val="000000"/>
          <w:sz w:val="28"/>
          <w:szCs w:val="28"/>
          <w:lang w:val="pt-BR"/>
        </w:rPr>
      </w:pPr>
    </w:p>
    <w:p w:rsidR="006D3DF4" w:rsidRPr="004E6265" w:rsidRDefault="006D3DF4" w:rsidP="00071D00">
      <w:pPr>
        <w:spacing w:line="360" w:lineRule="auto"/>
        <w:contextualSpacing/>
        <w:jc w:val="center"/>
        <w:rPr>
          <w:rFonts w:ascii="Times New Roman" w:hAnsi="Times New Roman"/>
          <w:b/>
          <w:color w:val="000000"/>
          <w:sz w:val="28"/>
          <w:szCs w:val="28"/>
          <w:lang w:val="pt-BR"/>
        </w:rPr>
      </w:pPr>
    </w:p>
    <w:p w:rsidR="006D3DF4" w:rsidRPr="004E6265" w:rsidRDefault="006D3DF4" w:rsidP="00071D00">
      <w:pPr>
        <w:spacing w:line="360" w:lineRule="auto"/>
        <w:contextualSpacing/>
        <w:jc w:val="center"/>
        <w:rPr>
          <w:rFonts w:ascii="Times New Roman" w:hAnsi="Times New Roman"/>
          <w:b/>
          <w:color w:val="000000"/>
          <w:sz w:val="28"/>
          <w:szCs w:val="28"/>
          <w:lang w:val="pt-BR"/>
        </w:rPr>
      </w:pPr>
    </w:p>
    <w:p w:rsidR="006D3DF4" w:rsidRPr="004E6265" w:rsidRDefault="006D3DF4" w:rsidP="00071D00">
      <w:pPr>
        <w:spacing w:line="360" w:lineRule="auto"/>
        <w:contextualSpacing/>
        <w:jc w:val="center"/>
        <w:rPr>
          <w:rFonts w:ascii="Times New Roman" w:hAnsi="Times New Roman"/>
          <w:b/>
          <w:color w:val="000000"/>
          <w:sz w:val="28"/>
          <w:szCs w:val="28"/>
        </w:rPr>
      </w:pPr>
      <w:r w:rsidRPr="004E6265">
        <w:rPr>
          <w:rFonts w:ascii="Times New Roman" w:hAnsi="Times New Roman"/>
          <w:b/>
          <w:color w:val="000000"/>
          <w:sz w:val="28"/>
          <w:szCs w:val="28"/>
        </w:rPr>
        <w:t>Hepatic Steatosis and active lifestyle: Review of Literature.</w:t>
      </w:r>
    </w:p>
    <w:p w:rsidR="006D3DF4" w:rsidRPr="004E6265" w:rsidRDefault="006D3DF4" w:rsidP="00071D00">
      <w:pPr>
        <w:spacing w:line="360" w:lineRule="auto"/>
        <w:contextualSpacing/>
        <w:jc w:val="both"/>
        <w:rPr>
          <w:rFonts w:ascii="Times New Roman" w:hAnsi="Times New Roman"/>
          <w:b/>
          <w:i/>
          <w:color w:val="000000"/>
          <w:sz w:val="24"/>
          <w:szCs w:val="24"/>
        </w:rPr>
      </w:pPr>
    </w:p>
    <w:p w:rsidR="006D3DF4" w:rsidRPr="004E6265" w:rsidRDefault="006D3DF4" w:rsidP="00071D00">
      <w:pPr>
        <w:spacing w:line="360" w:lineRule="auto"/>
        <w:contextualSpacing/>
        <w:jc w:val="both"/>
        <w:rPr>
          <w:rFonts w:ascii="Times New Roman" w:hAnsi="Times New Roman"/>
          <w:color w:val="000000"/>
          <w:sz w:val="24"/>
          <w:szCs w:val="24"/>
        </w:rPr>
      </w:pPr>
      <w:r w:rsidRPr="004E6265">
        <w:rPr>
          <w:rFonts w:ascii="Times New Roman" w:hAnsi="Times New Roman"/>
          <w:b/>
          <w:i/>
          <w:color w:val="000000"/>
          <w:sz w:val="24"/>
          <w:szCs w:val="24"/>
        </w:rPr>
        <w:t xml:space="preserve">ABSTRACT: </w:t>
      </w:r>
      <w:r w:rsidRPr="004E6265">
        <w:rPr>
          <w:rFonts w:ascii="Times New Roman" w:hAnsi="Times New Roman"/>
          <w:color w:val="000000"/>
          <w:sz w:val="24"/>
          <w:szCs w:val="24"/>
        </w:rPr>
        <w:t>The hepatic steatosis (HS) or fatty liver is a derivation of Nonalcoholic Fatty Liver Disease (NAFLD), and histopathologic condition, when the lipid accumulation in hepatocytes, representing more than 5 % by liver weight. As HS promotes liver injury, has been considered as one of the most common causes of chronic liver disease in developed countries and developing countries. The HS has a strong association with the lifestyle, so, the objective of this study was to present the principals risk factors related to the development of HS and the association with the level of physical activity. It ensures that the development of HS is related to lifestyle, especially with the history of physical inactivity and unhealthy eating habits, factors associated with the development of metabolic syndrome. The prevalence of HS is associated with weight gain and obesity, diabetes mellitus type 2 and physical inactivity, with prevalence between 10 and 24% of the world. Physical activity is considered as one of the factors modulating more effective in preventing diseases such as hepatic steatosis, and health promotion. Thus, increasing the level of physical activity through the activities of daily living and involvement in exercise programs are desirable behaviors in the prevention of chronic diseases. The present study shows that the HS as metabolic disease is associated with weight gain and low physical activity level population. Studies have indicated that increasing the level of physical activity can help in reducing fat in the liver and prevent the onset of hepatic steatosis frame. Important to note that other habits in daily life could be associated with HS, highlighting this case, the consumption of alcoholic beverages.</w:t>
      </w:r>
      <w:r w:rsidRPr="004E6265">
        <w:rPr>
          <w:rFonts w:ascii="Arial" w:hAnsi="Arial" w:cs="Arial"/>
          <w:color w:val="000000"/>
        </w:rPr>
        <w:br/>
      </w:r>
      <w:r w:rsidRPr="004E6265">
        <w:rPr>
          <w:rFonts w:ascii="Times New Roman" w:hAnsi="Times New Roman"/>
          <w:b/>
          <w:color w:val="000000"/>
          <w:sz w:val="24"/>
          <w:szCs w:val="24"/>
        </w:rPr>
        <w:t>Key-words:</w:t>
      </w:r>
      <w:r w:rsidRPr="004E6265">
        <w:rPr>
          <w:rFonts w:ascii="Times New Roman" w:hAnsi="Times New Roman"/>
          <w:color w:val="000000"/>
          <w:sz w:val="24"/>
          <w:szCs w:val="24"/>
        </w:rPr>
        <w:t xml:space="preserve"> hepatic steatosis, fatty liver, active lifestyle, physical activity.</w:t>
      </w:r>
    </w:p>
    <w:p w:rsidR="006D3DF4" w:rsidRPr="004E6265" w:rsidRDefault="006D3DF4" w:rsidP="00071D00">
      <w:pPr>
        <w:spacing w:line="360" w:lineRule="auto"/>
        <w:contextualSpacing/>
        <w:jc w:val="both"/>
        <w:rPr>
          <w:rFonts w:ascii="Times New Roman" w:hAnsi="Times New Roman"/>
          <w:color w:val="000000"/>
          <w:sz w:val="24"/>
          <w:szCs w:val="24"/>
        </w:rPr>
      </w:pPr>
    </w:p>
    <w:p w:rsidR="006D3DF4" w:rsidRPr="004E6265" w:rsidRDefault="006D3DF4" w:rsidP="00071D00">
      <w:pPr>
        <w:spacing w:line="360" w:lineRule="auto"/>
        <w:contextualSpacing/>
        <w:jc w:val="both"/>
        <w:rPr>
          <w:rFonts w:ascii="Times New Roman" w:hAnsi="Times New Roman"/>
          <w:color w:val="000000"/>
          <w:sz w:val="24"/>
          <w:szCs w:val="24"/>
        </w:rPr>
      </w:pPr>
    </w:p>
    <w:p w:rsidR="006D3DF4" w:rsidRPr="004E6265" w:rsidRDefault="006D3DF4" w:rsidP="00071D00">
      <w:pPr>
        <w:spacing w:line="360" w:lineRule="auto"/>
        <w:contextualSpacing/>
        <w:jc w:val="both"/>
        <w:rPr>
          <w:rFonts w:ascii="Times New Roman" w:hAnsi="Times New Roman"/>
          <w:color w:val="000000"/>
          <w:sz w:val="24"/>
          <w:szCs w:val="24"/>
        </w:rPr>
      </w:pPr>
    </w:p>
    <w:p w:rsidR="006D3DF4" w:rsidRPr="004E6265" w:rsidRDefault="006D3DF4" w:rsidP="00071D00">
      <w:pPr>
        <w:spacing w:line="360" w:lineRule="auto"/>
        <w:contextualSpacing/>
        <w:jc w:val="both"/>
        <w:rPr>
          <w:rFonts w:ascii="Times New Roman" w:hAnsi="Times New Roman"/>
          <w:color w:val="000000"/>
          <w:sz w:val="24"/>
          <w:szCs w:val="24"/>
        </w:rPr>
      </w:pPr>
    </w:p>
    <w:p w:rsidR="006D3DF4" w:rsidRPr="004E6265" w:rsidRDefault="006D3DF4" w:rsidP="00071D00">
      <w:pPr>
        <w:spacing w:line="360" w:lineRule="auto"/>
        <w:contextualSpacing/>
        <w:jc w:val="both"/>
        <w:rPr>
          <w:rFonts w:ascii="Times New Roman" w:hAnsi="Times New Roman"/>
          <w:color w:val="000000"/>
          <w:sz w:val="24"/>
          <w:szCs w:val="24"/>
        </w:rPr>
      </w:pPr>
    </w:p>
    <w:p w:rsidR="006D3DF4" w:rsidRPr="004E6265" w:rsidRDefault="006D3DF4" w:rsidP="00071D00">
      <w:pPr>
        <w:spacing w:line="360" w:lineRule="auto"/>
        <w:contextualSpacing/>
        <w:jc w:val="both"/>
        <w:rPr>
          <w:rFonts w:ascii="Times New Roman" w:hAnsi="Times New Roman"/>
          <w:color w:val="000000"/>
          <w:sz w:val="24"/>
          <w:szCs w:val="24"/>
        </w:rPr>
      </w:pPr>
    </w:p>
    <w:p w:rsidR="006D3DF4" w:rsidRPr="004E6265" w:rsidRDefault="006D3DF4" w:rsidP="00071D00">
      <w:pPr>
        <w:spacing w:line="360" w:lineRule="auto"/>
        <w:contextualSpacing/>
        <w:jc w:val="both"/>
        <w:rPr>
          <w:rFonts w:ascii="Times New Roman" w:hAnsi="Times New Roman"/>
          <w:color w:val="000000"/>
          <w:sz w:val="24"/>
          <w:szCs w:val="24"/>
        </w:rPr>
      </w:pPr>
    </w:p>
    <w:p w:rsidR="006D3DF4" w:rsidRPr="004E6265" w:rsidRDefault="006D3DF4" w:rsidP="00071D00">
      <w:pPr>
        <w:spacing w:line="360" w:lineRule="auto"/>
        <w:contextualSpacing/>
        <w:jc w:val="both"/>
        <w:rPr>
          <w:rFonts w:ascii="Times New Roman" w:hAnsi="Times New Roman"/>
          <w:color w:val="000000"/>
          <w:sz w:val="24"/>
          <w:szCs w:val="24"/>
        </w:rPr>
      </w:pPr>
    </w:p>
    <w:p w:rsidR="006D3DF4" w:rsidRPr="004E6265" w:rsidRDefault="006D3DF4" w:rsidP="00BC04B0">
      <w:pPr>
        <w:spacing w:line="360" w:lineRule="auto"/>
        <w:contextualSpacing/>
        <w:rPr>
          <w:rFonts w:ascii="Times New Roman" w:hAnsi="Times New Roman"/>
          <w:color w:val="000000"/>
          <w:sz w:val="24"/>
          <w:szCs w:val="24"/>
        </w:rPr>
      </w:pPr>
    </w:p>
    <w:p w:rsidR="006D3DF4" w:rsidRPr="004E6265" w:rsidRDefault="006D3DF4" w:rsidP="00071D00">
      <w:pPr>
        <w:spacing w:line="360" w:lineRule="auto"/>
        <w:contextualSpacing/>
        <w:rPr>
          <w:rFonts w:ascii="Times New Roman" w:hAnsi="Times New Roman"/>
          <w:b/>
          <w:color w:val="000000"/>
          <w:sz w:val="24"/>
          <w:szCs w:val="24"/>
          <w:lang w:val="pt-BR"/>
        </w:rPr>
      </w:pPr>
      <w:r w:rsidRPr="004E6265">
        <w:rPr>
          <w:rFonts w:ascii="Times New Roman" w:hAnsi="Times New Roman"/>
          <w:b/>
          <w:color w:val="000000"/>
          <w:sz w:val="24"/>
          <w:szCs w:val="24"/>
          <w:lang w:val="pt-BR"/>
        </w:rPr>
        <w:t>Introdução</w:t>
      </w:r>
    </w:p>
    <w:p w:rsidR="006D3DF4" w:rsidRPr="004E6265" w:rsidRDefault="006D3DF4" w:rsidP="00071D00">
      <w:pPr>
        <w:spacing w:line="360" w:lineRule="auto"/>
        <w:contextualSpacing/>
        <w:jc w:val="both"/>
        <w:rPr>
          <w:rFonts w:ascii="Times New Roman" w:hAnsi="Times New Roman"/>
          <w:color w:val="000000"/>
          <w:sz w:val="24"/>
          <w:szCs w:val="24"/>
          <w:lang w:val="pt-BR"/>
        </w:rPr>
      </w:pPr>
      <w:r w:rsidRPr="004E6265">
        <w:rPr>
          <w:rFonts w:ascii="Times New Roman" w:hAnsi="Times New Roman"/>
          <w:b/>
          <w:color w:val="000000"/>
          <w:sz w:val="24"/>
          <w:szCs w:val="24"/>
          <w:lang w:val="pt-BR"/>
        </w:rPr>
        <w:tab/>
      </w:r>
      <w:r w:rsidRPr="004E6265">
        <w:rPr>
          <w:rFonts w:ascii="Times New Roman" w:hAnsi="Times New Roman"/>
          <w:color w:val="000000"/>
          <w:sz w:val="24"/>
          <w:szCs w:val="24"/>
          <w:lang w:val="pt-BR"/>
        </w:rPr>
        <w:t>A Doença Hepática Gordurosa Não Alcoólica (DHGNA) é uma das doenças hepáticas mais prevalentes, sendo caracterizada como uma condição clínica-patológica de amplo espectro e com elevado potencial evolutivo</w:t>
      </w:r>
      <w:r w:rsidRPr="004E6265">
        <w:rPr>
          <w:rFonts w:ascii="Times New Roman" w:hAnsi="Times New Roman"/>
          <w:color w:val="000000"/>
          <w:sz w:val="24"/>
          <w:szCs w:val="24"/>
          <w:vertAlign w:val="superscript"/>
          <w:lang w:val="pt-BR"/>
        </w:rPr>
        <w:t>1</w:t>
      </w:r>
      <w:r w:rsidRPr="004E6265">
        <w:rPr>
          <w:rFonts w:ascii="Times New Roman" w:hAnsi="Times New Roman"/>
          <w:color w:val="000000"/>
          <w:sz w:val="24"/>
          <w:szCs w:val="24"/>
          <w:lang w:val="pt-BR"/>
        </w:rPr>
        <w:t>. A</w:t>
      </w:r>
      <w:r w:rsidRPr="004E6265">
        <w:rPr>
          <w:rFonts w:ascii="Times New Roman" w:hAnsi="Times New Roman"/>
          <w:color w:val="000000"/>
          <w:sz w:val="24"/>
          <w:lang w:val="pt-BR"/>
        </w:rPr>
        <w:t xml:space="preserve"> esteatose hepática (EH) ou fígado gorduroso </w:t>
      </w:r>
      <w:r w:rsidRPr="004E6265">
        <w:rPr>
          <w:rFonts w:ascii="Times New Roman" w:hAnsi="Times New Roman"/>
          <w:color w:val="000000"/>
          <w:sz w:val="24"/>
          <w:szCs w:val="24"/>
          <w:lang w:val="pt-BR"/>
        </w:rPr>
        <w:t>é uma derivação da DHGNA</w:t>
      </w:r>
      <w:r w:rsidRPr="004E6265">
        <w:rPr>
          <w:rFonts w:ascii="Times New Roman" w:hAnsi="Times New Roman"/>
          <w:color w:val="000000"/>
          <w:sz w:val="24"/>
          <w:lang w:val="pt-BR"/>
        </w:rPr>
        <w:t>,</w:t>
      </w:r>
      <w:r w:rsidRPr="004E6265">
        <w:rPr>
          <w:rFonts w:ascii="Times New Roman" w:hAnsi="Times New Roman"/>
          <w:color w:val="000000"/>
          <w:sz w:val="24"/>
          <w:szCs w:val="24"/>
          <w:lang w:val="pt-BR"/>
        </w:rPr>
        <w:t xml:space="preserve"> e na condição histopatológica, quando o acúmulo de lipídios nos hepatócitos representa mais de 5% do peso desse órgão. Como a EH promove lesões hepáticas, é considerada como uma das causas mais comuns de doenças hepáticas crônicas em países desenvolvidos e países emergentes, pois o rápido desenvolvimento econômico tem se associado a transição epidemiológica associada às doenças crônicas não transmissíveis</w:t>
      </w:r>
      <w:r w:rsidRPr="004E6265">
        <w:rPr>
          <w:rFonts w:ascii="Times New Roman" w:hAnsi="Times New Roman"/>
          <w:color w:val="000000"/>
          <w:sz w:val="24"/>
          <w:szCs w:val="24"/>
          <w:vertAlign w:val="superscript"/>
          <w:lang w:val="pt-BR"/>
        </w:rPr>
        <w:t>2</w:t>
      </w:r>
      <w:r w:rsidRPr="004E6265">
        <w:rPr>
          <w:rFonts w:ascii="Times New Roman" w:hAnsi="Times New Roman"/>
          <w:color w:val="000000"/>
          <w:sz w:val="24"/>
          <w:szCs w:val="24"/>
          <w:lang w:val="pt-BR"/>
        </w:rPr>
        <w:t>.</w:t>
      </w:r>
    </w:p>
    <w:p w:rsidR="006D3DF4" w:rsidRPr="004E6265" w:rsidRDefault="006D3DF4" w:rsidP="00071D00">
      <w:pPr>
        <w:spacing w:line="360" w:lineRule="auto"/>
        <w:contextualSpacing/>
        <w:jc w:val="both"/>
        <w:rPr>
          <w:rFonts w:ascii="Times New Roman" w:hAnsi="Times New Roman"/>
          <w:color w:val="000000"/>
          <w:sz w:val="24"/>
          <w:szCs w:val="24"/>
          <w:lang w:val="pt-BR"/>
        </w:rPr>
      </w:pPr>
      <w:r w:rsidRPr="004E6265">
        <w:rPr>
          <w:rFonts w:ascii="Times New Roman" w:hAnsi="Times New Roman"/>
          <w:color w:val="000000"/>
          <w:sz w:val="24"/>
          <w:szCs w:val="24"/>
          <w:lang w:val="pt-BR"/>
        </w:rPr>
        <w:tab/>
        <w:t>O fígado normal contém aproximadamente 5% de lipídios em 100g de peso, dos quais 14% são triglicérides, 64% fosfolípides, 8% colesterol e 14% ácidos graxos livres. A deposição excessiva de lipídios nos casos de EH é em sua maioria de triglicérides, mas fosfolipídios são encontrados. Na EH os lipídios totais contribuem com mais de 50% no peso do fígado, sendo que 25% estão associados ao acúmulo de triglicérides</w:t>
      </w:r>
      <w:r w:rsidRPr="004E6265">
        <w:rPr>
          <w:rFonts w:ascii="Times New Roman" w:hAnsi="Times New Roman"/>
          <w:color w:val="000000"/>
          <w:sz w:val="24"/>
          <w:szCs w:val="24"/>
          <w:vertAlign w:val="superscript"/>
          <w:lang w:val="pt-BR"/>
        </w:rPr>
        <w:t>2</w:t>
      </w:r>
      <w:r w:rsidRPr="004E6265">
        <w:rPr>
          <w:rFonts w:ascii="Times New Roman" w:hAnsi="Times New Roman"/>
          <w:color w:val="000000"/>
          <w:sz w:val="24"/>
          <w:szCs w:val="24"/>
          <w:lang w:val="pt-BR"/>
        </w:rPr>
        <w:t>.</w:t>
      </w:r>
    </w:p>
    <w:p w:rsidR="006D3DF4" w:rsidRPr="004E6265" w:rsidRDefault="006D3DF4" w:rsidP="00071D00">
      <w:pPr>
        <w:spacing w:line="360" w:lineRule="auto"/>
        <w:contextualSpacing/>
        <w:jc w:val="both"/>
        <w:rPr>
          <w:rFonts w:ascii="Times New Roman" w:hAnsi="Times New Roman"/>
          <w:color w:val="000000"/>
          <w:sz w:val="24"/>
          <w:szCs w:val="24"/>
          <w:lang w:val="pt-BR"/>
        </w:rPr>
      </w:pPr>
      <w:r w:rsidRPr="004E6265">
        <w:rPr>
          <w:rFonts w:ascii="Times New Roman" w:hAnsi="Times New Roman"/>
          <w:color w:val="000000"/>
          <w:sz w:val="24"/>
          <w:szCs w:val="24"/>
          <w:lang w:val="pt-BR"/>
        </w:rPr>
        <w:tab/>
        <w:t xml:space="preserve">A EH se associa ao consumo excessivo de álcool </w:t>
      </w:r>
      <w:r w:rsidRPr="004E6265">
        <w:rPr>
          <w:rFonts w:ascii="Times New Roman" w:hAnsi="Times New Roman"/>
          <w:color w:val="000000"/>
          <w:sz w:val="24"/>
          <w:szCs w:val="24"/>
          <w:vertAlign w:val="superscript"/>
          <w:lang w:val="pt-BR"/>
        </w:rPr>
        <w:t>3,4,5</w:t>
      </w:r>
      <w:r w:rsidRPr="004E6265">
        <w:rPr>
          <w:rFonts w:ascii="Times New Roman" w:hAnsi="Times New Roman"/>
          <w:color w:val="000000"/>
          <w:sz w:val="24"/>
          <w:szCs w:val="24"/>
          <w:lang w:val="pt-BR"/>
        </w:rPr>
        <w:t>, obesidade</w:t>
      </w:r>
      <w:r w:rsidRPr="004E6265">
        <w:rPr>
          <w:rFonts w:ascii="Times New Roman" w:hAnsi="Times New Roman"/>
          <w:color w:val="000000"/>
          <w:sz w:val="24"/>
          <w:szCs w:val="24"/>
          <w:vertAlign w:val="superscript"/>
          <w:lang w:val="pt-BR"/>
        </w:rPr>
        <w:t xml:space="preserve"> 4,5,6</w:t>
      </w:r>
      <w:r w:rsidRPr="004E6265">
        <w:rPr>
          <w:rFonts w:ascii="Times New Roman" w:hAnsi="Times New Roman"/>
          <w:color w:val="000000"/>
          <w:sz w:val="24"/>
          <w:szCs w:val="24"/>
          <w:lang w:val="pt-BR"/>
        </w:rPr>
        <w:t xml:space="preserve">, valores excessivos na ingestão calórica </w:t>
      </w:r>
      <w:r w:rsidRPr="004E6265">
        <w:rPr>
          <w:rFonts w:ascii="Times New Roman" w:hAnsi="Times New Roman"/>
          <w:color w:val="000000"/>
          <w:sz w:val="24"/>
          <w:szCs w:val="24"/>
          <w:vertAlign w:val="superscript"/>
          <w:lang w:val="pt-BR"/>
        </w:rPr>
        <w:t>3,4,5</w:t>
      </w:r>
      <w:r w:rsidRPr="004E6265">
        <w:rPr>
          <w:rFonts w:ascii="Times New Roman" w:hAnsi="Times New Roman"/>
          <w:color w:val="000000"/>
          <w:sz w:val="24"/>
          <w:szCs w:val="24"/>
          <w:lang w:val="pt-BR"/>
        </w:rPr>
        <w:t>, hepatite induzida por medicamentos (corticosteróides, estrógenos sintéticos, aspirinas, bloqueadores de canais de cálcio, amiodarona, tamoxifeno, tetraciclina, metotrexato, meleato de pirexileno, ácido valpróico, cocaína, agentes virais, tetracloreto de carbono, tricloetileno, fósforo e fialuridine)</w:t>
      </w:r>
      <w:r w:rsidRPr="004E6265">
        <w:rPr>
          <w:rFonts w:ascii="Times New Roman" w:hAnsi="Times New Roman"/>
          <w:color w:val="000000"/>
          <w:sz w:val="24"/>
          <w:szCs w:val="24"/>
          <w:vertAlign w:val="superscript"/>
          <w:lang w:val="pt-BR"/>
        </w:rPr>
        <w:t>2,5,6</w:t>
      </w:r>
      <w:r w:rsidRPr="004E6265">
        <w:rPr>
          <w:rFonts w:ascii="Times New Roman" w:hAnsi="Times New Roman"/>
          <w:color w:val="000000"/>
          <w:sz w:val="24"/>
          <w:szCs w:val="24"/>
          <w:lang w:val="pt-BR"/>
        </w:rPr>
        <w:t>, dislipidemia</w:t>
      </w:r>
      <w:r w:rsidRPr="004E6265">
        <w:rPr>
          <w:rFonts w:ascii="Times New Roman" w:hAnsi="Times New Roman"/>
          <w:color w:val="000000"/>
          <w:sz w:val="24"/>
          <w:szCs w:val="24"/>
          <w:vertAlign w:val="superscript"/>
          <w:lang w:val="pt-BR"/>
        </w:rPr>
        <w:t xml:space="preserve"> 4,5,6</w:t>
      </w:r>
      <w:r w:rsidRPr="004E6265">
        <w:rPr>
          <w:rFonts w:ascii="Times New Roman" w:hAnsi="Times New Roman"/>
          <w:color w:val="000000"/>
          <w:sz w:val="24"/>
          <w:szCs w:val="24"/>
          <w:lang w:val="pt-BR"/>
        </w:rPr>
        <w:t>, diabetes mellitus tipo 2</w:t>
      </w:r>
      <w:r w:rsidRPr="004E6265">
        <w:rPr>
          <w:rFonts w:ascii="Times New Roman" w:hAnsi="Times New Roman"/>
          <w:color w:val="000000"/>
          <w:sz w:val="24"/>
          <w:szCs w:val="24"/>
          <w:vertAlign w:val="superscript"/>
          <w:lang w:val="pt-BR"/>
        </w:rPr>
        <w:t xml:space="preserve"> 4,5,6</w:t>
      </w:r>
      <w:r w:rsidRPr="004E6265">
        <w:rPr>
          <w:rFonts w:ascii="Times New Roman" w:hAnsi="Times New Roman"/>
          <w:color w:val="000000"/>
          <w:sz w:val="24"/>
          <w:szCs w:val="24"/>
          <w:lang w:val="pt-BR"/>
        </w:rPr>
        <w:t>, caquexia</w:t>
      </w:r>
      <w:r w:rsidRPr="004E6265">
        <w:rPr>
          <w:rFonts w:ascii="Times New Roman" w:hAnsi="Times New Roman"/>
          <w:color w:val="000000"/>
          <w:sz w:val="24"/>
          <w:szCs w:val="24"/>
          <w:vertAlign w:val="superscript"/>
          <w:lang w:val="pt-BR"/>
        </w:rPr>
        <w:t>3,5,6</w:t>
      </w:r>
      <w:r w:rsidRPr="004E6265">
        <w:rPr>
          <w:rFonts w:ascii="Times New Roman" w:hAnsi="Times New Roman"/>
          <w:color w:val="000000"/>
          <w:sz w:val="24"/>
          <w:szCs w:val="24"/>
          <w:lang w:val="pt-BR"/>
        </w:rPr>
        <w:t xml:space="preserve"> e após quadro operatório em pacientes submetidos à derivação jejuno-ileal </w:t>
      </w:r>
      <w:r w:rsidRPr="004E6265">
        <w:rPr>
          <w:rFonts w:ascii="Times New Roman" w:hAnsi="Times New Roman"/>
          <w:color w:val="000000"/>
          <w:sz w:val="24"/>
          <w:szCs w:val="24"/>
          <w:vertAlign w:val="superscript"/>
          <w:lang w:val="pt-BR"/>
        </w:rPr>
        <w:t>3,4,5</w:t>
      </w:r>
      <w:r w:rsidRPr="004E6265">
        <w:rPr>
          <w:rFonts w:ascii="Times New Roman" w:hAnsi="Times New Roman"/>
          <w:color w:val="000000"/>
          <w:sz w:val="24"/>
          <w:szCs w:val="24"/>
          <w:lang w:val="pt-BR"/>
        </w:rPr>
        <w:t>.</w:t>
      </w:r>
    </w:p>
    <w:p w:rsidR="006D3DF4" w:rsidRPr="004E6265" w:rsidRDefault="006D3DF4" w:rsidP="00071D00">
      <w:pPr>
        <w:spacing w:line="360" w:lineRule="auto"/>
        <w:contextualSpacing/>
        <w:jc w:val="both"/>
        <w:rPr>
          <w:rFonts w:ascii="Times New Roman" w:hAnsi="Times New Roman"/>
          <w:color w:val="000000"/>
          <w:sz w:val="24"/>
          <w:szCs w:val="24"/>
          <w:lang w:val="pt-BR"/>
        </w:rPr>
      </w:pPr>
      <w:r w:rsidRPr="004E6265">
        <w:rPr>
          <w:rFonts w:ascii="Times New Roman" w:hAnsi="Times New Roman"/>
          <w:color w:val="000000"/>
          <w:sz w:val="24"/>
          <w:szCs w:val="24"/>
          <w:lang w:val="pt-BR"/>
        </w:rPr>
        <w:tab/>
        <w:t xml:space="preserve">A DHGNA é precursora da EH </w:t>
      </w:r>
      <w:r w:rsidRPr="004E6265">
        <w:rPr>
          <w:rFonts w:ascii="Times New Roman" w:hAnsi="Times New Roman"/>
          <w:color w:val="000000"/>
          <w:sz w:val="24"/>
          <w:szCs w:val="24"/>
          <w:vertAlign w:val="superscript"/>
          <w:lang w:val="pt-BR"/>
        </w:rPr>
        <w:t>6</w:t>
      </w:r>
      <w:r w:rsidRPr="004E6265">
        <w:rPr>
          <w:rFonts w:ascii="Times New Roman" w:hAnsi="Times New Roman"/>
          <w:color w:val="000000"/>
          <w:sz w:val="24"/>
          <w:szCs w:val="24"/>
          <w:lang w:val="pt-BR"/>
        </w:rPr>
        <w:t>, e de</w:t>
      </w:r>
      <w:r w:rsidRPr="004E6265">
        <w:rPr>
          <w:rFonts w:ascii="Times New Roman" w:hAnsi="Times New Roman"/>
          <w:color w:val="000000"/>
          <w:sz w:val="24"/>
          <w:lang w:val="pt-BR"/>
        </w:rPr>
        <w:t xml:space="preserve"> modo geral, os pacientes acometidos </w:t>
      </w:r>
      <w:r w:rsidRPr="004E6265">
        <w:rPr>
          <w:rFonts w:ascii="Times New Roman" w:hAnsi="Times New Roman"/>
          <w:color w:val="000000"/>
          <w:sz w:val="24"/>
          <w:szCs w:val="24"/>
          <w:lang w:val="pt-BR"/>
        </w:rPr>
        <w:t xml:space="preserve">em ambos os casos </w:t>
      </w:r>
      <w:r w:rsidRPr="004E6265">
        <w:rPr>
          <w:rFonts w:ascii="Times New Roman" w:hAnsi="Times New Roman"/>
          <w:color w:val="000000"/>
          <w:sz w:val="24"/>
          <w:lang w:val="pt-BR"/>
        </w:rPr>
        <w:t xml:space="preserve">são assintomáticos </w:t>
      </w:r>
      <w:r w:rsidRPr="004E6265">
        <w:rPr>
          <w:rFonts w:ascii="Times New Roman" w:hAnsi="Times New Roman"/>
          <w:color w:val="000000"/>
          <w:sz w:val="24"/>
          <w:szCs w:val="24"/>
          <w:vertAlign w:val="superscript"/>
          <w:lang w:val="pt-BR"/>
        </w:rPr>
        <w:t>3,6</w:t>
      </w:r>
      <w:r w:rsidRPr="004E6265">
        <w:rPr>
          <w:rFonts w:ascii="Times New Roman" w:hAnsi="Times New Roman"/>
          <w:color w:val="000000"/>
          <w:sz w:val="24"/>
          <w:szCs w:val="24"/>
          <w:lang w:val="pt-BR"/>
        </w:rPr>
        <w:t>. Porém em quadros mais avançados de EH são observadas sensações de mal estar, fadiga aguda e desconforto abdominal na região superior direita</w:t>
      </w:r>
      <w:r w:rsidRPr="004E6265">
        <w:rPr>
          <w:rFonts w:ascii="Times New Roman" w:hAnsi="Times New Roman"/>
          <w:color w:val="000000"/>
          <w:sz w:val="24"/>
          <w:szCs w:val="24"/>
          <w:vertAlign w:val="superscript"/>
          <w:lang w:val="pt-BR"/>
        </w:rPr>
        <w:t>3</w:t>
      </w:r>
      <w:r w:rsidRPr="004E6265">
        <w:rPr>
          <w:rFonts w:ascii="Times New Roman" w:hAnsi="Times New Roman"/>
          <w:color w:val="000000"/>
          <w:sz w:val="24"/>
          <w:szCs w:val="24"/>
          <w:lang w:val="pt-BR"/>
        </w:rPr>
        <w:t>.</w:t>
      </w:r>
    </w:p>
    <w:p w:rsidR="006D3DF4" w:rsidRPr="004E6265" w:rsidRDefault="006D3DF4" w:rsidP="00071D00">
      <w:pPr>
        <w:spacing w:line="360" w:lineRule="auto"/>
        <w:contextualSpacing/>
        <w:jc w:val="both"/>
        <w:rPr>
          <w:rFonts w:ascii="Times New Roman" w:hAnsi="Times New Roman"/>
          <w:color w:val="000000"/>
          <w:sz w:val="24"/>
          <w:szCs w:val="24"/>
          <w:lang w:val="pt-BR"/>
        </w:rPr>
      </w:pPr>
      <w:r w:rsidRPr="004E6265">
        <w:rPr>
          <w:rFonts w:ascii="Times New Roman" w:hAnsi="Times New Roman"/>
          <w:color w:val="000000"/>
          <w:sz w:val="24"/>
          <w:szCs w:val="24"/>
          <w:lang w:val="pt-BR"/>
        </w:rPr>
        <w:tab/>
        <w:t xml:space="preserve">A transição entre DHGNA e EH ainda não é claramente demarcada, mas observa-se um grau maior de inflamação nos pacientes com EH e em alguns casos desenvolvimento de fibrose </w:t>
      </w:r>
      <w:r w:rsidRPr="004E6265">
        <w:rPr>
          <w:rFonts w:ascii="Times New Roman" w:hAnsi="Times New Roman"/>
          <w:color w:val="000000"/>
          <w:sz w:val="24"/>
          <w:szCs w:val="24"/>
          <w:vertAlign w:val="superscript"/>
          <w:lang w:val="pt-BR"/>
        </w:rPr>
        <w:t>6</w:t>
      </w:r>
      <w:r w:rsidRPr="004E6265">
        <w:rPr>
          <w:rFonts w:ascii="Times New Roman" w:hAnsi="Times New Roman"/>
          <w:color w:val="000000"/>
          <w:sz w:val="24"/>
          <w:szCs w:val="24"/>
          <w:lang w:val="pt-BR"/>
        </w:rPr>
        <w:t xml:space="preserve">. </w:t>
      </w:r>
    </w:p>
    <w:p w:rsidR="006D3DF4" w:rsidRPr="004E6265" w:rsidRDefault="006D3DF4" w:rsidP="003A21CE">
      <w:pPr>
        <w:spacing w:line="360" w:lineRule="auto"/>
        <w:ind w:firstLine="720"/>
        <w:contextualSpacing/>
        <w:jc w:val="both"/>
        <w:rPr>
          <w:rFonts w:ascii="Times New Roman" w:hAnsi="Times New Roman"/>
          <w:color w:val="000000"/>
          <w:sz w:val="24"/>
          <w:szCs w:val="24"/>
          <w:lang w:val="pt-BR"/>
        </w:rPr>
      </w:pPr>
      <w:r w:rsidRPr="004E6265">
        <w:rPr>
          <w:rFonts w:ascii="Times New Roman" w:hAnsi="Times New Roman"/>
          <w:color w:val="000000"/>
          <w:sz w:val="24"/>
          <w:szCs w:val="24"/>
          <w:lang w:val="pt-BR"/>
        </w:rPr>
        <w:t>Assegura-se que o desenvolvimento da EH esteja relacionado ao estilo de vida, em especial ao histórico de inatividade física e hábitos alimentares pouco saudáveis, fatores associados ao desenvolvimento da síndrome metabólica</w:t>
      </w:r>
      <w:r w:rsidRPr="004E6265">
        <w:rPr>
          <w:rFonts w:ascii="Times New Roman" w:hAnsi="Times New Roman"/>
          <w:color w:val="000000"/>
          <w:sz w:val="24"/>
          <w:szCs w:val="24"/>
          <w:vertAlign w:val="superscript"/>
          <w:lang w:val="pt-BR"/>
        </w:rPr>
        <w:t>7</w:t>
      </w:r>
      <w:r w:rsidRPr="004E6265">
        <w:rPr>
          <w:rFonts w:ascii="Times New Roman" w:hAnsi="Times New Roman"/>
          <w:color w:val="000000"/>
          <w:sz w:val="24"/>
          <w:szCs w:val="24"/>
          <w:lang w:val="pt-BR"/>
        </w:rPr>
        <w:t xml:space="preserve">. </w:t>
      </w:r>
    </w:p>
    <w:p w:rsidR="006D3DF4" w:rsidRPr="004E6265" w:rsidRDefault="006D3DF4" w:rsidP="003A21CE">
      <w:pPr>
        <w:spacing w:line="360" w:lineRule="auto"/>
        <w:ind w:firstLine="720"/>
        <w:contextualSpacing/>
        <w:jc w:val="both"/>
        <w:rPr>
          <w:rFonts w:ascii="Times New Roman" w:hAnsi="Times New Roman"/>
          <w:color w:val="000000"/>
          <w:sz w:val="24"/>
          <w:szCs w:val="24"/>
          <w:lang w:val="pt-BR"/>
        </w:rPr>
      </w:pPr>
      <w:r w:rsidRPr="004E6265">
        <w:rPr>
          <w:rFonts w:ascii="Times New Roman" w:hAnsi="Times New Roman"/>
          <w:color w:val="000000"/>
          <w:sz w:val="24"/>
          <w:szCs w:val="24"/>
          <w:lang w:val="pt-BR"/>
        </w:rPr>
        <w:t xml:space="preserve">O National Institute of Health (NIH, 2007), define critérios para o diagnóstico positivo da síndrome metabólica quando: A) valor de glicose sérica em jejum esteja maior que 110 mg/dL; B) circunferência abdominal esteja superior a 102 cm em homens e 88 cm em mulheres; C) pressão arterial sistólica superior a 130 mmHg e diastólica maior que 85 mmHg, independente do uso de medicamentos no seu controle; D) valor sérico de triglicerídeos superior a 150 mg/dL ou com ou sem uso de fibratos; E) níveis de HDL-c inferior a 40 mg/dL (homem) e 50 mg/dL (mulher).  </w:t>
      </w:r>
    </w:p>
    <w:p w:rsidR="006D3DF4" w:rsidRPr="004E6265" w:rsidRDefault="006D3DF4" w:rsidP="00186114">
      <w:pPr>
        <w:spacing w:line="360" w:lineRule="auto"/>
        <w:ind w:firstLine="720"/>
        <w:contextualSpacing/>
        <w:jc w:val="both"/>
        <w:rPr>
          <w:rFonts w:ascii="Times New Roman" w:hAnsi="Times New Roman"/>
          <w:color w:val="000000"/>
          <w:sz w:val="24"/>
          <w:szCs w:val="24"/>
          <w:lang w:val="pt-BR"/>
        </w:rPr>
      </w:pPr>
      <w:r w:rsidRPr="004E6265">
        <w:rPr>
          <w:rFonts w:ascii="Times New Roman" w:hAnsi="Times New Roman"/>
          <w:color w:val="000000"/>
          <w:sz w:val="24"/>
          <w:szCs w:val="24"/>
          <w:lang w:val="pt-BR"/>
        </w:rPr>
        <w:t>O estilo de vida é fator determinante</w:t>
      </w:r>
      <w:r w:rsidRPr="004E6265">
        <w:rPr>
          <w:rFonts w:ascii="Times New Roman" w:hAnsi="Times New Roman"/>
          <w:color w:val="000000"/>
          <w:sz w:val="24"/>
          <w:lang w:val="pt-BR"/>
        </w:rPr>
        <w:t xml:space="preserve"> no </w:t>
      </w:r>
      <w:r w:rsidRPr="004E6265">
        <w:rPr>
          <w:rFonts w:ascii="Times New Roman" w:hAnsi="Times New Roman"/>
          <w:color w:val="000000"/>
          <w:sz w:val="24"/>
          <w:szCs w:val="24"/>
          <w:lang w:val="pt-BR"/>
        </w:rPr>
        <w:t xml:space="preserve">desenvolvimento de </w:t>
      </w:r>
      <w:r w:rsidRPr="004E6265">
        <w:rPr>
          <w:rFonts w:ascii="Times New Roman" w:hAnsi="Times New Roman"/>
          <w:color w:val="000000"/>
          <w:sz w:val="24"/>
          <w:lang w:val="pt-BR"/>
        </w:rPr>
        <w:t xml:space="preserve">EH, </w:t>
      </w:r>
      <w:r w:rsidRPr="004E6265">
        <w:rPr>
          <w:rFonts w:ascii="Times New Roman" w:hAnsi="Times New Roman"/>
          <w:color w:val="000000"/>
          <w:sz w:val="24"/>
          <w:szCs w:val="24"/>
          <w:lang w:val="pt-BR"/>
        </w:rPr>
        <w:t xml:space="preserve">uma vez que pode favorecer </w:t>
      </w:r>
      <w:r w:rsidRPr="004E6265">
        <w:rPr>
          <w:rFonts w:ascii="Times New Roman" w:hAnsi="Times New Roman"/>
          <w:color w:val="000000"/>
          <w:sz w:val="24"/>
          <w:lang w:val="pt-BR"/>
        </w:rPr>
        <w:t xml:space="preserve">o </w:t>
      </w:r>
      <w:r w:rsidRPr="004E6265">
        <w:rPr>
          <w:rFonts w:ascii="Times New Roman" w:hAnsi="Times New Roman"/>
          <w:color w:val="000000"/>
          <w:sz w:val="24"/>
          <w:szCs w:val="24"/>
          <w:lang w:val="pt-BR"/>
        </w:rPr>
        <w:t>aumento</w:t>
      </w:r>
      <w:r w:rsidRPr="004E6265">
        <w:rPr>
          <w:rFonts w:ascii="Times New Roman" w:hAnsi="Times New Roman"/>
          <w:color w:val="000000"/>
          <w:sz w:val="24"/>
          <w:lang w:val="pt-BR"/>
        </w:rPr>
        <w:t xml:space="preserve"> de peso</w:t>
      </w:r>
      <w:r w:rsidRPr="004E6265">
        <w:rPr>
          <w:rFonts w:ascii="Times New Roman" w:hAnsi="Times New Roman"/>
          <w:color w:val="000000"/>
          <w:sz w:val="24"/>
          <w:szCs w:val="24"/>
          <w:lang w:val="pt-BR"/>
        </w:rPr>
        <w:t>,</w:t>
      </w:r>
      <w:r w:rsidRPr="004E6265">
        <w:rPr>
          <w:rFonts w:ascii="Times New Roman" w:hAnsi="Times New Roman"/>
          <w:color w:val="000000"/>
          <w:sz w:val="24"/>
          <w:lang w:val="pt-BR"/>
        </w:rPr>
        <w:t xml:space="preserve"> e </w:t>
      </w:r>
      <w:r w:rsidRPr="004E6265">
        <w:rPr>
          <w:rFonts w:ascii="Times New Roman" w:hAnsi="Times New Roman"/>
          <w:color w:val="000000"/>
          <w:sz w:val="24"/>
          <w:szCs w:val="24"/>
          <w:lang w:val="pt-BR"/>
        </w:rPr>
        <w:t xml:space="preserve">como consequência a </w:t>
      </w:r>
      <w:r w:rsidRPr="004E6265">
        <w:rPr>
          <w:rFonts w:ascii="Times New Roman" w:hAnsi="Times New Roman"/>
          <w:color w:val="000000"/>
          <w:sz w:val="24"/>
          <w:lang w:val="pt-BR"/>
        </w:rPr>
        <w:t>obesidade</w:t>
      </w:r>
      <w:r w:rsidRPr="004E6265">
        <w:rPr>
          <w:rFonts w:ascii="Times New Roman" w:hAnsi="Times New Roman"/>
          <w:color w:val="000000"/>
          <w:sz w:val="24"/>
          <w:szCs w:val="24"/>
          <w:lang w:val="pt-BR"/>
        </w:rPr>
        <w:t xml:space="preserve">. A obesidade gera um aumento de citocinas inflamatórias e resistência a insulina, o que pode levar a uma inflamação da gordura visceral, aumentando então o acúmulo de gordura no fígado </w:t>
      </w:r>
      <w:r w:rsidRPr="004E6265">
        <w:rPr>
          <w:rFonts w:ascii="Times New Roman" w:hAnsi="Times New Roman"/>
          <w:color w:val="000000"/>
          <w:sz w:val="24"/>
          <w:szCs w:val="24"/>
          <w:vertAlign w:val="superscript"/>
          <w:lang w:val="pt-BR"/>
        </w:rPr>
        <w:t>A</w:t>
      </w:r>
      <w:r w:rsidRPr="004E6265">
        <w:rPr>
          <w:rFonts w:ascii="Times New Roman" w:hAnsi="Times New Roman"/>
          <w:color w:val="000000"/>
          <w:sz w:val="24"/>
          <w:szCs w:val="24"/>
          <w:lang w:val="pt-BR"/>
        </w:rPr>
        <w:t xml:space="preserve">. Este ciclo de respostas do organismo frente à obesidade e desenvolvimento de EH desencadearam inflamações crônicas (aumento da Proteína C- Reativa, interleucina 6, e fator de necrose tumoral alfa), hipercoagulação, dislipidemia (aumento dos níveis de triglicérides, diminuição dos níveis de HDL colesterol, e possível aumento de LDL colesterol), que aumentam o risco de desenvolvimento de doenças cardíacas </w:t>
      </w:r>
      <w:r w:rsidRPr="004E6265">
        <w:rPr>
          <w:rFonts w:ascii="Times New Roman" w:hAnsi="Times New Roman"/>
          <w:color w:val="000000"/>
          <w:sz w:val="24"/>
          <w:szCs w:val="24"/>
          <w:vertAlign w:val="superscript"/>
          <w:lang w:val="pt-BR"/>
        </w:rPr>
        <w:t>8</w:t>
      </w:r>
      <w:r w:rsidRPr="004E6265">
        <w:rPr>
          <w:rFonts w:ascii="Times New Roman" w:hAnsi="Times New Roman"/>
          <w:color w:val="000000"/>
          <w:sz w:val="24"/>
          <w:szCs w:val="24"/>
          <w:lang w:val="pt-BR"/>
        </w:rPr>
        <w:t xml:space="preserve">. </w:t>
      </w:r>
    </w:p>
    <w:p w:rsidR="006D3DF4" w:rsidRPr="004E6265" w:rsidRDefault="006D3DF4">
      <w:pPr>
        <w:spacing w:line="360" w:lineRule="auto"/>
        <w:ind w:firstLine="720"/>
        <w:contextualSpacing/>
        <w:jc w:val="both"/>
        <w:rPr>
          <w:rFonts w:ascii="Times New Roman" w:hAnsi="Times New Roman"/>
          <w:color w:val="000000"/>
          <w:sz w:val="24"/>
          <w:szCs w:val="24"/>
          <w:lang w:val="pt-BR"/>
        </w:rPr>
      </w:pPr>
      <w:r w:rsidRPr="004E6265">
        <w:rPr>
          <w:rFonts w:ascii="Times New Roman" w:hAnsi="Times New Roman"/>
          <w:color w:val="000000"/>
          <w:sz w:val="24"/>
          <w:szCs w:val="24"/>
          <w:lang w:val="pt-BR"/>
        </w:rPr>
        <w:t xml:space="preserve">Os dados demonstraram que a prevalência de alterações hepáticas chegou a 90% dos casos em pacientes com obesidade mórbida, observando que a prevalência não associada ao consumo de álcool aumentou de 16,4% em indivíduos eutróficos para 75,8% em pacientes obesos </w:t>
      </w:r>
      <w:r w:rsidRPr="004E6265">
        <w:rPr>
          <w:rFonts w:ascii="Times New Roman" w:hAnsi="Times New Roman"/>
          <w:color w:val="000000"/>
          <w:sz w:val="24"/>
          <w:szCs w:val="24"/>
          <w:vertAlign w:val="superscript"/>
          <w:lang w:val="pt-BR"/>
        </w:rPr>
        <w:t>3</w:t>
      </w:r>
      <w:r w:rsidRPr="004E6265">
        <w:rPr>
          <w:rFonts w:ascii="Times New Roman" w:hAnsi="Times New Roman"/>
          <w:color w:val="000000"/>
          <w:sz w:val="24"/>
          <w:szCs w:val="24"/>
          <w:lang w:val="pt-BR"/>
        </w:rPr>
        <w:t>.</w:t>
      </w:r>
    </w:p>
    <w:p w:rsidR="006D3DF4" w:rsidRPr="004E6265" w:rsidRDefault="006D3DF4" w:rsidP="00071D00">
      <w:pPr>
        <w:spacing w:line="360" w:lineRule="auto"/>
        <w:contextualSpacing/>
        <w:jc w:val="both"/>
        <w:rPr>
          <w:rFonts w:ascii="Times New Roman" w:hAnsi="Times New Roman"/>
          <w:color w:val="000000"/>
          <w:sz w:val="24"/>
          <w:szCs w:val="24"/>
          <w:lang w:val="pt-BR"/>
        </w:rPr>
      </w:pPr>
      <w:r w:rsidRPr="004E6265">
        <w:rPr>
          <w:rFonts w:ascii="Times New Roman" w:hAnsi="Times New Roman"/>
          <w:color w:val="000000"/>
          <w:sz w:val="24"/>
          <w:szCs w:val="24"/>
          <w:lang w:val="pt-BR"/>
        </w:rPr>
        <w:tab/>
        <w:t>Neuschwander</w:t>
      </w:r>
      <w:r w:rsidRPr="004E6265">
        <w:rPr>
          <w:rFonts w:ascii="Times New Roman" w:hAnsi="Times New Roman"/>
          <w:color w:val="000000"/>
          <w:sz w:val="24"/>
          <w:szCs w:val="24"/>
          <w:vertAlign w:val="superscript"/>
          <w:lang w:val="pt-BR"/>
        </w:rPr>
        <w:t>4</w:t>
      </w:r>
      <w:r w:rsidRPr="004E6265">
        <w:rPr>
          <w:rFonts w:ascii="Times New Roman" w:hAnsi="Times New Roman"/>
          <w:color w:val="000000"/>
          <w:sz w:val="24"/>
          <w:szCs w:val="24"/>
          <w:lang w:val="pt-BR"/>
        </w:rPr>
        <w:t xml:space="preserve"> apresentou que 21% de homens com peso saudável receberam diagnóstico positivo de EH, embora em indivíduos com obesidade mórbida a prevalência foi de 78%. Nesse estudo, os indivíduos com peso acima do saudável, submetidos a um programa de emagrecimento reduziu em pelo menos 10% da massa corpórea, levando a diminuição da prevalência de EH, enquanto que o grupo controle, a prevalência de EH se manteve estável em 75% dos pacientes. </w:t>
      </w:r>
    </w:p>
    <w:p w:rsidR="006D3DF4" w:rsidRPr="004E6265" w:rsidRDefault="006D3DF4" w:rsidP="00071D00">
      <w:pPr>
        <w:spacing w:line="360" w:lineRule="auto"/>
        <w:contextualSpacing/>
        <w:jc w:val="both"/>
        <w:rPr>
          <w:rFonts w:ascii="Times New Roman" w:hAnsi="Times New Roman"/>
          <w:color w:val="000000"/>
          <w:sz w:val="24"/>
          <w:szCs w:val="24"/>
          <w:lang w:val="pt-BR"/>
        </w:rPr>
      </w:pPr>
      <w:r w:rsidRPr="004E6265">
        <w:rPr>
          <w:rFonts w:ascii="Times New Roman" w:hAnsi="Times New Roman"/>
          <w:color w:val="000000"/>
          <w:sz w:val="24"/>
          <w:szCs w:val="24"/>
          <w:lang w:val="pt-BR"/>
        </w:rPr>
        <w:tab/>
        <w:t>Em estudo realizado por Mincis e Mincis</w:t>
      </w:r>
      <w:r w:rsidRPr="004E6265">
        <w:rPr>
          <w:rFonts w:ascii="Times New Roman" w:hAnsi="Times New Roman"/>
          <w:color w:val="000000"/>
          <w:sz w:val="24"/>
          <w:szCs w:val="24"/>
          <w:vertAlign w:val="superscript"/>
          <w:lang w:val="pt-BR"/>
        </w:rPr>
        <w:t>2</w:t>
      </w:r>
      <w:r w:rsidRPr="004E6265">
        <w:rPr>
          <w:rFonts w:ascii="Times New Roman" w:hAnsi="Times New Roman"/>
          <w:color w:val="000000"/>
          <w:sz w:val="24"/>
          <w:szCs w:val="24"/>
          <w:lang w:val="pt-BR"/>
        </w:rPr>
        <w:t>, foram feitas biópsias hepáticas de indivíduos adultos que faleceram por causas acidentais, demonstrando que 33% dos fígados desses indivíduos apresentavam EH.</w:t>
      </w:r>
    </w:p>
    <w:p w:rsidR="006D3DF4" w:rsidRPr="004E6265" w:rsidRDefault="006D3DF4" w:rsidP="00071D00">
      <w:pPr>
        <w:spacing w:line="360" w:lineRule="auto"/>
        <w:contextualSpacing/>
        <w:jc w:val="both"/>
        <w:rPr>
          <w:rFonts w:ascii="Times New Roman" w:hAnsi="Times New Roman"/>
          <w:color w:val="000000"/>
          <w:sz w:val="24"/>
          <w:szCs w:val="24"/>
          <w:lang w:val="pt-BR"/>
        </w:rPr>
      </w:pPr>
      <w:r w:rsidRPr="004E6265">
        <w:rPr>
          <w:rFonts w:ascii="Times New Roman" w:hAnsi="Times New Roman"/>
          <w:color w:val="000000"/>
          <w:sz w:val="24"/>
          <w:szCs w:val="24"/>
          <w:lang w:val="pt-BR"/>
        </w:rPr>
        <w:tab/>
        <w:t>Considerando que a EH tem forte dependência com o estilo de vida em adultos, entender como a prática regular de atividades físicas pode modular o comportamento saudável parece ser relevante em programas de promoção de saúde. Assim, buscando elucidar a relação entre a EH e a prática regular de exercícios, o objetivo do presente estudo foi discutir com base na revisão de literatura, os principais fatores relacionados ao risco no desenvolvimento de EH e sua associação com o nível de atividade física em adultos.</w:t>
      </w:r>
    </w:p>
    <w:p w:rsidR="006D3DF4" w:rsidRPr="004E6265" w:rsidRDefault="006D3DF4" w:rsidP="00071D00">
      <w:pPr>
        <w:spacing w:line="360" w:lineRule="auto"/>
        <w:contextualSpacing/>
        <w:jc w:val="both"/>
        <w:rPr>
          <w:rFonts w:ascii="Times New Roman" w:hAnsi="Times New Roman"/>
          <w:color w:val="000000"/>
          <w:sz w:val="24"/>
          <w:szCs w:val="24"/>
          <w:lang w:val="pt-BR"/>
        </w:rPr>
      </w:pPr>
    </w:p>
    <w:p w:rsidR="006D3DF4" w:rsidRPr="004E6265" w:rsidRDefault="006D3DF4" w:rsidP="0018068F">
      <w:pPr>
        <w:spacing w:line="360" w:lineRule="auto"/>
        <w:contextualSpacing/>
        <w:rPr>
          <w:rFonts w:ascii="Times New Roman" w:hAnsi="Times New Roman"/>
          <w:b/>
          <w:color w:val="000000"/>
          <w:sz w:val="24"/>
          <w:szCs w:val="24"/>
          <w:lang w:val="pt-BR"/>
        </w:rPr>
      </w:pPr>
      <w:r w:rsidRPr="004E6265">
        <w:rPr>
          <w:rFonts w:ascii="Times New Roman" w:hAnsi="Times New Roman"/>
          <w:b/>
          <w:color w:val="000000"/>
          <w:sz w:val="24"/>
          <w:szCs w:val="24"/>
          <w:lang w:val="pt-BR"/>
        </w:rPr>
        <w:t>Métodos</w:t>
      </w:r>
    </w:p>
    <w:p w:rsidR="006D3DF4" w:rsidRPr="004E6265" w:rsidRDefault="006D3DF4" w:rsidP="0018068F">
      <w:pPr>
        <w:spacing w:line="360" w:lineRule="auto"/>
        <w:contextualSpacing/>
        <w:jc w:val="both"/>
        <w:rPr>
          <w:rFonts w:ascii="Times New Roman" w:hAnsi="Times New Roman"/>
          <w:color w:val="000000"/>
          <w:sz w:val="24"/>
          <w:szCs w:val="24"/>
          <w:lang w:val="pt-BR"/>
        </w:rPr>
      </w:pPr>
      <w:r w:rsidRPr="004E6265">
        <w:rPr>
          <w:rFonts w:ascii="Times New Roman" w:hAnsi="Times New Roman"/>
          <w:color w:val="000000"/>
          <w:sz w:val="24"/>
          <w:szCs w:val="24"/>
          <w:lang w:val="pt-BR"/>
        </w:rPr>
        <w:tab/>
        <w:t xml:space="preserve">As bases de dados Medline, Pubmed e Scielo foram utilizadas na presente revisão considerando os estudos que apontaram a associação entre a esteatose hepática, nível de atividade física, perfil lipídico e seus agravos. Os critérios de inclusão na seleção amostral dos estudos foram: A) Artigos que apresentavam as combinações de no mínimo 2 descritores acima no título ou resumo; B) Estudos originais tanto de modelo transversal ou experimental que avaliaram o comportamento do perfil lipídico sérico ou hepático em relação ao nível de atividade física, riscos de doenças cardiovasculares e doenças metabólicas; C) Estudos que avaliaram ambos os sexos; D) Artigos publicados nas respectivas bases de dados no período de 1996 até 2011. A busca foi realizada utilizando os descritores </w:t>
      </w:r>
      <w:r w:rsidRPr="004E6265">
        <w:rPr>
          <w:rFonts w:ascii="Times New Roman" w:hAnsi="Times New Roman"/>
          <w:i/>
          <w:color w:val="000000"/>
          <w:sz w:val="24"/>
          <w:szCs w:val="24"/>
          <w:lang w:val="pt-BR"/>
        </w:rPr>
        <w:t xml:space="preserve">hepatic steatosis, non-alcoholic fatty liver disease, physical activity, physical exercise e lifestyle. </w:t>
      </w:r>
      <w:r w:rsidRPr="004E6265">
        <w:rPr>
          <w:rFonts w:ascii="Times New Roman" w:hAnsi="Times New Roman"/>
          <w:color w:val="000000"/>
          <w:sz w:val="24"/>
          <w:szCs w:val="24"/>
          <w:lang w:val="pt-BR"/>
        </w:rPr>
        <w:t xml:space="preserve"> Encontramos 49.714 estudos relacionados ao termo </w:t>
      </w:r>
      <w:r w:rsidRPr="004E6265">
        <w:rPr>
          <w:rFonts w:ascii="Times New Roman" w:hAnsi="Times New Roman"/>
          <w:i/>
          <w:color w:val="000000"/>
          <w:sz w:val="24"/>
          <w:szCs w:val="24"/>
          <w:lang w:val="pt-BR"/>
        </w:rPr>
        <w:t>hepatic steatosis</w:t>
      </w:r>
      <w:r w:rsidRPr="004E6265">
        <w:rPr>
          <w:rFonts w:ascii="Times New Roman" w:hAnsi="Times New Roman"/>
          <w:color w:val="000000"/>
          <w:sz w:val="24"/>
          <w:szCs w:val="24"/>
          <w:lang w:val="pt-BR"/>
        </w:rPr>
        <w:t xml:space="preserve"> entre 1996 e 2011. A combinação dos descritores </w:t>
      </w:r>
      <w:r w:rsidRPr="004E6265">
        <w:rPr>
          <w:rFonts w:ascii="Times New Roman" w:hAnsi="Times New Roman"/>
          <w:i/>
          <w:color w:val="000000"/>
          <w:sz w:val="24"/>
          <w:szCs w:val="24"/>
          <w:lang w:val="pt-BR"/>
        </w:rPr>
        <w:t>hepatic steatosis</w:t>
      </w:r>
      <w:r w:rsidRPr="004E6265">
        <w:rPr>
          <w:rFonts w:ascii="Times New Roman" w:hAnsi="Times New Roman"/>
          <w:color w:val="000000"/>
          <w:sz w:val="24"/>
          <w:szCs w:val="24"/>
          <w:lang w:val="pt-BR"/>
        </w:rPr>
        <w:t xml:space="preserve"> em combinação com o descritor </w:t>
      </w:r>
      <w:r w:rsidRPr="004E6265">
        <w:rPr>
          <w:rFonts w:ascii="Times New Roman" w:hAnsi="Times New Roman"/>
          <w:i/>
          <w:color w:val="000000"/>
          <w:sz w:val="24"/>
          <w:szCs w:val="24"/>
          <w:lang w:val="pt-BR"/>
        </w:rPr>
        <w:t>physical activity</w:t>
      </w:r>
      <w:r w:rsidRPr="004E6265">
        <w:rPr>
          <w:rFonts w:ascii="Times New Roman" w:hAnsi="Times New Roman"/>
          <w:color w:val="000000"/>
          <w:sz w:val="24"/>
          <w:szCs w:val="24"/>
          <w:lang w:val="pt-BR"/>
        </w:rPr>
        <w:t xml:space="preserve"> resultou em 189 artigos e a combinação dos descritores </w:t>
      </w:r>
      <w:r w:rsidRPr="004E6265">
        <w:rPr>
          <w:rFonts w:ascii="Times New Roman" w:hAnsi="Times New Roman"/>
          <w:i/>
          <w:color w:val="000000"/>
          <w:sz w:val="24"/>
          <w:szCs w:val="24"/>
          <w:lang w:val="pt-BR"/>
        </w:rPr>
        <w:t>hepatic steatosis</w:t>
      </w:r>
      <w:r w:rsidRPr="004E6265">
        <w:rPr>
          <w:rFonts w:ascii="Times New Roman" w:hAnsi="Times New Roman"/>
          <w:color w:val="000000"/>
          <w:sz w:val="24"/>
          <w:szCs w:val="24"/>
          <w:lang w:val="pt-BR"/>
        </w:rPr>
        <w:t xml:space="preserve"> e </w:t>
      </w:r>
      <w:r w:rsidRPr="004E6265">
        <w:rPr>
          <w:rFonts w:ascii="Times New Roman" w:hAnsi="Times New Roman"/>
          <w:i/>
          <w:color w:val="000000"/>
          <w:sz w:val="24"/>
          <w:szCs w:val="24"/>
          <w:lang w:val="pt-BR"/>
        </w:rPr>
        <w:t>physical exercise</w:t>
      </w:r>
      <w:r w:rsidRPr="004E6265">
        <w:rPr>
          <w:rFonts w:ascii="Times New Roman" w:hAnsi="Times New Roman"/>
          <w:color w:val="000000"/>
          <w:sz w:val="24"/>
          <w:szCs w:val="24"/>
          <w:lang w:val="pt-BR"/>
        </w:rPr>
        <w:t xml:space="preserve"> adicionou outros 163 artigos. Considerando os descritores </w:t>
      </w:r>
      <w:r w:rsidRPr="004E6265">
        <w:rPr>
          <w:rFonts w:ascii="Times New Roman" w:hAnsi="Times New Roman"/>
          <w:i/>
          <w:color w:val="000000"/>
          <w:sz w:val="24"/>
          <w:szCs w:val="24"/>
          <w:lang w:val="pt-BR"/>
        </w:rPr>
        <w:t>Non-alcoholic fatty liver disease</w:t>
      </w:r>
      <w:r w:rsidRPr="004E6265">
        <w:rPr>
          <w:rFonts w:ascii="Times New Roman" w:hAnsi="Times New Roman"/>
          <w:color w:val="000000"/>
          <w:sz w:val="24"/>
          <w:szCs w:val="24"/>
          <w:lang w:val="pt-BR"/>
        </w:rPr>
        <w:t xml:space="preserve"> e </w:t>
      </w:r>
      <w:r w:rsidRPr="004E6265">
        <w:rPr>
          <w:rFonts w:ascii="Times New Roman" w:hAnsi="Times New Roman"/>
          <w:i/>
          <w:color w:val="000000"/>
          <w:sz w:val="24"/>
          <w:szCs w:val="24"/>
          <w:lang w:val="pt-BR"/>
        </w:rPr>
        <w:t>active lifestyle</w:t>
      </w:r>
      <w:r w:rsidRPr="004E6265">
        <w:rPr>
          <w:rFonts w:ascii="Times New Roman" w:hAnsi="Times New Roman"/>
          <w:color w:val="000000"/>
          <w:sz w:val="24"/>
          <w:szCs w:val="24"/>
          <w:lang w:val="pt-BR"/>
        </w:rPr>
        <w:t xml:space="preserve">, encontramos outros 64 estudos, totalizando 416 artigos potenciais de análise. Dessa forma, foram incluídos na presente revisão 43 estudos, considerando os descritores e período de avaliação. </w:t>
      </w:r>
    </w:p>
    <w:p w:rsidR="006D3DF4" w:rsidRPr="004E6265" w:rsidRDefault="006D3DF4" w:rsidP="00071D00">
      <w:pPr>
        <w:spacing w:line="360" w:lineRule="auto"/>
        <w:contextualSpacing/>
        <w:jc w:val="both"/>
        <w:textAlignment w:val="top"/>
        <w:rPr>
          <w:rFonts w:ascii="Times New Roman" w:hAnsi="Times New Roman"/>
          <w:b/>
          <w:color w:val="000000"/>
          <w:sz w:val="24"/>
          <w:szCs w:val="24"/>
          <w:lang w:val="pt-PT"/>
        </w:rPr>
      </w:pPr>
    </w:p>
    <w:p w:rsidR="006D3DF4" w:rsidRPr="004E6265" w:rsidRDefault="006D3DF4" w:rsidP="00071D00">
      <w:pPr>
        <w:spacing w:line="360" w:lineRule="auto"/>
        <w:contextualSpacing/>
        <w:jc w:val="both"/>
        <w:textAlignment w:val="top"/>
        <w:rPr>
          <w:rFonts w:ascii="Times New Roman" w:hAnsi="Times New Roman"/>
          <w:b/>
          <w:color w:val="000000"/>
          <w:sz w:val="24"/>
          <w:szCs w:val="24"/>
          <w:lang w:val="pt-BR"/>
        </w:rPr>
      </w:pPr>
      <w:r w:rsidRPr="004E6265">
        <w:rPr>
          <w:rFonts w:ascii="Times New Roman" w:hAnsi="Times New Roman"/>
          <w:b/>
          <w:color w:val="000000"/>
          <w:sz w:val="24"/>
          <w:szCs w:val="24"/>
          <w:lang w:val="pt-PT"/>
        </w:rPr>
        <w:t>Doenç</w:t>
      </w:r>
      <w:r w:rsidRPr="004E6265">
        <w:rPr>
          <w:rFonts w:ascii="Times New Roman" w:hAnsi="Times New Roman"/>
          <w:b/>
          <w:color w:val="000000"/>
          <w:sz w:val="24"/>
          <w:szCs w:val="24"/>
          <w:lang w:val="pt-BR"/>
        </w:rPr>
        <w:t>as Metabólicas e a Esteatose Hepática</w:t>
      </w:r>
    </w:p>
    <w:p w:rsidR="006D3DF4" w:rsidRPr="004E6265" w:rsidRDefault="006D3DF4" w:rsidP="00071D00">
      <w:pPr>
        <w:spacing w:line="360" w:lineRule="auto"/>
        <w:contextualSpacing/>
        <w:jc w:val="both"/>
        <w:textAlignment w:val="top"/>
        <w:rPr>
          <w:rFonts w:ascii="Times New Roman" w:hAnsi="Times New Roman"/>
          <w:color w:val="000000"/>
          <w:sz w:val="24"/>
          <w:szCs w:val="24"/>
          <w:lang w:val="pt-BR"/>
        </w:rPr>
      </w:pPr>
      <w:r w:rsidRPr="004E6265">
        <w:rPr>
          <w:rFonts w:ascii="Times New Roman" w:hAnsi="Times New Roman"/>
          <w:b/>
          <w:color w:val="000000"/>
          <w:sz w:val="24"/>
          <w:szCs w:val="24"/>
          <w:lang w:val="pt-BR"/>
        </w:rPr>
        <w:tab/>
      </w:r>
      <w:r w:rsidRPr="004E6265">
        <w:rPr>
          <w:rFonts w:ascii="Times New Roman" w:hAnsi="Times New Roman"/>
          <w:color w:val="000000"/>
          <w:sz w:val="24"/>
          <w:szCs w:val="24"/>
          <w:lang w:val="pt-BR"/>
        </w:rPr>
        <w:t xml:space="preserve">Nas últimas décadas tem sido observado um quadro crescente de pessoas com peso acima do saudável em diversos países do mundo. Esse quadro associado à crescente prevalência da obesidade poderia ser explicado pelo aumento do consumo de alimentos com alto teor de gorduras e pobres em fibras, bem como o nível insuficiente de atividade física; tabagismo; consumo de álcool em excesso e estresse, contribuindo com o desenvolvimento da EH. Desta forma, o perfil metabólico desfavorável e o estilo de vida, podem ser predisponentes no desenvolvimento da EH, uma vez que </w:t>
      </w:r>
      <w:r w:rsidRPr="004E6265">
        <w:rPr>
          <w:rStyle w:val="hps"/>
          <w:rFonts w:ascii="Times New Roman" w:hAnsi="Times New Roman"/>
          <w:color w:val="000000"/>
          <w:sz w:val="24"/>
          <w:szCs w:val="24"/>
          <w:lang w:val="pt-PT"/>
        </w:rPr>
        <w:t xml:space="preserve">se associa a </w:t>
      </w:r>
      <w:r w:rsidRPr="004E6265">
        <w:rPr>
          <w:rFonts w:ascii="Times New Roman" w:hAnsi="Times New Roman"/>
          <w:color w:val="000000"/>
          <w:sz w:val="24"/>
          <w:szCs w:val="24"/>
          <w:lang w:val="pt-PT"/>
        </w:rPr>
        <w:t xml:space="preserve">diferentes fatores de risco, como o excesso de peso e a obesidade; diabetes melitus do tipo 2 e inatividade fisica </w:t>
      </w:r>
      <w:r w:rsidRPr="004E6265">
        <w:rPr>
          <w:rFonts w:ascii="Times New Roman" w:hAnsi="Times New Roman"/>
          <w:color w:val="000000"/>
          <w:sz w:val="24"/>
          <w:szCs w:val="24"/>
          <w:vertAlign w:val="superscript"/>
          <w:lang w:val="pt-PT"/>
        </w:rPr>
        <w:t>8</w:t>
      </w:r>
      <w:r w:rsidRPr="004E6265">
        <w:rPr>
          <w:rFonts w:ascii="Times New Roman" w:hAnsi="Times New Roman"/>
          <w:color w:val="000000"/>
          <w:sz w:val="24"/>
          <w:szCs w:val="24"/>
          <w:lang w:val="pt-PT"/>
        </w:rPr>
        <w:t xml:space="preserve">, apresentando prevalência entre </w:t>
      </w:r>
      <w:r w:rsidRPr="004E6265">
        <w:rPr>
          <w:rFonts w:ascii="Times New Roman" w:hAnsi="Times New Roman"/>
          <w:color w:val="000000"/>
          <w:sz w:val="24"/>
          <w:szCs w:val="24"/>
          <w:lang w:val="pt-BR"/>
        </w:rPr>
        <w:t xml:space="preserve">10 e 24% na população mundial </w:t>
      </w:r>
      <w:r w:rsidRPr="004E6265">
        <w:rPr>
          <w:rFonts w:ascii="Times New Roman" w:hAnsi="Times New Roman"/>
          <w:color w:val="000000"/>
          <w:sz w:val="24"/>
          <w:szCs w:val="24"/>
          <w:vertAlign w:val="superscript"/>
          <w:lang w:val="pt-BR"/>
        </w:rPr>
        <w:t>10</w:t>
      </w:r>
      <w:r w:rsidRPr="004E6265">
        <w:rPr>
          <w:rFonts w:ascii="Times New Roman" w:hAnsi="Times New Roman"/>
          <w:color w:val="000000"/>
          <w:sz w:val="24"/>
          <w:szCs w:val="24"/>
          <w:lang w:val="pt-BR"/>
        </w:rPr>
        <w:t xml:space="preserve">.  </w:t>
      </w:r>
    </w:p>
    <w:p w:rsidR="006D3DF4" w:rsidRPr="004E6265" w:rsidRDefault="006D3DF4" w:rsidP="00071D00">
      <w:pPr>
        <w:spacing w:line="360" w:lineRule="auto"/>
        <w:contextualSpacing/>
        <w:jc w:val="both"/>
        <w:textAlignment w:val="top"/>
        <w:rPr>
          <w:rFonts w:ascii="Times New Roman" w:hAnsi="Times New Roman"/>
          <w:b/>
          <w:color w:val="000000"/>
          <w:sz w:val="24"/>
          <w:szCs w:val="24"/>
          <w:lang w:val="pt-BR"/>
        </w:rPr>
      </w:pPr>
      <w:r w:rsidRPr="004E6265">
        <w:rPr>
          <w:rFonts w:ascii="Times New Roman" w:hAnsi="Times New Roman"/>
          <w:color w:val="000000"/>
          <w:sz w:val="24"/>
          <w:szCs w:val="24"/>
          <w:lang w:val="pt-BR"/>
        </w:rPr>
        <w:tab/>
        <w:t xml:space="preserve">Os ácidos graxos livres (AGL) normalmente circulam entre o fígado e os adipócitos periféricos, sem qualquer acúmulo apreciável de lipídios nos hepatócitos. Há duas vias principais no armazenamento, mobilização e metabolismo de AGL no fígado. A primeira é a formação de triglicerídeos e subsequentemente excreção como lipoproteínas de densidade muito baixa (VLDL) e a segunda a beta-oxidação mitocondrial para formar acetilCoa, que pode ser oxidada no ciclo dos ácidos tricarboxílicos, ou pode ser convertida em corpos cetônicos. O aumento do fluxo e ou síntese endógena de AGL-l pode levar ao acúmulo de triglicerídeos nos hepatócitos se a beta- oxidação mitocondrial e a produção e secreção de VLDL forem insuficientes à carga de AGL. Assim, a ocorrência de um desequilíbrio entre a síntese e a degradação de triglicerídeos leva ao aumento do conteúdo intracelular dos mesmos, que é o início da Doença Hepática Gordurosa Não Alcoólica. Com isso, é perceptível que outras doenças metabólicas como obesidade, resistência à insulina e o DM2 contribuem para esse desequilíbrio, além de estimular a lipólise tecidual, resultando em um acúmulo progressivo de lipídios nos hepatócitos </w:t>
      </w:r>
      <w:r w:rsidRPr="004E6265">
        <w:rPr>
          <w:rFonts w:ascii="Times New Roman" w:hAnsi="Times New Roman"/>
          <w:color w:val="000000"/>
          <w:sz w:val="24"/>
          <w:szCs w:val="24"/>
          <w:vertAlign w:val="superscript"/>
          <w:lang w:val="pt-BR"/>
        </w:rPr>
        <w:t>11</w:t>
      </w:r>
      <w:r w:rsidRPr="004E6265">
        <w:rPr>
          <w:rFonts w:ascii="Times New Roman" w:hAnsi="Times New Roman"/>
          <w:color w:val="000000"/>
          <w:sz w:val="24"/>
          <w:szCs w:val="24"/>
          <w:lang w:val="pt-BR"/>
        </w:rPr>
        <w:t xml:space="preserve">. </w:t>
      </w:r>
      <w:r w:rsidRPr="004E6265">
        <w:rPr>
          <w:rFonts w:ascii="Times New Roman" w:hAnsi="Times New Roman"/>
          <w:b/>
          <w:color w:val="000000"/>
          <w:sz w:val="24"/>
          <w:szCs w:val="24"/>
          <w:lang w:val="pt-BR"/>
        </w:rPr>
        <w:tab/>
      </w:r>
    </w:p>
    <w:p w:rsidR="006D3DF4" w:rsidRPr="004E6265" w:rsidRDefault="006D3DF4" w:rsidP="00071D00">
      <w:pPr>
        <w:spacing w:line="360" w:lineRule="auto"/>
        <w:contextualSpacing/>
        <w:jc w:val="both"/>
        <w:textAlignment w:val="top"/>
        <w:rPr>
          <w:rFonts w:ascii="Times New Roman" w:hAnsi="Times New Roman"/>
          <w:color w:val="000000"/>
          <w:sz w:val="24"/>
          <w:szCs w:val="24"/>
          <w:lang w:val="pt-BR"/>
        </w:rPr>
      </w:pPr>
      <w:r w:rsidRPr="004E6265">
        <w:rPr>
          <w:rFonts w:ascii="Times New Roman" w:hAnsi="Times New Roman"/>
          <w:b/>
          <w:color w:val="000000"/>
          <w:sz w:val="24"/>
          <w:szCs w:val="24"/>
          <w:lang w:val="pt-BR"/>
        </w:rPr>
        <w:tab/>
      </w:r>
      <w:r w:rsidRPr="004E6265">
        <w:rPr>
          <w:rFonts w:ascii="Times New Roman" w:hAnsi="Times New Roman"/>
          <w:color w:val="000000"/>
          <w:sz w:val="24"/>
          <w:szCs w:val="24"/>
          <w:lang w:val="pt-BR"/>
        </w:rPr>
        <w:t xml:space="preserve">Segundo Soler et al </w:t>
      </w:r>
      <w:r w:rsidRPr="004E6265">
        <w:rPr>
          <w:rFonts w:ascii="Times New Roman" w:hAnsi="Times New Roman"/>
          <w:color w:val="000000"/>
          <w:sz w:val="24"/>
          <w:szCs w:val="24"/>
          <w:vertAlign w:val="superscript"/>
          <w:lang w:val="pt-BR"/>
        </w:rPr>
        <w:t xml:space="preserve">10 </w:t>
      </w:r>
      <w:r w:rsidRPr="004E6265">
        <w:rPr>
          <w:rFonts w:ascii="Times New Roman" w:hAnsi="Times New Roman"/>
          <w:color w:val="000000"/>
          <w:sz w:val="24"/>
          <w:szCs w:val="24"/>
          <w:lang w:val="pt-BR"/>
        </w:rPr>
        <w:t xml:space="preserve">a DHGNA quase sempre se associa com a SM, podendo ser a manifestação hepática da mesma, que é uma condição progressiva que costuma começar com a obesidade, levando ao agravo com o avanço da idade e com aumento da obesidade. Nesses casos, indivíduos que foram diagnosticados com a síndrome apresentam longa trajetória de riscos, tanto para doenças cardiovasculares quanto Diabetes Mellitus. </w:t>
      </w:r>
    </w:p>
    <w:p w:rsidR="006D3DF4" w:rsidRPr="004E6265" w:rsidRDefault="006D3DF4" w:rsidP="00071D00">
      <w:pPr>
        <w:spacing w:line="360" w:lineRule="auto"/>
        <w:ind w:firstLine="720"/>
        <w:contextualSpacing/>
        <w:jc w:val="both"/>
        <w:textAlignment w:val="top"/>
        <w:rPr>
          <w:rFonts w:ascii="Times New Roman" w:hAnsi="Times New Roman"/>
          <w:color w:val="000000"/>
          <w:sz w:val="24"/>
          <w:szCs w:val="24"/>
          <w:lang w:val="pt-BR"/>
        </w:rPr>
      </w:pPr>
      <w:r w:rsidRPr="004E6265">
        <w:rPr>
          <w:rFonts w:ascii="Times New Roman" w:hAnsi="Times New Roman"/>
          <w:color w:val="000000"/>
          <w:sz w:val="24"/>
          <w:szCs w:val="24"/>
          <w:lang w:val="pt-PT"/>
        </w:rPr>
        <w:t xml:space="preserve">A infiltração de gordura no fígado é uma forma importante de doença hepática crônica podendo evoluir para a Esteatohepatite não-alcoólica em adultos </w:t>
      </w:r>
      <w:r w:rsidRPr="004E6265">
        <w:rPr>
          <w:rFonts w:ascii="Times New Roman" w:hAnsi="Times New Roman"/>
          <w:color w:val="000000"/>
          <w:sz w:val="24"/>
          <w:szCs w:val="24"/>
          <w:vertAlign w:val="superscript"/>
          <w:lang w:val="pt-PT"/>
        </w:rPr>
        <w:t>12</w:t>
      </w:r>
      <w:r w:rsidRPr="004E6265">
        <w:rPr>
          <w:rFonts w:ascii="Times New Roman" w:hAnsi="Times New Roman"/>
          <w:color w:val="000000"/>
          <w:sz w:val="24"/>
          <w:szCs w:val="24"/>
          <w:lang w:val="pt-PT"/>
        </w:rPr>
        <w:t xml:space="preserve">. </w:t>
      </w:r>
      <w:r w:rsidRPr="004E6265">
        <w:rPr>
          <w:rFonts w:ascii="Times New Roman" w:hAnsi="Times New Roman"/>
          <w:color w:val="000000"/>
          <w:sz w:val="24"/>
          <w:szCs w:val="24"/>
          <w:lang w:val="pt-BR"/>
        </w:rPr>
        <w:t xml:space="preserve">Em </w:t>
      </w:r>
      <w:r w:rsidRPr="004E6265">
        <w:rPr>
          <w:rFonts w:ascii="Times New Roman" w:hAnsi="Times New Roman"/>
          <w:color w:val="000000"/>
          <w:sz w:val="24"/>
          <w:szCs w:val="24"/>
          <w:lang w:val="pt-PT"/>
        </w:rPr>
        <w:t xml:space="preserve">estudo realizado por Padoin </w:t>
      </w:r>
      <w:r w:rsidRPr="004E6265">
        <w:rPr>
          <w:rFonts w:ascii="Times New Roman" w:hAnsi="Times New Roman"/>
          <w:i/>
          <w:color w:val="000000"/>
          <w:sz w:val="24"/>
          <w:szCs w:val="24"/>
          <w:lang w:val="pt-PT"/>
        </w:rPr>
        <w:t>et al</w:t>
      </w:r>
      <w:r w:rsidRPr="004E6265">
        <w:rPr>
          <w:rFonts w:ascii="Times New Roman" w:hAnsi="Times New Roman"/>
          <w:color w:val="000000"/>
          <w:sz w:val="24"/>
          <w:szCs w:val="24"/>
          <w:lang w:val="pt-PT"/>
        </w:rPr>
        <w:t xml:space="preserve"> </w:t>
      </w:r>
      <w:r w:rsidRPr="004E6265">
        <w:rPr>
          <w:rFonts w:ascii="Times New Roman" w:hAnsi="Times New Roman"/>
          <w:color w:val="000000"/>
          <w:sz w:val="24"/>
          <w:szCs w:val="24"/>
          <w:vertAlign w:val="superscript"/>
          <w:lang w:val="pt-BR"/>
        </w:rPr>
        <w:t>3</w:t>
      </w:r>
      <w:r w:rsidRPr="004E6265">
        <w:rPr>
          <w:rFonts w:ascii="Times New Roman" w:hAnsi="Times New Roman"/>
          <w:color w:val="000000"/>
          <w:sz w:val="24"/>
          <w:szCs w:val="24"/>
          <w:lang w:val="pt-PT"/>
        </w:rPr>
        <w:t xml:space="preserve">, a biópsia hepática demonstrou  que na totalidade de indivíduos classificados como obesos, o diagnóstico positivo de EH foi de 40% em grau inicial; 17,5% com esteatose moderada; 37,5 % com esteatose severa e 5% com cirrose hepática. A revisão sistemática realizada por Padilha </w:t>
      </w:r>
      <w:r w:rsidRPr="004E6265">
        <w:rPr>
          <w:rFonts w:ascii="Times New Roman" w:hAnsi="Times New Roman"/>
          <w:i/>
          <w:color w:val="000000"/>
          <w:sz w:val="24"/>
          <w:szCs w:val="24"/>
          <w:lang w:val="pt-PT"/>
        </w:rPr>
        <w:t>et al</w:t>
      </w:r>
      <w:r w:rsidRPr="004E6265">
        <w:rPr>
          <w:rFonts w:ascii="Times New Roman" w:hAnsi="Times New Roman"/>
          <w:i/>
          <w:color w:val="000000"/>
          <w:sz w:val="24"/>
          <w:szCs w:val="24"/>
          <w:vertAlign w:val="superscript"/>
          <w:lang w:val="pt-PT"/>
        </w:rPr>
        <w:t>12</w:t>
      </w:r>
      <w:r w:rsidRPr="004E6265">
        <w:rPr>
          <w:rFonts w:ascii="Times New Roman" w:hAnsi="Times New Roman"/>
          <w:i/>
          <w:color w:val="000000"/>
          <w:sz w:val="24"/>
          <w:szCs w:val="24"/>
          <w:lang w:val="pt-PT"/>
        </w:rPr>
        <w:t xml:space="preserve"> </w:t>
      </w:r>
      <w:r w:rsidRPr="004E6265">
        <w:rPr>
          <w:rFonts w:ascii="Times New Roman" w:hAnsi="Times New Roman"/>
          <w:color w:val="000000"/>
          <w:sz w:val="24"/>
          <w:szCs w:val="24"/>
          <w:lang w:val="pt-BR"/>
        </w:rPr>
        <w:t xml:space="preserve">demonstrou que as evidências associaram a obesidade e DHGNA, com prevalências variando de 3,0 a 60,3%. </w:t>
      </w:r>
    </w:p>
    <w:p w:rsidR="006D3DF4" w:rsidRPr="004E6265" w:rsidRDefault="006D3DF4" w:rsidP="00071D00">
      <w:pPr>
        <w:spacing w:line="360" w:lineRule="auto"/>
        <w:contextualSpacing/>
        <w:jc w:val="both"/>
        <w:textAlignment w:val="top"/>
        <w:rPr>
          <w:rFonts w:ascii="Times New Roman" w:hAnsi="Times New Roman"/>
          <w:color w:val="000000"/>
          <w:sz w:val="24"/>
          <w:szCs w:val="24"/>
          <w:lang w:val="pt-BR"/>
        </w:rPr>
      </w:pPr>
      <w:r w:rsidRPr="004E6265">
        <w:rPr>
          <w:rFonts w:ascii="Times New Roman" w:hAnsi="Times New Roman"/>
          <w:color w:val="000000"/>
          <w:sz w:val="24"/>
          <w:szCs w:val="24"/>
          <w:lang w:val="pt-PT"/>
        </w:rPr>
        <w:tab/>
        <w:t xml:space="preserve">O metabolismo do fígado envolve, dentre outros fatores, a síntese e secreção de lipoproteínas de densidade muito baixa (VLDL), corpos cetônicos, síntese e estereficação dos ácidos graxos, bem como se relaciona com altas taxas de oxidação de lipídios. Como uma das principais funções do tecido hepático é captar e secretar lipídios de diferentes frações, o fígado promove o fornecimento de triglicerídeos na formação e resíntese de energia </w:t>
      </w:r>
      <w:r w:rsidRPr="004E6265">
        <w:rPr>
          <w:rFonts w:ascii="Times New Roman" w:hAnsi="Times New Roman"/>
          <w:color w:val="000000"/>
          <w:sz w:val="24"/>
          <w:szCs w:val="24"/>
          <w:vertAlign w:val="superscript"/>
          <w:lang w:val="pt-PT"/>
        </w:rPr>
        <w:t>14</w:t>
      </w:r>
      <w:r w:rsidRPr="004E6265">
        <w:rPr>
          <w:rFonts w:ascii="Times New Roman" w:hAnsi="Times New Roman"/>
          <w:color w:val="000000"/>
          <w:sz w:val="24"/>
          <w:szCs w:val="24"/>
          <w:lang w:val="pt-PT"/>
        </w:rPr>
        <w:t>.</w:t>
      </w:r>
    </w:p>
    <w:p w:rsidR="006D3DF4" w:rsidRPr="004E6265" w:rsidRDefault="006D3DF4" w:rsidP="00071D00">
      <w:pPr>
        <w:tabs>
          <w:tab w:val="left" w:pos="426"/>
        </w:tabs>
        <w:spacing w:line="360" w:lineRule="auto"/>
        <w:contextualSpacing/>
        <w:jc w:val="both"/>
        <w:textAlignment w:val="top"/>
        <w:rPr>
          <w:rStyle w:val="hps"/>
          <w:rFonts w:ascii="Times New Roman" w:hAnsi="Times New Roman"/>
          <w:color w:val="000000"/>
          <w:sz w:val="24"/>
          <w:szCs w:val="24"/>
          <w:lang w:val="pt-PT"/>
        </w:rPr>
      </w:pPr>
      <w:r w:rsidRPr="004E6265">
        <w:rPr>
          <w:rStyle w:val="hps"/>
          <w:rFonts w:ascii="Times New Roman" w:hAnsi="Times New Roman"/>
          <w:color w:val="000000"/>
          <w:sz w:val="24"/>
          <w:szCs w:val="24"/>
          <w:lang w:val="pt-PT"/>
        </w:rPr>
        <w:tab/>
        <w:t xml:space="preserve">Partindo deste pressuposto, considera-se que a inatividade física está relacionada com o excesso de triacilglicerol circulante, enquanto que o treinamento físico regular mostra efeitos favoráveis na melhora do perfil lipídico </w:t>
      </w:r>
      <w:r w:rsidRPr="004E6265">
        <w:rPr>
          <w:rStyle w:val="hps"/>
          <w:rFonts w:ascii="Times New Roman" w:hAnsi="Times New Roman"/>
          <w:color w:val="000000"/>
          <w:sz w:val="24"/>
          <w:szCs w:val="24"/>
          <w:vertAlign w:val="superscript"/>
          <w:lang w:val="pt-PT"/>
        </w:rPr>
        <w:t xml:space="preserve">14,15 </w:t>
      </w:r>
      <w:r w:rsidRPr="004E6265">
        <w:rPr>
          <w:rStyle w:val="hps"/>
          <w:rFonts w:ascii="Times New Roman" w:hAnsi="Times New Roman"/>
          <w:color w:val="000000"/>
          <w:sz w:val="24"/>
          <w:szCs w:val="24"/>
          <w:lang w:val="pt-PT"/>
        </w:rPr>
        <w:t>e consequentemente, possíveis resultados positivos no controle da EH.</w:t>
      </w:r>
    </w:p>
    <w:p w:rsidR="006D3DF4" w:rsidRPr="004E6265" w:rsidRDefault="006D3DF4" w:rsidP="00071D00">
      <w:pPr>
        <w:tabs>
          <w:tab w:val="left" w:pos="426"/>
        </w:tabs>
        <w:spacing w:line="360" w:lineRule="auto"/>
        <w:contextualSpacing/>
        <w:jc w:val="both"/>
        <w:textAlignment w:val="top"/>
        <w:rPr>
          <w:rFonts w:ascii="Times New Roman" w:hAnsi="Times New Roman"/>
          <w:color w:val="000000"/>
          <w:sz w:val="24"/>
          <w:szCs w:val="24"/>
          <w:lang w:val="pt-BR"/>
        </w:rPr>
      </w:pPr>
      <w:r w:rsidRPr="004E6265">
        <w:rPr>
          <w:rStyle w:val="hps"/>
          <w:rFonts w:ascii="Times New Roman" w:hAnsi="Times New Roman"/>
          <w:color w:val="000000"/>
          <w:sz w:val="24"/>
          <w:szCs w:val="24"/>
          <w:lang w:val="pt-PT"/>
        </w:rPr>
        <w:tab/>
      </w:r>
      <w:r w:rsidRPr="004E6265">
        <w:rPr>
          <w:rFonts w:ascii="Times New Roman" w:hAnsi="Times New Roman"/>
          <w:color w:val="000000"/>
          <w:sz w:val="24"/>
          <w:szCs w:val="24"/>
          <w:lang w:val="pt-BR"/>
        </w:rPr>
        <w:t>Embora ainda não exista um consenso sobre o tratamento farmacológico específico para o controle da DHGNA, todos os pacientes são encorajados a reduzir a ingestão de gorduras e realizar exercícios físicos regulares, com o objetivo de au</w:t>
      </w:r>
      <w:r w:rsidRPr="004E6265">
        <w:rPr>
          <w:rFonts w:ascii="Times New Roman" w:hAnsi="Times New Roman"/>
          <w:color w:val="000000"/>
          <w:sz w:val="24"/>
          <w:szCs w:val="24"/>
          <w:lang w:val="pt-BR"/>
        </w:rPr>
        <w:softHyphen/>
        <w:t>mentar o gasto energético diário</w:t>
      </w:r>
      <w:r w:rsidRPr="004E6265">
        <w:rPr>
          <w:rFonts w:ascii="Times New Roman" w:hAnsi="Times New Roman"/>
          <w:color w:val="000000"/>
          <w:sz w:val="24"/>
          <w:szCs w:val="24"/>
          <w:vertAlign w:val="superscript"/>
          <w:lang w:val="pt-BR"/>
        </w:rPr>
        <w:t>10</w:t>
      </w:r>
      <w:r w:rsidRPr="004E6265">
        <w:rPr>
          <w:rFonts w:ascii="Times New Roman" w:hAnsi="Times New Roman"/>
          <w:color w:val="000000"/>
          <w:sz w:val="24"/>
          <w:szCs w:val="24"/>
          <w:lang w:val="pt-BR"/>
        </w:rPr>
        <w:t xml:space="preserve">. </w:t>
      </w:r>
    </w:p>
    <w:p w:rsidR="006D3DF4" w:rsidRPr="004E6265" w:rsidRDefault="006D3DF4" w:rsidP="00071D00">
      <w:pPr>
        <w:spacing w:line="360" w:lineRule="auto"/>
        <w:contextualSpacing/>
        <w:jc w:val="both"/>
        <w:textAlignment w:val="top"/>
        <w:rPr>
          <w:rFonts w:ascii="Times New Roman" w:hAnsi="Times New Roman"/>
          <w:color w:val="000000"/>
          <w:sz w:val="24"/>
          <w:szCs w:val="24"/>
          <w:lang w:val="pt-BR"/>
        </w:rPr>
      </w:pPr>
      <w:r w:rsidRPr="004E6265">
        <w:rPr>
          <w:rFonts w:ascii="Times New Roman" w:hAnsi="Times New Roman"/>
          <w:color w:val="000000"/>
          <w:sz w:val="24"/>
          <w:szCs w:val="24"/>
          <w:lang w:val="pt-BR"/>
        </w:rPr>
        <w:tab/>
        <w:t xml:space="preserve">Adams </w:t>
      </w:r>
      <w:r w:rsidRPr="004E6265">
        <w:rPr>
          <w:rFonts w:ascii="Times New Roman" w:hAnsi="Times New Roman"/>
          <w:i/>
          <w:color w:val="000000"/>
          <w:sz w:val="24"/>
          <w:szCs w:val="24"/>
          <w:lang w:val="pt-BR"/>
        </w:rPr>
        <w:t>et al</w:t>
      </w:r>
      <w:r w:rsidRPr="004E6265">
        <w:rPr>
          <w:rFonts w:ascii="Times New Roman" w:hAnsi="Times New Roman"/>
          <w:color w:val="000000"/>
          <w:sz w:val="24"/>
          <w:szCs w:val="24"/>
          <w:lang w:val="pt-BR"/>
        </w:rPr>
        <w:t xml:space="preserve"> </w:t>
      </w:r>
      <w:r w:rsidRPr="004E6265">
        <w:rPr>
          <w:rFonts w:ascii="Times New Roman" w:hAnsi="Times New Roman"/>
          <w:color w:val="000000"/>
          <w:sz w:val="24"/>
          <w:szCs w:val="24"/>
          <w:vertAlign w:val="superscript"/>
          <w:lang w:val="pt-BR"/>
        </w:rPr>
        <w:t>16</w:t>
      </w:r>
      <w:r w:rsidRPr="004E6265">
        <w:rPr>
          <w:rFonts w:ascii="Times New Roman" w:hAnsi="Times New Roman"/>
          <w:color w:val="000000"/>
          <w:sz w:val="24"/>
          <w:szCs w:val="24"/>
          <w:lang w:val="pt-BR"/>
        </w:rPr>
        <w:t xml:space="preserve"> afirmam que a perda de peso e a prática de exercícios físicos melhoram a resistência a insulina e são recomendados em conjunto com o tratamento medicamentoso para doenças metabólicas. </w:t>
      </w:r>
    </w:p>
    <w:p w:rsidR="006D3DF4" w:rsidRPr="004E6265" w:rsidRDefault="006D3DF4" w:rsidP="00071D00">
      <w:pPr>
        <w:spacing w:line="360" w:lineRule="auto"/>
        <w:contextualSpacing/>
        <w:jc w:val="both"/>
        <w:textAlignment w:val="top"/>
        <w:rPr>
          <w:rFonts w:ascii="Times New Roman" w:hAnsi="Times New Roman"/>
          <w:b/>
          <w:color w:val="000000"/>
          <w:sz w:val="24"/>
          <w:szCs w:val="24"/>
          <w:lang w:val="pt-BR"/>
        </w:rPr>
      </w:pPr>
    </w:p>
    <w:p w:rsidR="006D3DF4" w:rsidRPr="004E6265" w:rsidRDefault="006D3DF4" w:rsidP="00071D00">
      <w:pPr>
        <w:spacing w:line="360" w:lineRule="auto"/>
        <w:contextualSpacing/>
        <w:jc w:val="both"/>
        <w:textAlignment w:val="top"/>
        <w:rPr>
          <w:rFonts w:ascii="Times New Roman" w:hAnsi="Times New Roman"/>
          <w:b/>
          <w:color w:val="000000"/>
          <w:sz w:val="24"/>
          <w:szCs w:val="24"/>
          <w:lang w:val="pt-PT"/>
        </w:rPr>
      </w:pPr>
      <w:r w:rsidRPr="004E6265">
        <w:rPr>
          <w:rFonts w:ascii="Times New Roman" w:hAnsi="Times New Roman"/>
          <w:b/>
          <w:color w:val="000000"/>
          <w:sz w:val="24"/>
          <w:szCs w:val="24"/>
          <w:lang w:val="pt-PT"/>
        </w:rPr>
        <w:t xml:space="preserve">Indicadores Clínicos da Esteatose Hepática </w:t>
      </w:r>
    </w:p>
    <w:p w:rsidR="006D3DF4" w:rsidRPr="004E6265" w:rsidRDefault="006D3DF4" w:rsidP="00071D00">
      <w:pPr>
        <w:spacing w:line="360" w:lineRule="auto"/>
        <w:contextualSpacing/>
        <w:jc w:val="both"/>
        <w:textAlignment w:val="top"/>
        <w:rPr>
          <w:rFonts w:ascii="Times New Roman" w:hAnsi="Times New Roman"/>
          <w:color w:val="000000"/>
          <w:sz w:val="24"/>
          <w:szCs w:val="24"/>
          <w:lang w:val="pt-BR"/>
        </w:rPr>
      </w:pPr>
      <w:r w:rsidRPr="004E6265">
        <w:rPr>
          <w:rFonts w:ascii="Times New Roman" w:hAnsi="Times New Roman"/>
          <w:b/>
          <w:color w:val="000000"/>
          <w:sz w:val="24"/>
          <w:szCs w:val="24"/>
          <w:lang w:val="pt-PT"/>
        </w:rPr>
        <w:tab/>
      </w:r>
    </w:p>
    <w:p w:rsidR="006D3DF4" w:rsidRPr="004E6265" w:rsidRDefault="006D3DF4" w:rsidP="00071D00">
      <w:pPr>
        <w:spacing w:line="360" w:lineRule="auto"/>
        <w:contextualSpacing/>
        <w:jc w:val="both"/>
        <w:textAlignment w:val="top"/>
        <w:rPr>
          <w:rFonts w:ascii="Times New Roman" w:hAnsi="Times New Roman"/>
          <w:color w:val="000000"/>
          <w:sz w:val="24"/>
          <w:szCs w:val="24"/>
          <w:lang w:val="pt-PT"/>
        </w:rPr>
      </w:pPr>
      <w:r w:rsidRPr="004E6265">
        <w:rPr>
          <w:rFonts w:ascii="Times New Roman" w:hAnsi="Times New Roman"/>
          <w:color w:val="000000"/>
          <w:sz w:val="24"/>
          <w:szCs w:val="24"/>
          <w:lang w:val="pt-BR"/>
        </w:rPr>
        <w:tab/>
      </w:r>
      <w:r w:rsidRPr="004E6265">
        <w:rPr>
          <w:rFonts w:ascii="Times New Roman" w:hAnsi="Times New Roman"/>
          <w:color w:val="000000"/>
          <w:sz w:val="24"/>
          <w:szCs w:val="24"/>
          <w:lang w:val="pt-PT"/>
        </w:rPr>
        <w:t>Os indicadores clínicos da EH demonstram que na maioria dos pacientes, o quadro é assintomático, sendo que o diagnótico da DHGNA pode ser</w:t>
      </w:r>
      <w:r w:rsidRPr="004E6265">
        <w:rPr>
          <w:rFonts w:ascii="Times New Roman" w:hAnsi="Times New Roman"/>
          <w:color w:val="000000"/>
          <w:sz w:val="24"/>
          <w:lang w:val="pt-PT"/>
        </w:rPr>
        <w:t xml:space="preserve"> realizado </w:t>
      </w:r>
      <w:r w:rsidRPr="004E6265">
        <w:rPr>
          <w:rFonts w:ascii="Times New Roman" w:hAnsi="Times New Roman"/>
          <w:color w:val="000000"/>
          <w:sz w:val="24"/>
          <w:szCs w:val="24"/>
          <w:lang w:val="pt-PT"/>
        </w:rPr>
        <w:t>através de exames de dosagem</w:t>
      </w:r>
      <w:r w:rsidRPr="004E6265">
        <w:rPr>
          <w:rFonts w:ascii="Times New Roman" w:hAnsi="Times New Roman"/>
          <w:color w:val="000000"/>
          <w:sz w:val="24"/>
          <w:lang w:val="pt-PT"/>
        </w:rPr>
        <w:t xml:space="preserve"> das </w:t>
      </w:r>
      <w:r w:rsidRPr="004E6265">
        <w:rPr>
          <w:rFonts w:ascii="Times New Roman" w:hAnsi="Times New Roman"/>
          <w:color w:val="000000"/>
          <w:sz w:val="24"/>
          <w:szCs w:val="24"/>
          <w:lang w:val="pt-PT"/>
        </w:rPr>
        <w:t xml:space="preserve">concentrações de </w:t>
      </w:r>
      <w:r w:rsidRPr="004E6265">
        <w:rPr>
          <w:rFonts w:ascii="Times New Roman" w:hAnsi="Times New Roman"/>
          <w:color w:val="000000"/>
          <w:sz w:val="24"/>
          <w:lang w:val="pt-PT"/>
        </w:rPr>
        <w:t xml:space="preserve">enzimas hepáticas, embora </w:t>
      </w:r>
      <w:r w:rsidRPr="004E6265">
        <w:rPr>
          <w:rFonts w:ascii="Times New Roman" w:hAnsi="Times New Roman"/>
          <w:color w:val="000000"/>
          <w:sz w:val="24"/>
          <w:szCs w:val="24"/>
          <w:lang w:val="pt-PT"/>
        </w:rPr>
        <w:t xml:space="preserve">as concentrações enzimáticas na faixa de normalidade não exclua a presença da doença </w:t>
      </w:r>
      <w:r w:rsidRPr="004E6265">
        <w:rPr>
          <w:rFonts w:ascii="Times New Roman" w:hAnsi="Times New Roman"/>
          <w:color w:val="000000"/>
          <w:sz w:val="24"/>
          <w:szCs w:val="24"/>
          <w:vertAlign w:val="superscript"/>
          <w:lang w:val="pt-PT"/>
        </w:rPr>
        <w:t>3</w:t>
      </w:r>
      <w:r w:rsidRPr="004E6265">
        <w:rPr>
          <w:rFonts w:ascii="Times New Roman" w:hAnsi="Times New Roman"/>
          <w:color w:val="000000"/>
          <w:sz w:val="24"/>
          <w:szCs w:val="24"/>
          <w:lang w:val="pt-PT"/>
        </w:rPr>
        <w:t xml:space="preserve">, uma vez que muitas vezes o diagnóstico ocorre ocasionalmente em exames de imagem, sem apresentar alterações enzimáticas </w:t>
      </w:r>
      <w:r w:rsidRPr="004E6265">
        <w:rPr>
          <w:rFonts w:ascii="Times New Roman" w:hAnsi="Times New Roman"/>
          <w:color w:val="000000"/>
          <w:sz w:val="24"/>
          <w:szCs w:val="24"/>
          <w:vertAlign w:val="superscript"/>
          <w:lang w:val="pt-PT"/>
        </w:rPr>
        <w:t>17</w:t>
      </w:r>
      <w:r w:rsidRPr="004E6265">
        <w:rPr>
          <w:rFonts w:ascii="Times New Roman" w:hAnsi="Times New Roman"/>
          <w:color w:val="000000"/>
          <w:sz w:val="24"/>
          <w:lang w:val="pt-PT"/>
        </w:rPr>
        <w:t>.</w:t>
      </w:r>
      <w:r w:rsidRPr="004E6265">
        <w:rPr>
          <w:rFonts w:ascii="Times New Roman" w:hAnsi="Times New Roman"/>
          <w:color w:val="000000"/>
          <w:sz w:val="24"/>
          <w:szCs w:val="24"/>
          <w:lang w:val="pt-PT"/>
        </w:rPr>
        <w:t xml:space="preserve"> Assim, a elevação moderada da aspartato aminotransferase e/ou da alanina aminotransferase, frequentemente indicam a presença de DHGNA </w:t>
      </w:r>
      <w:r w:rsidRPr="004E6265">
        <w:rPr>
          <w:rFonts w:ascii="Times New Roman" w:hAnsi="Times New Roman"/>
          <w:color w:val="000000"/>
          <w:sz w:val="24"/>
          <w:szCs w:val="24"/>
          <w:vertAlign w:val="superscript"/>
          <w:lang w:val="pt-PT"/>
        </w:rPr>
        <w:t>2</w:t>
      </w:r>
      <w:r w:rsidRPr="004E6265">
        <w:rPr>
          <w:rFonts w:ascii="Times New Roman" w:hAnsi="Times New Roman"/>
          <w:color w:val="000000"/>
          <w:sz w:val="24"/>
          <w:szCs w:val="24"/>
          <w:lang w:val="pt-PT"/>
        </w:rPr>
        <w:t>.</w:t>
      </w:r>
    </w:p>
    <w:p w:rsidR="006D3DF4" w:rsidRPr="004E6265" w:rsidRDefault="006D3DF4" w:rsidP="00071D00">
      <w:pPr>
        <w:spacing w:line="360" w:lineRule="auto"/>
        <w:contextualSpacing/>
        <w:jc w:val="both"/>
        <w:textAlignment w:val="top"/>
        <w:rPr>
          <w:rFonts w:ascii="Times New Roman" w:hAnsi="Times New Roman"/>
          <w:color w:val="000000"/>
          <w:sz w:val="24"/>
          <w:szCs w:val="24"/>
          <w:lang w:val="pt-PT"/>
        </w:rPr>
      </w:pPr>
      <w:r w:rsidRPr="004E6265">
        <w:rPr>
          <w:rFonts w:ascii="Times New Roman" w:hAnsi="Times New Roman"/>
          <w:color w:val="000000"/>
          <w:sz w:val="24"/>
          <w:szCs w:val="24"/>
          <w:lang w:val="pt-PT"/>
        </w:rPr>
        <w:tab/>
        <w:t xml:space="preserve">Os pacientes que apresentam elevação das enzimas hepáticas, o diagnóstico da esteatose pode ser confirmado pela ultrassonografia abdominal ou pela hepatomegalia.  Considerando a possibilidade de imprecisão no diagnóstico, os métodos por imagem são os mais utilizados no diagnóstico da patologia. Os diagnósticos por ultrassonografia, ressonância magnética e tomografia computadorizada são amplamente recomendados, embora a biópsia hepática seja o método que apresenta a maior  fidedignidade com o desfecho da EH. Os exames por imagem não </w:t>
      </w:r>
      <w:r w:rsidRPr="004E6265">
        <w:rPr>
          <w:rFonts w:ascii="Times New Roman" w:hAnsi="Times New Roman"/>
          <w:color w:val="000000"/>
          <w:sz w:val="24"/>
          <w:lang w:val="pt-PT"/>
        </w:rPr>
        <w:t>estabelecem o grau de severidade hepático e da</w:t>
      </w:r>
      <w:r w:rsidRPr="004E6265">
        <w:rPr>
          <w:rFonts w:ascii="Times New Roman" w:hAnsi="Times New Roman"/>
          <w:color w:val="000000"/>
          <w:sz w:val="24"/>
          <w:szCs w:val="24"/>
          <w:lang w:val="pt-PT"/>
        </w:rPr>
        <w:t xml:space="preserve"> </w:t>
      </w:r>
      <w:r w:rsidRPr="004E6265">
        <w:rPr>
          <w:rFonts w:ascii="Times New Roman" w:hAnsi="Times New Roman"/>
          <w:color w:val="000000"/>
          <w:sz w:val="24"/>
          <w:lang w:val="pt-PT"/>
        </w:rPr>
        <w:t xml:space="preserve">fibrose hepática existente, sendo indicado </w:t>
      </w:r>
      <w:r w:rsidRPr="004E6265">
        <w:rPr>
          <w:rFonts w:ascii="Times New Roman" w:hAnsi="Times New Roman"/>
          <w:color w:val="000000"/>
          <w:sz w:val="24"/>
          <w:szCs w:val="24"/>
          <w:lang w:val="pt-PT"/>
        </w:rPr>
        <w:t>em casos em que são necessárias essas informações</w:t>
      </w:r>
      <w:r w:rsidRPr="004E6265">
        <w:rPr>
          <w:rFonts w:ascii="Times New Roman" w:hAnsi="Times New Roman"/>
          <w:color w:val="000000"/>
          <w:sz w:val="24"/>
          <w:lang w:val="pt-PT"/>
        </w:rPr>
        <w:t>, a biópsia hepática</w:t>
      </w:r>
      <w:r w:rsidRPr="004E6265">
        <w:rPr>
          <w:rFonts w:ascii="Times New Roman" w:hAnsi="Times New Roman"/>
          <w:color w:val="000000"/>
          <w:sz w:val="24"/>
          <w:szCs w:val="24"/>
          <w:lang w:val="pt-PT"/>
        </w:rPr>
        <w:t xml:space="preserve"> </w:t>
      </w:r>
      <w:r w:rsidRPr="004E6265">
        <w:rPr>
          <w:rFonts w:ascii="Times New Roman" w:hAnsi="Times New Roman"/>
          <w:color w:val="000000"/>
          <w:sz w:val="24"/>
          <w:szCs w:val="24"/>
          <w:vertAlign w:val="superscript"/>
          <w:lang w:val="pt-PT"/>
        </w:rPr>
        <w:t>17</w:t>
      </w:r>
      <w:r w:rsidRPr="004E6265">
        <w:rPr>
          <w:rFonts w:ascii="Times New Roman" w:hAnsi="Times New Roman"/>
          <w:color w:val="000000"/>
          <w:sz w:val="24"/>
          <w:szCs w:val="24"/>
          <w:lang w:val="pt-PT"/>
        </w:rPr>
        <w:t>.</w:t>
      </w:r>
    </w:p>
    <w:p w:rsidR="006D3DF4" w:rsidRPr="004E6265" w:rsidRDefault="006D3DF4" w:rsidP="00071D00">
      <w:pPr>
        <w:spacing w:line="360" w:lineRule="auto"/>
        <w:contextualSpacing/>
        <w:jc w:val="both"/>
        <w:textAlignment w:val="top"/>
        <w:rPr>
          <w:rFonts w:ascii="Times New Roman" w:hAnsi="Times New Roman"/>
          <w:color w:val="000000"/>
          <w:sz w:val="24"/>
          <w:szCs w:val="24"/>
          <w:lang w:val="pt-PT"/>
        </w:rPr>
      </w:pPr>
      <w:r w:rsidRPr="004E6265">
        <w:rPr>
          <w:rFonts w:ascii="Times New Roman" w:hAnsi="Times New Roman"/>
          <w:color w:val="000000"/>
          <w:sz w:val="24"/>
          <w:szCs w:val="24"/>
          <w:lang w:val="pt-PT"/>
        </w:rPr>
        <w:tab/>
        <w:t xml:space="preserve">Embora a biópsia hepática seja um método invasivo, pode ser realizada com segurança e oferece informações se a EH tem relação com o consumo de álcool (esteatose hepática alcoólica) ou não (esteatose hepática não-alcoólica), bem como quais medicamentos seriam os mais indicados em cada caso. Portanto, a biópsia permite acompanhar a partir do diagnóstico, a evolução da patologia </w:t>
      </w:r>
      <w:r w:rsidRPr="004E6265">
        <w:rPr>
          <w:rFonts w:ascii="Times New Roman" w:hAnsi="Times New Roman"/>
          <w:color w:val="000000"/>
          <w:sz w:val="24"/>
          <w:szCs w:val="24"/>
          <w:vertAlign w:val="superscript"/>
          <w:lang w:val="pt-PT"/>
        </w:rPr>
        <w:t>17</w:t>
      </w:r>
      <w:r w:rsidRPr="004E6265">
        <w:rPr>
          <w:rFonts w:ascii="Times New Roman" w:hAnsi="Times New Roman"/>
          <w:color w:val="000000"/>
          <w:sz w:val="24"/>
          <w:szCs w:val="24"/>
          <w:lang w:val="pt-PT"/>
        </w:rPr>
        <w:t>. Por outro lado, a ressonância nuclear poderia ser utilizada sendo mais sensível que a ultrassonografia e que a tomografia computadorizada na avaliação da esteatose hepática.</w:t>
      </w:r>
    </w:p>
    <w:p w:rsidR="006D3DF4" w:rsidRPr="004E6265" w:rsidRDefault="006D3DF4" w:rsidP="00071D00">
      <w:pPr>
        <w:spacing w:line="360" w:lineRule="auto"/>
        <w:ind w:firstLine="720"/>
        <w:contextualSpacing/>
        <w:jc w:val="both"/>
        <w:textAlignment w:val="top"/>
        <w:rPr>
          <w:rFonts w:ascii="Times New Roman" w:hAnsi="Times New Roman"/>
          <w:color w:val="000000"/>
          <w:sz w:val="24"/>
          <w:szCs w:val="24"/>
          <w:lang w:val="pt-PT"/>
        </w:rPr>
      </w:pPr>
      <w:r w:rsidRPr="004E6265">
        <w:rPr>
          <w:rFonts w:ascii="Times New Roman" w:hAnsi="Times New Roman"/>
          <w:color w:val="000000"/>
          <w:sz w:val="24"/>
          <w:szCs w:val="24"/>
          <w:lang w:val="pt-PT"/>
        </w:rPr>
        <w:t xml:space="preserve">A análise das diferentes formas de diagnóstico por imagem, sugerem que a sensibilidade da tomografia é modesta, embora tenha custo elevado. Desta forma, verifica-se que a ultrassonografia é o método de imagem mais utilizado no diagnóstico da DHGNA por apresentar precisão moderada-alta e o menor custo relativo </w:t>
      </w:r>
      <w:r w:rsidRPr="004E6265">
        <w:rPr>
          <w:rFonts w:ascii="Times New Roman" w:hAnsi="Times New Roman"/>
          <w:color w:val="000000"/>
          <w:sz w:val="24"/>
          <w:szCs w:val="24"/>
          <w:vertAlign w:val="superscript"/>
          <w:lang w:val="pt-PT"/>
        </w:rPr>
        <w:t>18</w:t>
      </w:r>
      <w:r w:rsidRPr="004E6265">
        <w:rPr>
          <w:rFonts w:ascii="Times New Roman" w:hAnsi="Times New Roman"/>
          <w:color w:val="000000"/>
          <w:sz w:val="24"/>
          <w:szCs w:val="24"/>
          <w:lang w:val="pt-PT"/>
        </w:rPr>
        <w:t>.</w:t>
      </w:r>
    </w:p>
    <w:p w:rsidR="006D3DF4" w:rsidRPr="004E6265" w:rsidRDefault="006D3DF4" w:rsidP="00071D00">
      <w:pPr>
        <w:spacing w:line="360" w:lineRule="auto"/>
        <w:ind w:firstLine="720"/>
        <w:contextualSpacing/>
        <w:jc w:val="both"/>
        <w:textAlignment w:val="top"/>
        <w:rPr>
          <w:rFonts w:ascii="Times New Roman" w:hAnsi="Times New Roman"/>
          <w:color w:val="000000"/>
          <w:sz w:val="24"/>
          <w:szCs w:val="24"/>
          <w:lang w:val="pt-BR"/>
        </w:rPr>
      </w:pPr>
      <w:r w:rsidRPr="004E6265">
        <w:rPr>
          <w:rFonts w:ascii="Times New Roman" w:hAnsi="Times New Roman"/>
          <w:color w:val="000000"/>
          <w:sz w:val="24"/>
          <w:szCs w:val="24"/>
          <w:lang w:val="pt-PT"/>
        </w:rPr>
        <w:t xml:space="preserve">O diagnóstico da DHGNA através de testes radiológicos utilizados em pesquisas, demonstraram que em indivíduos obesos de grau III a ultrassonografia foi mais sensivel a detecção da doença em comparação com a ressonância magnética. Por outro lado, foi encontrada associação positiva entre o dignóstico pela ultrassonografia e a biópsia hepática, enquanto que em relação com a ressonância magnética apresentou correlação fraca, confirmando a maior sensibilidade do diagnóstico pelo uso da ultrassonografia </w:t>
      </w:r>
      <w:r w:rsidRPr="004E6265">
        <w:rPr>
          <w:rFonts w:ascii="Times New Roman" w:hAnsi="Times New Roman"/>
          <w:color w:val="000000"/>
          <w:sz w:val="24"/>
          <w:szCs w:val="24"/>
          <w:vertAlign w:val="superscript"/>
          <w:lang w:val="pt-PT"/>
        </w:rPr>
        <w:t>19</w:t>
      </w:r>
      <w:r w:rsidRPr="004E6265">
        <w:rPr>
          <w:rFonts w:ascii="Times New Roman" w:hAnsi="Times New Roman"/>
          <w:color w:val="000000"/>
          <w:sz w:val="24"/>
          <w:szCs w:val="24"/>
          <w:lang w:val="pt-PT"/>
        </w:rPr>
        <w:t xml:space="preserve">. </w:t>
      </w:r>
      <w:r w:rsidRPr="004E6265">
        <w:rPr>
          <w:rFonts w:ascii="Times New Roman" w:hAnsi="Times New Roman"/>
          <w:color w:val="000000"/>
          <w:sz w:val="24"/>
          <w:szCs w:val="24"/>
          <w:lang w:val="pt-BR"/>
        </w:rPr>
        <w:t xml:space="preserve">Uma das grandes vantagens da ultrassonografia é avaliar em tempo real as características de vários órgãos, sendo portanto um exame clinicamente recomendável. </w:t>
      </w:r>
    </w:p>
    <w:p w:rsidR="006D3DF4" w:rsidRPr="004E6265" w:rsidRDefault="006D3DF4" w:rsidP="00071D00">
      <w:pPr>
        <w:spacing w:line="360" w:lineRule="auto"/>
        <w:ind w:firstLine="720"/>
        <w:contextualSpacing/>
        <w:jc w:val="both"/>
        <w:textAlignment w:val="top"/>
        <w:rPr>
          <w:rFonts w:ascii="Times New Roman" w:hAnsi="Times New Roman"/>
          <w:color w:val="000000"/>
          <w:sz w:val="24"/>
          <w:lang w:val="pt-PT"/>
        </w:rPr>
      </w:pPr>
      <w:r w:rsidRPr="004E6265">
        <w:rPr>
          <w:rFonts w:ascii="Times New Roman" w:hAnsi="Times New Roman"/>
          <w:color w:val="000000"/>
          <w:sz w:val="24"/>
          <w:szCs w:val="24"/>
          <w:lang w:val="pt-BR"/>
        </w:rPr>
        <w:t xml:space="preserve">A </w:t>
      </w:r>
      <w:r w:rsidRPr="004E6265">
        <w:rPr>
          <w:rFonts w:ascii="Times New Roman" w:hAnsi="Times New Roman"/>
          <w:color w:val="000000"/>
          <w:sz w:val="24"/>
          <w:lang w:val="pt-PT"/>
        </w:rPr>
        <w:t xml:space="preserve">OMS (1996) </w:t>
      </w:r>
      <w:r w:rsidRPr="004E6265">
        <w:rPr>
          <w:rFonts w:ascii="Times New Roman" w:hAnsi="Times New Roman"/>
          <w:color w:val="000000"/>
          <w:sz w:val="24"/>
          <w:vertAlign w:val="superscript"/>
          <w:lang w:val="pt-PT"/>
        </w:rPr>
        <w:t xml:space="preserve">20 </w:t>
      </w:r>
      <w:r w:rsidRPr="004E6265">
        <w:rPr>
          <w:rFonts w:ascii="Times New Roman" w:hAnsi="Times New Roman"/>
          <w:color w:val="000000"/>
          <w:sz w:val="24"/>
          <w:szCs w:val="24"/>
          <w:lang w:val="pt-PT"/>
        </w:rPr>
        <w:t>recomenda a ultrassonografia como método diagnóstico de EH, por ser um exame</w:t>
      </w:r>
      <w:r w:rsidRPr="004E6265">
        <w:rPr>
          <w:rFonts w:ascii="Times New Roman" w:hAnsi="Times New Roman"/>
          <w:color w:val="000000"/>
          <w:sz w:val="24"/>
          <w:lang w:val="pt-PT"/>
        </w:rPr>
        <w:t xml:space="preserve"> que </w:t>
      </w:r>
      <w:r w:rsidRPr="004E6265">
        <w:rPr>
          <w:rFonts w:ascii="Times New Roman" w:hAnsi="Times New Roman"/>
          <w:color w:val="000000"/>
          <w:sz w:val="24"/>
          <w:szCs w:val="24"/>
          <w:lang w:val="pt-PT"/>
        </w:rPr>
        <w:t xml:space="preserve">proporcione melhor custo- benefício, de boa precisão e melhor acesso populacional; o que consequentemente permitirá a utilização de dados populacionais para </w:t>
      </w:r>
      <w:r w:rsidRPr="004E6265">
        <w:rPr>
          <w:rFonts w:ascii="Times New Roman" w:hAnsi="Times New Roman"/>
          <w:color w:val="000000"/>
          <w:sz w:val="24"/>
          <w:lang w:val="pt-PT"/>
        </w:rPr>
        <w:t xml:space="preserve">levantamentos </w:t>
      </w:r>
      <w:r w:rsidRPr="004E6265">
        <w:rPr>
          <w:rFonts w:ascii="Times New Roman" w:hAnsi="Times New Roman"/>
          <w:color w:val="000000"/>
          <w:sz w:val="24"/>
          <w:szCs w:val="24"/>
          <w:lang w:val="pt-PT"/>
        </w:rPr>
        <w:t>epidemiológicos e criação</w:t>
      </w:r>
      <w:r w:rsidRPr="004E6265">
        <w:rPr>
          <w:rFonts w:ascii="Times New Roman" w:hAnsi="Times New Roman"/>
          <w:color w:val="000000"/>
          <w:sz w:val="24"/>
          <w:lang w:val="pt-PT"/>
        </w:rPr>
        <w:t xml:space="preserve"> de estratégias de prevenção</w:t>
      </w:r>
      <w:r w:rsidRPr="004E6265">
        <w:rPr>
          <w:rFonts w:ascii="Times New Roman" w:hAnsi="Times New Roman"/>
          <w:color w:val="000000"/>
          <w:sz w:val="24"/>
          <w:szCs w:val="24"/>
          <w:lang w:val="pt-PT"/>
        </w:rPr>
        <w:t xml:space="preserve"> e tratamento</w:t>
      </w:r>
      <w:r w:rsidRPr="004E6265">
        <w:rPr>
          <w:rFonts w:ascii="Times New Roman" w:hAnsi="Times New Roman"/>
          <w:color w:val="000000"/>
          <w:sz w:val="24"/>
          <w:lang w:val="pt-PT"/>
        </w:rPr>
        <w:t xml:space="preserve"> de DHGNA. </w:t>
      </w:r>
    </w:p>
    <w:p w:rsidR="006D3DF4" w:rsidRPr="004E6265" w:rsidRDefault="006D3DF4" w:rsidP="00071D00">
      <w:pPr>
        <w:spacing w:line="360" w:lineRule="auto"/>
        <w:contextualSpacing/>
        <w:jc w:val="both"/>
        <w:textAlignment w:val="top"/>
        <w:rPr>
          <w:rFonts w:ascii="Times New Roman" w:hAnsi="Times New Roman"/>
          <w:b/>
          <w:color w:val="000000"/>
          <w:sz w:val="24"/>
          <w:szCs w:val="24"/>
          <w:lang w:val="pt-PT"/>
        </w:rPr>
      </w:pPr>
    </w:p>
    <w:p w:rsidR="006D3DF4" w:rsidRPr="004E6265" w:rsidRDefault="006D3DF4" w:rsidP="00071D00">
      <w:pPr>
        <w:spacing w:line="360" w:lineRule="auto"/>
        <w:contextualSpacing/>
        <w:jc w:val="both"/>
        <w:textAlignment w:val="top"/>
        <w:rPr>
          <w:rFonts w:ascii="Times New Roman" w:hAnsi="Times New Roman"/>
          <w:b/>
          <w:color w:val="000000"/>
          <w:sz w:val="24"/>
          <w:szCs w:val="24"/>
          <w:lang w:val="pt-PT"/>
        </w:rPr>
      </w:pPr>
      <w:r w:rsidRPr="004E6265">
        <w:rPr>
          <w:rFonts w:ascii="Times New Roman" w:hAnsi="Times New Roman"/>
          <w:b/>
          <w:color w:val="000000"/>
          <w:sz w:val="24"/>
          <w:szCs w:val="24"/>
          <w:lang w:val="pt-PT"/>
        </w:rPr>
        <w:t>Esteatose Hepática e Estratégias do Tratamento</w:t>
      </w:r>
    </w:p>
    <w:p w:rsidR="006D3DF4" w:rsidRPr="004E6265" w:rsidRDefault="006D3DF4" w:rsidP="00071D00">
      <w:pPr>
        <w:spacing w:line="360" w:lineRule="auto"/>
        <w:contextualSpacing/>
        <w:jc w:val="both"/>
        <w:textAlignment w:val="top"/>
        <w:rPr>
          <w:rFonts w:ascii="Times New Roman" w:hAnsi="Times New Roman"/>
          <w:b/>
          <w:color w:val="000000"/>
          <w:sz w:val="24"/>
          <w:szCs w:val="24"/>
          <w:lang w:val="pt-PT"/>
        </w:rPr>
      </w:pPr>
      <w:r w:rsidRPr="004E6265">
        <w:rPr>
          <w:rFonts w:ascii="Times New Roman" w:hAnsi="Times New Roman"/>
          <w:b/>
          <w:color w:val="000000"/>
          <w:sz w:val="24"/>
          <w:szCs w:val="24"/>
          <w:lang w:val="pt-PT"/>
        </w:rPr>
        <w:tab/>
      </w:r>
      <w:r w:rsidRPr="004E6265">
        <w:rPr>
          <w:rFonts w:ascii="Times New Roman" w:hAnsi="Times New Roman"/>
          <w:color w:val="000000"/>
          <w:sz w:val="24"/>
          <w:szCs w:val="24"/>
          <w:lang w:val="pt-BR"/>
        </w:rPr>
        <w:t xml:space="preserve">Nos últimos anos, tem-se observado em países com rápido desenvolvimento econômico o aumento na prevalência de obesidade, diabetes e doenças cardiovasculares </w:t>
      </w:r>
      <w:r w:rsidRPr="004E6265">
        <w:rPr>
          <w:rFonts w:ascii="Times New Roman" w:hAnsi="Times New Roman"/>
          <w:color w:val="000000"/>
          <w:sz w:val="24"/>
          <w:szCs w:val="24"/>
          <w:vertAlign w:val="superscript"/>
          <w:lang w:val="pt-BR"/>
        </w:rPr>
        <w:t>21</w:t>
      </w:r>
      <w:r w:rsidRPr="004E6265">
        <w:rPr>
          <w:rFonts w:ascii="Times New Roman" w:hAnsi="Times New Roman"/>
          <w:color w:val="000000"/>
          <w:sz w:val="24"/>
          <w:szCs w:val="24"/>
          <w:lang w:val="pt-BR"/>
        </w:rPr>
        <w:t>, fato conhecido também em países desenvolvidos. Dentre todas as doenças crônicas conhecidas, a dislipidemia tem destaque em função da relação com a DHGNA e obesidade.</w:t>
      </w:r>
    </w:p>
    <w:p w:rsidR="006D3DF4" w:rsidRPr="004E6265" w:rsidRDefault="006D3DF4" w:rsidP="00071D00">
      <w:pPr>
        <w:spacing w:line="360" w:lineRule="auto"/>
        <w:contextualSpacing/>
        <w:jc w:val="both"/>
        <w:textAlignment w:val="top"/>
        <w:rPr>
          <w:rFonts w:ascii="Times New Roman" w:hAnsi="Times New Roman"/>
          <w:b/>
          <w:color w:val="000000"/>
          <w:sz w:val="24"/>
          <w:szCs w:val="24"/>
          <w:lang w:val="pt-PT"/>
        </w:rPr>
      </w:pPr>
      <w:r w:rsidRPr="004E6265">
        <w:rPr>
          <w:rFonts w:ascii="Times New Roman" w:hAnsi="Times New Roman"/>
          <w:b/>
          <w:color w:val="000000"/>
          <w:sz w:val="24"/>
          <w:szCs w:val="24"/>
          <w:lang w:val="pt-PT"/>
        </w:rPr>
        <w:tab/>
      </w:r>
      <w:r w:rsidRPr="004E6265">
        <w:rPr>
          <w:rFonts w:ascii="Times New Roman" w:hAnsi="Times New Roman"/>
          <w:color w:val="000000"/>
          <w:sz w:val="24"/>
          <w:szCs w:val="24"/>
          <w:lang w:val="pt-PT"/>
        </w:rPr>
        <w:t>Considerando que existem diferentes estratégias no tratamento das DHGNA</w:t>
      </w:r>
      <w:r w:rsidRPr="004E6265">
        <w:rPr>
          <w:rFonts w:ascii="Times New Roman" w:hAnsi="Times New Roman"/>
          <w:color w:val="000000"/>
          <w:sz w:val="24"/>
          <w:szCs w:val="24"/>
          <w:lang w:val="pt-BR"/>
        </w:rPr>
        <w:t xml:space="preserve">, não encontramos na literatura uma proposta específica que tenha mostrado resultados conclusivos na redução dos níveis de DGHNA. </w:t>
      </w:r>
    </w:p>
    <w:p w:rsidR="006D3DF4" w:rsidRPr="004E6265" w:rsidRDefault="006D3DF4" w:rsidP="00071D00">
      <w:pPr>
        <w:spacing w:line="360" w:lineRule="auto"/>
        <w:contextualSpacing/>
        <w:jc w:val="both"/>
        <w:textAlignment w:val="top"/>
        <w:rPr>
          <w:rFonts w:ascii="Times New Roman" w:hAnsi="Times New Roman"/>
          <w:b/>
          <w:color w:val="000000"/>
          <w:sz w:val="24"/>
          <w:szCs w:val="24"/>
          <w:lang w:val="pt-PT"/>
        </w:rPr>
      </w:pPr>
      <w:r w:rsidRPr="004E6265">
        <w:rPr>
          <w:rFonts w:ascii="Times New Roman" w:hAnsi="Times New Roman"/>
          <w:b/>
          <w:color w:val="000000"/>
          <w:sz w:val="24"/>
          <w:szCs w:val="24"/>
          <w:lang w:val="pt-PT"/>
        </w:rPr>
        <w:tab/>
      </w:r>
      <w:r w:rsidRPr="004E6265">
        <w:rPr>
          <w:rFonts w:ascii="Times New Roman" w:hAnsi="Times New Roman"/>
          <w:color w:val="000000"/>
          <w:sz w:val="24"/>
          <w:szCs w:val="24"/>
          <w:lang w:val="pt-BR"/>
        </w:rPr>
        <w:t xml:space="preserve">Desse modo, o início do tratamento das DGHNA está relacionado com o controle do peso corporal, sugerindo redução gradual do peso </w:t>
      </w:r>
      <w:r w:rsidRPr="004E6265">
        <w:rPr>
          <w:rFonts w:ascii="Times New Roman" w:hAnsi="Times New Roman"/>
          <w:color w:val="000000"/>
          <w:sz w:val="24"/>
          <w:lang w:val="pt-BR"/>
        </w:rPr>
        <w:t>corporal de</w:t>
      </w:r>
      <w:r w:rsidRPr="004E6265">
        <w:rPr>
          <w:rFonts w:ascii="Times New Roman" w:hAnsi="Times New Roman"/>
          <w:color w:val="000000"/>
          <w:sz w:val="24"/>
          <w:szCs w:val="24"/>
          <w:lang w:val="pt-BR"/>
        </w:rPr>
        <w:t xml:space="preserve"> 10% em seis meses após o diagnóstico, atendendo para isso o controle da ingestão calórica, e se possível, a prática de exercícios físicos regularmente. </w:t>
      </w:r>
      <w:r w:rsidRPr="004E6265">
        <w:rPr>
          <w:rFonts w:ascii="Times New Roman" w:hAnsi="Times New Roman"/>
          <w:color w:val="000000"/>
          <w:sz w:val="24"/>
          <w:szCs w:val="24"/>
          <w:lang w:val="pt-PT"/>
        </w:rPr>
        <w:t xml:space="preserve">Nesse sentido, reduzir o peso corporal através da prática regular de exercício físico, pode promover em 12 meses a melhora da atividade hepática </w:t>
      </w:r>
      <w:r w:rsidRPr="004E6265">
        <w:rPr>
          <w:rFonts w:ascii="Times New Roman" w:hAnsi="Times New Roman"/>
          <w:color w:val="000000"/>
          <w:sz w:val="24"/>
          <w:szCs w:val="24"/>
          <w:vertAlign w:val="superscript"/>
          <w:lang w:val="pt-PT"/>
        </w:rPr>
        <w:t>21</w:t>
      </w:r>
      <w:r w:rsidRPr="004E6265">
        <w:rPr>
          <w:rFonts w:ascii="Times New Roman" w:hAnsi="Times New Roman"/>
          <w:color w:val="000000"/>
          <w:sz w:val="24"/>
          <w:szCs w:val="24"/>
          <w:lang w:val="pt-PT"/>
        </w:rPr>
        <w:t xml:space="preserve">. </w:t>
      </w:r>
      <w:r w:rsidRPr="004E6265">
        <w:rPr>
          <w:rFonts w:ascii="Times New Roman" w:hAnsi="Times New Roman"/>
          <w:color w:val="000000"/>
          <w:sz w:val="24"/>
          <w:szCs w:val="24"/>
          <w:lang w:val="pt-BR"/>
        </w:rPr>
        <w:t>Porém, caso não ocorra alteração significante no peso corporal, deve-se considerar a terapia farmacológica</w:t>
      </w:r>
      <w:r w:rsidRPr="004E6265">
        <w:rPr>
          <w:rFonts w:ascii="Times New Roman" w:hAnsi="Times New Roman"/>
          <w:color w:val="000000"/>
          <w:sz w:val="24"/>
          <w:szCs w:val="24"/>
          <w:vertAlign w:val="superscript"/>
          <w:lang w:val="pt-BR"/>
        </w:rPr>
        <w:t>7</w:t>
      </w:r>
      <w:r w:rsidRPr="004E6265">
        <w:rPr>
          <w:rFonts w:ascii="Times New Roman" w:hAnsi="Times New Roman"/>
          <w:color w:val="000000"/>
          <w:sz w:val="24"/>
          <w:szCs w:val="24"/>
          <w:lang w:val="pt-BR"/>
        </w:rPr>
        <w:t xml:space="preserve">, embora não </w:t>
      </w:r>
      <w:r w:rsidRPr="004E6265">
        <w:rPr>
          <w:rFonts w:ascii="Times New Roman" w:hAnsi="Times New Roman"/>
          <w:color w:val="000000"/>
          <w:sz w:val="24"/>
          <w:lang w:val="pt-BR"/>
        </w:rPr>
        <w:t xml:space="preserve">seja </w:t>
      </w:r>
      <w:r w:rsidRPr="004E6265">
        <w:rPr>
          <w:rFonts w:ascii="Times New Roman" w:hAnsi="Times New Roman"/>
          <w:color w:val="000000"/>
          <w:sz w:val="24"/>
          <w:szCs w:val="24"/>
          <w:lang w:val="pt-BR"/>
        </w:rPr>
        <w:t>utilizada na maioria das</w:t>
      </w:r>
      <w:r w:rsidRPr="004E6265">
        <w:rPr>
          <w:rFonts w:ascii="Times New Roman" w:hAnsi="Times New Roman"/>
          <w:color w:val="000000"/>
          <w:sz w:val="24"/>
          <w:lang w:val="pt-BR"/>
        </w:rPr>
        <w:t xml:space="preserve"> </w:t>
      </w:r>
      <w:r w:rsidRPr="004E6265">
        <w:rPr>
          <w:rFonts w:ascii="Times New Roman" w:hAnsi="Times New Roman"/>
          <w:color w:val="000000"/>
          <w:sz w:val="24"/>
          <w:lang w:val="pt-PT"/>
        </w:rPr>
        <w:t>ocasiões</w:t>
      </w:r>
      <w:r w:rsidRPr="004E6265">
        <w:rPr>
          <w:rFonts w:ascii="Times New Roman" w:hAnsi="Times New Roman"/>
          <w:color w:val="000000"/>
          <w:sz w:val="24"/>
          <w:szCs w:val="24"/>
          <w:lang w:val="pt-PT"/>
        </w:rPr>
        <w:t xml:space="preserve">. De modo geral, o tratamento farmacológico se </w:t>
      </w:r>
      <w:r w:rsidRPr="004E6265">
        <w:rPr>
          <w:rFonts w:ascii="Times New Roman" w:hAnsi="Times New Roman"/>
          <w:color w:val="000000"/>
          <w:sz w:val="24"/>
          <w:szCs w:val="24"/>
          <w:lang w:val="pt-BR"/>
        </w:rPr>
        <w:t xml:space="preserve">fundamente em intervenção restrita a </w:t>
      </w:r>
      <w:r w:rsidRPr="004E6265">
        <w:rPr>
          <w:rFonts w:ascii="Times New Roman" w:hAnsi="Times New Roman"/>
          <w:color w:val="000000"/>
          <w:sz w:val="24"/>
          <w:szCs w:val="24"/>
          <w:lang w:val="pt-PT"/>
        </w:rPr>
        <w:t>pacientes com índice de massa corporal superior a 30 kg/m</w:t>
      </w:r>
      <w:r w:rsidRPr="004E6265">
        <w:rPr>
          <w:rFonts w:ascii="Times New Roman" w:hAnsi="Times New Roman"/>
          <w:color w:val="000000"/>
          <w:sz w:val="24"/>
          <w:szCs w:val="24"/>
          <w:vertAlign w:val="superscript"/>
          <w:lang w:val="pt-PT"/>
        </w:rPr>
        <w:t>2</w:t>
      </w:r>
      <w:r w:rsidRPr="004E6265">
        <w:rPr>
          <w:rFonts w:ascii="Times New Roman" w:hAnsi="Times New Roman"/>
          <w:color w:val="000000"/>
          <w:sz w:val="24"/>
          <w:szCs w:val="24"/>
          <w:lang w:val="pt-PT"/>
        </w:rPr>
        <w:t xml:space="preserve"> ou índice de massa corporal ao redor de 27 kg/m</w:t>
      </w:r>
      <w:r w:rsidRPr="004E6265">
        <w:rPr>
          <w:rFonts w:ascii="Times New Roman" w:hAnsi="Times New Roman"/>
          <w:color w:val="000000"/>
          <w:sz w:val="24"/>
          <w:szCs w:val="24"/>
          <w:vertAlign w:val="superscript"/>
          <w:lang w:val="pt-PT"/>
        </w:rPr>
        <w:t>2</w:t>
      </w:r>
      <w:r w:rsidRPr="004E6265">
        <w:rPr>
          <w:rFonts w:ascii="Times New Roman" w:hAnsi="Times New Roman"/>
          <w:color w:val="000000"/>
          <w:sz w:val="24"/>
          <w:szCs w:val="24"/>
          <w:lang w:val="pt-PT"/>
        </w:rPr>
        <w:t xml:space="preserve"> caso o indivíduo apresente outras co-morbidades associadas</w:t>
      </w:r>
      <w:r w:rsidRPr="004E6265">
        <w:rPr>
          <w:rFonts w:ascii="Times New Roman" w:hAnsi="Times New Roman"/>
          <w:color w:val="000000"/>
          <w:sz w:val="24"/>
          <w:szCs w:val="24"/>
          <w:vertAlign w:val="superscript"/>
          <w:lang w:val="pt-PT"/>
        </w:rPr>
        <w:t>7</w:t>
      </w:r>
      <w:r w:rsidRPr="004E6265">
        <w:rPr>
          <w:rFonts w:ascii="Times New Roman" w:hAnsi="Times New Roman"/>
          <w:color w:val="000000"/>
          <w:sz w:val="24"/>
          <w:szCs w:val="24"/>
          <w:lang w:val="pt-PT"/>
        </w:rPr>
        <w:t xml:space="preserve">. </w:t>
      </w:r>
    </w:p>
    <w:p w:rsidR="006D3DF4" w:rsidRPr="004E6265" w:rsidRDefault="006D3DF4" w:rsidP="00071D00">
      <w:pPr>
        <w:spacing w:line="360" w:lineRule="auto"/>
        <w:contextualSpacing/>
        <w:jc w:val="both"/>
        <w:textAlignment w:val="top"/>
        <w:rPr>
          <w:rFonts w:ascii="Times New Roman" w:hAnsi="Times New Roman"/>
          <w:color w:val="000000"/>
          <w:sz w:val="24"/>
          <w:szCs w:val="24"/>
          <w:lang w:val="pt-BR"/>
        </w:rPr>
      </w:pPr>
      <w:r w:rsidRPr="004E6265">
        <w:rPr>
          <w:rFonts w:ascii="Times New Roman" w:hAnsi="Times New Roman"/>
          <w:b/>
          <w:color w:val="000000"/>
          <w:sz w:val="24"/>
          <w:szCs w:val="24"/>
          <w:lang w:val="pt-PT"/>
        </w:rPr>
        <w:tab/>
      </w:r>
      <w:r w:rsidRPr="004E6265">
        <w:rPr>
          <w:rFonts w:ascii="Times New Roman" w:hAnsi="Times New Roman"/>
          <w:color w:val="000000"/>
          <w:sz w:val="24"/>
          <w:szCs w:val="24"/>
          <w:lang w:val="pt-PT"/>
        </w:rPr>
        <w:t>Como os mecanismos associados ao ganho de peso durante a vida são complexos e multifatoriais, apresentam forte relação com o</w:t>
      </w:r>
      <w:r w:rsidRPr="004E6265">
        <w:rPr>
          <w:rFonts w:ascii="Times New Roman" w:hAnsi="Times New Roman"/>
          <w:color w:val="000000"/>
          <w:sz w:val="24"/>
          <w:szCs w:val="24"/>
          <w:lang w:val="pt-BR"/>
        </w:rPr>
        <w:t xml:space="preserve"> estilo de vida e em última análise, ao fenótipo obeso</w:t>
      </w:r>
      <w:r w:rsidRPr="004E6265">
        <w:rPr>
          <w:rFonts w:ascii="Times New Roman" w:hAnsi="Times New Roman"/>
          <w:color w:val="000000"/>
          <w:sz w:val="24"/>
          <w:szCs w:val="24"/>
          <w:vertAlign w:val="superscript"/>
          <w:lang w:val="pt-BR"/>
        </w:rPr>
        <w:t>23</w:t>
      </w:r>
      <w:r w:rsidRPr="004E6265">
        <w:rPr>
          <w:rFonts w:ascii="Times New Roman" w:hAnsi="Times New Roman"/>
          <w:color w:val="000000"/>
          <w:sz w:val="24"/>
          <w:szCs w:val="24"/>
          <w:lang w:val="pt-BR"/>
        </w:rPr>
        <w:t xml:space="preserve">. Como o balanço calórico positivo ocorre pelo desequilíbrio entre a ingestão e gasto calórico realizado nas atividades cotidianas, encontra-se de modo geral, redução do gasto calórico na vida diária nos últimos 60 anos. Portanto, considerar que o aumento do tempo total em atividades físicas pode ser uma importante estratégia, não deve-se considerar que a redução da ingestão calórica seja suficiente nesse sentido, mas a combinação dos dois fatores </w:t>
      </w:r>
      <w:r w:rsidRPr="004E6265">
        <w:rPr>
          <w:rFonts w:ascii="Times New Roman" w:hAnsi="Times New Roman"/>
          <w:color w:val="000000"/>
          <w:sz w:val="24"/>
          <w:szCs w:val="24"/>
          <w:vertAlign w:val="superscript"/>
          <w:lang w:val="pt-BR"/>
        </w:rPr>
        <w:t>24</w:t>
      </w:r>
      <w:r w:rsidRPr="004E6265">
        <w:rPr>
          <w:rFonts w:ascii="Times New Roman" w:hAnsi="Times New Roman"/>
          <w:color w:val="000000"/>
          <w:sz w:val="24"/>
          <w:szCs w:val="24"/>
          <w:lang w:val="pt-BR"/>
        </w:rPr>
        <w:t>.</w:t>
      </w:r>
    </w:p>
    <w:p w:rsidR="006D3DF4" w:rsidRPr="004E6265" w:rsidRDefault="006D3DF4" w:rsidP="00071D00">
      <w:pPr>
        <w:spacing w:line="360" w:lineRule="auto"/>
        <w:contextualSpacing/>
        <w:jc w:val="both"/>
        <w:textAlignment w:val="top"/>
        <w:rPr>
          <w:rFonts w:ascii="Times New Roman" w:hAnsi="Times New Roman"/>
          <w:color w:val="000000"/>
          <w:sz w:val="24"/>
          <w:lang w:val="pt-PT"/>
        </w:rPr>
      </w:pPr>
      <w:r w:rsidRPr="004E6265">
        <w:rPr>
          <w:rFonts w:ascii="Times New Roman" w:hAnsi="Times New Roman"/>
          <w:color w:val="000000"/>
          <w:sz w:val="24"/>
          <w:szCs w:val="24"/>
          <w:lang w:val="pt-BR"/>
        </w:rPr>
        <w:tab/>
      </w:r>
      <w:r w:rsidRPr="004E6265">
        <w:rPr>
          <w:rFonts w:ascii="Times New Roman" w:hAnsi="Times New Roman"/>
          <w:color w:val="000000"/>
          <w:sz w:val="24"/>
          <w:lang w:val="pt-PT"/>
        </w:rPr>
        <w:t xml:space="preserve">Luychx </w:t>
      </w:r>
      <w:r w:rsidRPr="004E6265">
        <w:rPr>
          <w:rFonts w:ascii="Times New Roman" w:hAnsi="Times New Roman"/>
          <w:i/>
          <w:color w:val="000000"/>
          <w:sz w:val="24"/>
          <w:lang w:val="pt-PT"/>
        </w:rPr>
        <w:t>et al</w:t>
      </w:r>
      <w:r w:rsidRPr="004E6265">
        <w:rPr>
          <w:rFonts w:ascii="Times New Roman" w:hAnsi="Times New Roman"/>
          <w:color w:val="000000"/>
          <w:sz w:val="24"/>
          <w:lang w:val="pt-PT"/>
        </w:rPr>
        <w:t xml:space="preserve"> </w:t>
      </w:r>
      <w:r w:rsidRPr="004E6265">
        <w:rPr>
          <w:rFonts w:ascii="Times New Roman" w:hAnsi="Times New Roman"/>
          <w:color w:val="000000"/>
          <w:sz w:val="24"/>
          <w:vertAlign w:val="superscript"/>
          <w:lang w:val="pt-PT"/>
        </w:rPr>
        <w:t>25</w:t>
      </w:r>
      <w:r w:rsidRPr="004E6265">
        <w:rPr>
          <w:rFonts w:ascii="Times New Roman" w:hAnsi="Times New Roman"/>
          <w:color w:val="000000"/>
          <w:sz w:val="24"/>
          <w:lang w:val="pt-PT"/>
        </w:rPr>
        <w:t xml:space="preserve"> compararam o resultado de 69 biópsias hepáticas de adultos obesos</w:t>
      </w:r>
      <w:r w:rsidRPr="004E6265">
        <w:rPr>
          <w:rFonts w:ascii="Times New Roman" w:hAnsi="Times New Roman"/>
          <w:color w:val="000000"/>
          <w:sz w:val="24"/>
          <w:szCs w:val="24"/>
          <w:lang w:val="pt-PT"/>
        </w:rPr>
        <w:t>, em que 83% apresentavam diagnóstico positivo de EH, e foram</w:t>
      </w:r>
      <w:r w:rsidRPr="004E6265">
        <w:rPr>
          <w:rFonts w:ascii="Times New Roman" w:hAnsi="Times New Roman"/>
          <w:color w:val="000000"/>
          <w:sz w:val="24"/>
          <w:lang w:val="pt-PT"/>
        </w:rPr>
        <w:t xml:space="preserve"> submetidos a </w:t>
      </w:r>
      <w:r w:rsidRPr="004E6265">
        <w:rPr>
          <w:rFonts w:ascii="Times New Roman" w:hAnsi="Times New Roman"/>
          <w:color w:val="000000"/>
          <w:sz w:val="24"/>
          <w:szCs w:val="24"/>
          <w:lang w:val="pt-PT"/>
        </w:rPr>
        <w:t>uma</w:t>
      </w:r>
      <w:r w:rsidRPr="004E6265">
        <w:rPr>
          <w:rFonts w:ascii="Times New Roman" w:hAnsi="Times New Roman"/>
          <w:color w:val="000000"/>
          <w:sz w:val="24"/>
          <w:lang w:val="pt-PT"/>
        </w:rPr>
        <w:t xml:space="preserve"> restrição calórica. Os resultados demonstraram redução média de 32 kg no peso corporal e melhora histopatológica, reduzindo o diagnóstico positivo de 83% no início do tratamento, para 38% após a redução do peso corporal. Entretanto, foi observado aumento dos sinais histopatológicos inflamatórios de hepatite de 14% para 26% após a dieta hipocalórica, sugerindo que a rápida mobilização dos ácidos graxos das reservas intra e extra-hepáticas promovem resposta tóxica ao fígado. Portanto dietas rígidas e/ou </w:t>
      </w:r>
      <w:r w:rsidRPr="004E6265">
        <w:rPr>
          <w:rFonts w:ascii="Times New Roman" w:hAnsi="Times New Roman"/>
          <w:color w:val="000000"/>
          <w:sz w:val="24"/>
          <w:szCs w:val="24"/>
          <w:lang w:val="pt-PT"/>
        </w:rPr>
        <w:t xml:space="preserve">a </w:t>
      </w:r>
      <w:r w:rsidRPr="004E6265">
        <w:rPr>
          <w:rFonts w:ascii="Times New Roman" w:hAnsi="Times New Roman"/>
          <w:color w:val="000000"/>
          <w:sz w:val="24"/>
          <w:lang w:val="pt-PT"/>
        </w:rPr>
        <w:t>intensa privação calórica devem ser evitadas, pois resultam  no aumento do fluxo de gorduras corpóreas para o fígado levando</w:t>
      </w:r>
      <w:r w:rsidRPr="004E6265">
        <w:rPr>
          <w:rFonts w:ascii="Times New Roman" w:hAnsi="Times New Roman"/>
          <w:color w:val="000000"/>
          <w:sz w:val="24"/>
          <w:szCs w:val="24"/>
          <w:lang w:val="pt-PT"/>
        </w:rPr>
        <w:t>-o</w:t>
      </w:r>
      <w:r w:rsidRPr="004E6265">
        <w:rPr>
          <w:rFonts w:ascii="Times New Roman" w:hAnsi="Times New Roman"/>
          <w:color w:val="000000"/>
          <w:sz w:val="24"/>
          <w:lang w:val="pt-PT"/>
        </w:rPr>
        <w:t xml:space="preserve"> a EH. </w:t>
      </w:r>
    </w:p>
    <w:p w:rsidR="006D3DF4" w:rsidRPr="004E6265" w:rsidRDefault="006D3DF4" w:rsidP="00071D00">
      <w:pPr>
        <w:spacing w:line="360" w:lineRule="auto"/>
        <w:contextualSpacing/>
        <w:jc w:val="both"/>
        <w:textAlignment w:val="top"/>
        <w:rPr>
          <w:rFonts w:ascii="Times New Roman" w:hAnsi="Times New Roman"/>
          <w:color w:val="000000"/>
          <w:sz w:val="24"/>
          <w:lang w:val="pt-PT"/>
        </w:rPr>
      </w:pPr>
      <w:r w:rsidRPr="004E6265">
        <w:rPr>
          <w:rFonts w:ascii="Times New Roman" w:hAnsi="Times New Roman"/>
          <w:color w:val="000000"/>
          <w:sz w:val="24"/>
          <w:lang w:val="pt-PT"/>
        </w:rPr>
        <w:tab/>
      </w:r>
      <w:r w:rsidRPr="004E6265">
        <w:rPr>
          <w:rFonts w:ascii="Times New Roman" w:hAnsi="Times New Roman"/>
          <w:color w:val="000000"/>
          <w:sz w:val="24"/>
          <w:szCs w:val="24"/>
          <w:lang w:val="pt-PT"/>
        </w:rPr>
        <w:t>No estudo</w:t>
      </w:r>
      <w:r w:rsidRPr="004E6265">
        <w:rPr>
          <w:rFonts w:ascii="Times New Roman" w:hAnsi="Times New Roman"/>
          <w:color w:val="000000"/>
          <w:sz w:val="24"/>
          <w:lang w:val="pt-PT"/>
        </w:rPr>
        <w:t xml:space="preserve"> de Nobili </w:t>
      </w:r>
      <w:r w:rsidRPr="004E6265">
        <w:rPr>
          <w:rFonts w:ascii="Times New Roman" w:hAnsi="Times New Roman"/>
          <w:i/>
          <w:color w:val="000000"/>
          <w:sz w:val="24"/>
          <w:lang w:val="pt-PT"/>
        </w:rPr>
        <w:t>et al</w:t>
      </w:r>
      <w:r w:rsidRPr="004E6265">
        <w:rPr>
          <w:rFonts w:ascii="Times New Roman" w:hAnsi="Times New Roman"/>
          <w:color w:val="000000"/>
          <w:sz w:val="24"/>
          <w:vertAlign w:val="superscript"/>
          <w:lang w:val="pt-PT"/>
        </w:rPr>
        <w:t xml:space="preserve"> 26  </w:t>
      </w:r>
      <w:r w:rsidRPr="004E6265">
        <w:rPr>
          <w:rFonts w:ascii="Times New Roman" w:hAnsi="Times New Roman"/>
          <w:color w:val="000000"/>
          <w:sz w:val="24"/>
          <w:szCs w:val="24"/>
          <w:lang w:val="pt-PT"/>
        </w:rPr>
        <w:t>foi realizado</w:t>
      </w:r>
      <w:r w:rsidRPr="004E6265">
        <w:rPr>
          <w:rFonts w:ascii="Times New Roman" w:hAnsi="Times New Roman"/>
          <w:color w:val="000000"/>
          <w:sz w:val="24"/>
          <w:lang w:val="pt-PT"/>
        </w:rPr>
        <w:t xml:space="preserve"> um programa de adequação alimentar com indivíduos jovens </w:t>
      </w:r>
      <w:r w:rsidRPr="004E6265">
        <w:rPr>
          <w:rFonts w:ascii="Times New Roman" w:hAnsi="Times New Roman"/>
          <w:color w:val="000000"/>
          <w:sz w:val="24"/>
          <w:szCs w:val="24"/>
          <w:lang w:val="pt-PT"/>
        </w:rPr>
        <w:t>com DHGNA, e foi encontrado</w:t>
      </w:r>
      <w:r w:rsidRPr="004E6265">
        <w:rPr>
          <w:rFonts w:ascii="Times New Roman" w:hAnsi="Times New Roman"/>
          <w:color w:val="000000"/>
          <w:sz w:val="24"/>
          <w:lang w:val="pt-PT"/>
        </w:rPr>
        <w:t xml:space="preserve"> após a intervenção nutricional redução na gravidade da DHGNA. Embora o controle e redução do peso sejam reconhecidamente associados ao decréscimo da prevalência do diabetes do tipo 2 e da dislipidemia, tem sido observado uma relação positiva com o menor grau de desenvolvimento da </w:t>
      </w:r>
      <w:r w:rsidRPr="004E6265">
        <w:rPr>
          <w:rFonts w:ascii="Times New Roman" w:hAnsi="Times New Roman"/>
          <w:color w:val="000000"/>
          <w:sz w:val="24"/>
          <w:szCs w:val="24"/>
          <w:lang w:val="pt-PT"/>
        </w:rPr>
        <w:t>EH</w:t>
      </w:r>
      <w:r w:rsidRPr="004E6265">
        <w:rPr>
          <w:rFonts w:ascii="Times New Roman" w:hAnsi="Times New Roman"/>
          <w:color w:val="000000"/>
          <w:sz w:val="24"/>
          <w:lang w:val="pt-PT"/>
        </w:rPr>
        <w:t xml:space="preserve">, pois há associação  entre a melhora da sensibilidade à insulina e a prevenção de lesões hepáticas </w:t>
      </w:r>
      <w:r w:rsidRPr="004E6265">
        <w:rPr>
          <w:rFonts w:ascii="Times New Roman" w:hAnsi="Times New Roman"/>
          <w:color w:val="000000"/>
          <w:sz w:val="24"/>
          <w:vertAlign w:val="superscript"/>
          <w:lang w:val="pt-PT"/>
        </w:rPr>
        <w:t>26,27</w:t>
      </w:r>
      <w:r w:rsidRPr="004E6265">
        <w:rPr>
          <w:rFonts w:ascii="Times New Roman" w:hAnsi="Times New Roman"/>
          <w:color w:val="000000"/>
          <w:sz w:val="24"/>
          <w:lang w:val="pt-PT"/>
        </w:rPr>
        <w:t>.</w:t>
      </w:r>
    </w:p>
    <w:p w:rsidR="006D3DF4" w:rsidRPr="004E6265" w:rsidRDefault="006D3DF4" w:rsidP="00071D00">
      <w:pPr>
        <w:spacing w:line="360" w:lineRule="auto"/>
        <w:contextualSpacing/>
        <w:jc w:val="both"/>
        <w:textAlignment w:val="top"/>
        <w:rPr>
          <w:rFonts w:ascii="Times New Roman" w:hAnsi="Times New Roman"/>
          <w:color w:val="000000"/>
          <w:sz w:val="24"/>
          <w:vertAlign w:val="superscript"/>
          <w:lang w:val="pt-PT"/>
        </w:rPr>
      </w:pPr>
      <w:r w:rsidRPr="004E6265">
        <w:rPr>
          <w:rFonts w:ascii="Times New Roman" w:hAnsi="Times New Roman"/>
          <w:color w:val="000000"/>
          <w:sz w:val="24"/>
          <w:szCs w:val="24"/>
          <w:lang w:val="pt-PT"/>
        </w:rPr>
        <w:tab/>
        <w:t xml:space="preserve">Assim, encontramos que a maioria dos estudos </w:t>
      </w:r>
      <w:r w:rsidRPr="004E6265">
        <w:rPr>
          <w:rFonts w:ascii="Times New Roman" w:hAnsi="Times New Roman"/>
          <w:color w:val="000000"/>
          <w:sz w:val="24"/>
          <w:szCs w:val="24"/>
          <w:vertAlign w:val="superscript"/>
          <w:lang w:val="pt-PT"/>
        </w:rPr>
        <w:t xml:space="preserve"> 15,27,28</w:t>
      </w:r>
      <w:r w:rsidRPr="004E6265">
        <w:rPr>
          <w:rFonts w:ascii="Times New Roman" w:hAnsi="Times New Roman"/>
          <w:color w:val="000000"/>
          <w:sz w:val="24"/>
          <w:szCs w:val="24"/>
          <w:lang w:val="pt-PT"/>
        </w:rPr>
        <w:t xml:space="preserve"> mostraram que a redução da EH depende da redução gradual do peso. Contudo, recomenda-se que a redução gradual do peso não exceda 1,6 kg por semana, considerando ingerir mais frutas, vegetais e legumes, como forma de manutenção qualitativa da dieta. Outro fator que colabora no controle de peso corporal é</w:t>
      </w:r>
      <w:r w:rsidRPr="004E6265">
        <w:rPr>
          <w:rFonts w:ascii="Times New Roman" w:hAnsi="Times New Roman"/>
          <w:color w:val="000000"/>
          <w:sz w:val="24"/>
          <w:lang w:val="pt-PT"/>
        </w:rPr>
        <w:t xml:space="preserve"> a prática regular de atividade física</w:t>
      </w:r>
      <w:r w:rsidRPr="004E6265">
        <w:rPr>
          <w:rFonts w:ascii="Times New Roman" w:hAnsi="Times New Roman"/>
          <w:color w:val="000000"/>
          <w:sz w:val="24"/>
          <w:szCs w:val="24"/>
          <w:lang w:val="pt-PT"/>
        </w:rPr>
        <w:t>,</w:t>
      </w:r>
      <w:r w:rsidRPr="004E6265">
        <w:rPr>
          <w:rFonts w:ascii="Times New Roman" w:hAnsi="Times New Roman"/>
          <w:color w:val="000000"/>
          <w:sz w:val="24"/>
          <w:lang w:val="pt-PT"/>
        </w:rPr>
        <w:t xml:space="preserve"> que </w:t>
      </w:r>
      <w:r w:rsidRPr="004E6265">
        <w:rPr>
          <w:rFonts w:ascii="Times New Roman" w:hAnsi="Times New Roman"/>
          <w:color w:val="000000"/>
          <w:sz w:val="24"/>
          <w:szCs w:val="24"/>
          <w:lang w:val="pt-PT"/>
        </w:rPr>
        <w:t xml:space="preserve">para manutenção de saúde </w:t>
      </w:r>
      <w:r w:rsidRPr="004E6265">
        <w:rPr>
          <w:rFonts w:ascii="Times New Roman" w:hAnsi="Times New Roman"/>
          <w:color w:val="000000"/>
          <w:sz w:val="24"/>
          <w:lang w:val="pt-PT"/>
        </w:rPr>
        <w:t xml:space="preserve">os indivíduos </w:t>
      </w:r>
      <w:r w:rsidRPr="004E6265">
        <w:rPr>
          <w:rFonts w:ascii="Times New Roman" w:hAnsi="Times New Roman"/>
          <w:color w:val="000000"/>
          <w:sz w:val="24"/>
          <w:szCs w:val="24"/>
          <w:lang w:val="pt-PT"/>
        </w:rPr>
        <w:t>devem</w:t>
      </w:r>
      <w:r w:rsidRPr="004E6265">
        <w:rPr>
          <w:rFonts w:ascii="Times New Roman" w:hAnsi="Times New Roman"/>
          <w:color w:val="000000"/>
          <w:sz w:val="24"/>
          <w:lang w:val="pt-PT"/>
        </w:rPr>
        <w:t xml:space="preserve"> realizar pelo menos 30 minutos de atividades físicas em intensidades moderada a vigorosa, na maioria dos dias da semana </w:t>
      </w:r>
      <w:r w:rsidRPr="004E6265">
        <w:rPr>
          <w:rFonts w:ascii="Times New Roman" w:hAnsi="Times New Roman"/>
          <w:color w:val="000000"/>
          <w:sz w:val="24"/>
          <w:vertAlign w:val="superscript"/>
          <w:lang w:val="pt-PT"/>
        </w:rPr>
        <w:t>28</w:t>
      </w:r>
      <w:r w:rsidRPr="004E6265">
        <w:rPr>
          <w:rFonts w:ascii="Times New Roman" w:hAnsi="Times New Roman"/>
          <w:color w:val="000000"/>
          <w:sz w:val="24"/>
          <w:lang w:val="pt-PT"/>
        </w:rPr>
        <w:t>.</w:t>
      </w:r>
    </w:p>
    <w:p w:rsidR="006D3DF4" w:rsidRPr="004E6265" w:rsidRDefault="006D3DF4" w:rsidP="00071D00">
      <w:pPr>
        <w:spacing w:line="360" w:lineRule="auto"/>
        <w:contextualSpacing/>
        <w:jc w:val="both"/>
        <w:textAlignment w:val="top"/>
        <w:rPr>
          <w:rFonts w:ascii="Times New Roman" w:hAnsi="Times New Roman"/>
          <w:color w:val="000000"/>
          <w:sz w:val="24"/>
          <w:szCs w:val="24"/>
          <w:lang w:val="pt-PT"/>
        </w:rPr>
      </w:pPr>
    </w:p>
    <w:p w:rsidR="006D3DF4" w:rsidRPr="004E6265" w:rsidRDefault="006D3DF4" w:rsidP="00071D00">
      <w:pPr>
        <w:spacing w:line="360" w:lineRule="auto"/>
        <w:contextualSpacing/>
        <w:jc w:val="both"/>
        <w:textAlignment w:val="top"/>
        <w:rPr>
          <w:rFonts w:ascii="Times New Roman" w:hAnsi="Times New Roman"/>
          <w:b/>
          <w:color w:val="000000"/>
          <w:sz w:val="24"/>
          <w:szCs w:val="24"/>
          <w:lang w:val="pt-PT"/>
        </w:rPr>
      </w:pPr>
      <w:r w:rsidRPr="004E6265">
        <w:rPr>
          <w:rFonts w:ascii="Times New Roman" w:hAnsi="Times New Roman"/>
          <w:b/>
          <w:color w:val="000000"/>
          <w:sz w:val="24"/>
          <w:szCs w:val="24"/>
          <w:lang w:val="pt-PT"/>
        </w:rPr>
        <w:t xml:space="preserve">Esteatose Hepática e Nível de Atividade Física </w:t>
      </w:r>
    </w:p>
    <w:p w:rsidR="006D3DF4" w:rsidRPr="004E6265" w:rsidRDefault="006D3DF4" w:rsidP="00071D00">
      <w:pPr>
        <w:spacing w:line="360" w:lineRule="auto"/>
        <w:contextualSpacing/>
        <w:jc w:val="both"/>
        <w:textAlignment w:val="top"/>
        <w:rPr>
          <w:rFonts w:ascii="Times New Roman" w:hAnsi="Times New Roman"/>
          <w:color w:val="000000"/>
          <w:sz w:val="24"/>
          <w:szCs w:val="24"/>
          <w:lang w:val="pt-BR"/>
        </w:rPr>
      </w:pPr>
      <w:r w:rsidRPr="004E6265">
        <w:rPr>
          <w:rFonts w:ascii="Times New Roman" w:hAnsi="Times New Roman"/>
          <w:color w:val="000000"/>
          <w:sz w:val="24"/>
          <w:szCs w:val="24"/>
          <w:lang w:val="pt-PT"/>
        </w:rPr>
        <w:tab/>
        <w:t>O</w:t>
      </w:r>
      <w:r w:rsidRPr="004E6265">
        <w:rPr>
          <w:rFonts w:ascii="Times New Roman" w:hAnsi="Times New Roman"/>
          <w:color w:val="000000"/>
          <w:sz w:val="24"/>
          <w:szCs w:val="24"/>
          <w:lang w:val="pt-BR"/>
        </w:rPr>
        <w:t xml:space="preserve"> fenômeno da urbanização promoveu mudanças significativas no modo e no estilo de vida dos adolescentes e adultos.  Dentre elas as diversas mudanças no estilo de vida, as dinâmicas do trabalho, forma de locomoção, estrutura familiar, tipo e espaço na moradia, facilidade na aquisição de alimentos e novas formas de lazer são encontradas</w:t>
      </w:r>
      <w:r w:rsidRPr="004E6265">
        <w:rPr>
          <w:rFonts w:ascii="Times New Roman" w:hAnsi="Times New Roman"/>
          <w:color w:val="000000"/>
          <w:sz w:val="24"/>
          <w:szCs w:val="24"/>
          <w:vertAlign w:val="superscript"/>
          <w:lang w:val="pt-BR"/>
        </w:rPr>
        <w:t>3</w:t>
      </w:r>
      <w:r w:rsidRPr="004E6265">
        <w:rPr>
          <w:rFonts w:ascii="Times New Roman" w:hAnsi="Times New Roman"/>
          <w:color w:val="000000"/>
          <w:sz w:val="24"/>
          <w:szCs w:val="24"/>
          <w:lang w:val="pt-BR"/>
        </w:rPr>
        <w:t>. Com o fator associado à urbanização e a industrialização, houve  redução no nível de atividade física da vida diária, especialmente relacionado ao tipo de locomoção, aumentando o número de pessoas insuficientemente ativas. Assim como, o tabagismo e a alimentação pouco saudável contribuíram com o desenvolvimento das doenças cardiovasculares</w:t>
      </w:r>
      <w:r w:rsidRPr="004E6265">
        <w:rPr>
          <w:rFonts w:ascii="Times New Roman" w:hAnsi="Times New Roman"/>
          <w:color w:val="000000"/>
          <w:sz w:val="24"/>
          <w:szCs w:val="24"/>
          <w:vertAlign w:val="superscript"/>
          <w:lang w:val="pt-BR"/>
        </w:rPr>
        <w:t>3</w:t>
      </w:r>
      <w:r w:rsidRPr="004E6265">
        <w:rPr>
          <w:rFonts w:ascii="Times New Roman" w:hAnsi="Times New Roman"/>
          <w:color w:val="000000"/>
          <w:sz w:val="24"/>
          <w:szCs w:val="24"/>
          <w:lang w:val="pt-BR"/>
        </w:rPr>
        <w:t>.</w:t>
      </w:r>
    </w:p>
    <w:p w:rsidR="006D3DF4" w:rsidRPr="004E6265" w:rsidRDefault="006D3DF4" w:rsidP="00071D00">
      <w:pPr>
        <w:spacing w:line="360" w:lineRule="auto"/>
        <w:contextualSpacing/>
        <w:jc w:val="both"/>
        <w:textAlignment w:val="top"/>
        <w:rPr>
          <w:rFonts w:ascii="Times New Roman" w:hAnsi="Times New Roman"/>
          <w:color w:val="000000"/>
          <w:sz w:val="24"/>
          <w:szCs w:val="24"/>
          <w:lang w:val="pt-BR"/>
        </w:rPr>
      </w:pPr>
      <w:r w:rsidRPr="004E6265">
        <w:rPr>
          <w:rFonts w:ascii="Times New Roman" w:hAnsi="Times New Roman"/>
          <w:color w:val="000000"/>
          <w:sz w:val="24"/>
          <w:szCs w:val="24"/>
          <w:lang w:val="pt-BR"/>
        </w:rPr>
        <w:tab/>
        <w:t>Nesse sentido, o nível insuficiente de atividade física atinge ao redor de 70% da população residente em grandes centros, sendo considerado fator determinante no aumento da prevalência das doenças crônicas não transmissíveis</w:t>
      </w:r>
      <w:r w:rsidRPr="004E6265">
        <w:rPr>
          <w:rFonts w:ascii="Times New Roman" w:hAnsi="Times New Roman"/>
          <w:color w:val="000000"/>
          <w:sz w:val="24"/>
          <w:szCs w:val="24"/>
          <w:vertAlign w:val="superscript"/>
          <w:lang w:val="pt-BR"/>
        </w:rPr>
        <w:t xml:space="preserve">29 </w:t>
      </w:r>
      <w:r w:rsidRPr="004E6265">
        <w:rPr>
          <w:rFonts w:ascii="Times New Roman" w:hAnsi="Times New Roman"/>
          <w:color w:val="000000"/>
          <w:sz w:val="24"/>
          <w:szCs w:val="24"/>
          <w:lang w:val="pt-BR"/>
        </w:rPr>
        <w:t>como o diabetes tipo 2, hipertensão, dislipidemias, esteatose hepática, certas formas de câncer, osteoporose, cálculo renal e biliar e disfunção erétil. Como a atividade física é considerada fator modulador na prevenção de doenças e promoção de saúde, recomenda-se que todos os indivíduos acumulem pelo menos 30 minutos de atividades físicas moderadas- vigorosas, na maioria dos dias da semana</w:t>
      </w:r>
      <w:r w:rsidRPr="004E6265">
        <w:rPr>
          <w:rFonts w:ascii="Times New Roman" w:hAnsi="Times New Roman"/>
          <w:color w:val="000000"/>
          <w:sz w:val="24"/>
          <w:szCs w:val="24"/>
          <w:vertAlign w:val="superscript"/>
          <w:lang w:val="pt-BR"/>
        </w:rPr>
        <w:t>28</w:t>
      </w:r>
      <w:r w:rsidRPr="004E6265">
        <w:rPr>
          <w:rFonts w:ascii="Times New Roman" w:hAnsi="Times New Roman"/>
          <w:color w:val="000000"/>
          <w:sz w:val="24"/>
          <w:szCs w:val="24"/>
          <w:lang w:val="pt-BR"/>
        </w:rPr>
        <w:t xml:space="preserve">.  </w:t>
      </w:r>
    </w:p>
    <w:p w:rsidR="006D3DF4" w:rsidRPr="004E6265" w:rsidRDefault="006D3DF4" w:rsidP="00071D00">
      <w:pPr>
        <w:spacing w:line="360" w:lineRule="auto"/>
        <w:contextualSpacing/>
        <w:jc w:val="both"/>
        <w:textAlignment w:val="top"/>
        <w:rPr>
          <w:rFonts w:ascii="Times New Roman" w:hAnsi="Times New Roman"/>
          <w:color w:val="000000"/>
          <w:sz w:val="24"/>
          <w:szCs w:val="24"/>
          <w:lang w:val="pt-BR"/>
        </w:rPr>
      </w:pPr>
      <w:r w:rsidRPr="004E6265">
        <w:rPr>
          <w:rFonts w:ascii="Times New Roman" w:hAnsi="Times New Roman"/>
          <w:color w:val="000000"/>
          <w:sz w:val="24"/>
          <w:szCs w:val="24"/>
          <w:lang w:val="pt-BR"/>
        </w:rPr>
        <w:tab/>
        <w:t>Portanto, aumentar o nível de atividade física através das atividades da vida diária e pelo envolvimento em programas de exercícios são comportamentos desejáveis na prevenção de doenças crônicas</w:t>
      </w:r>
      <w:r w:rsidRPr="004E6265">
        <w:rPr>
          <w:rFonts w:ascii="Times New Roman" w:hAnsi="Times New Roman"/>
          <w:color w:val="000000"/>
          <w:sz w:val="24"/>
          <w:szCs w:val="24"/>
          <w:vertAlign w:val="superscript"/>
          <w:lang w:val="pt-BR"/>
        </w:rPr>
        <w:t>3</w:t>
      </w:r>
      <w:r w:rsidRPr="004E6265">
        <w:rPr>
          <w:rFonts w:ascii="Times New Roman" w:hAnsi="Times New Roman"/>
          <w:color w:val="000000"/>
          <w:sz w:val="24"/>
          <w:szCs w:val="24"/>
          <w:lang w:val="pt-BR"/>
        </w:rPr>
        <w:t xml:space="preserve">. O Centro de Controle e Prevenção de Doenças e o Colégio Americano de Medicina Esportiva  publicaram em 1995 </w:t>
      </w:r>
      <w:r w:rsidRPr="004E6265">
        <w:rPr>
          <w:rFonts w:ascii="Times New Roman" w:hAnsi="Times New Roman"/>
          <w:color w:val="000000"/>
          <w:sz w:val="24"/>
          <w:szCs w:val="24"/>
          <w:vertAlign w:val="superscript"/>
          <w:lang w:val="pt-BR"/>
        </w:rPr>
        <w:t>29</w:t>
      </w:r>
      <w:r w:rsidRPr="004E6265">
        <w:rPr>
          <w:rFonts w:ascii="Times New Roman" w:hAnsi="Times New Roman"/>
          <w:color w:val="000000"/>
          <w:sz w:val="24"/>
          <w:szCs w:val="24"/>
          <w:lang w:val="pt-BR"/>
        </w:rPr>
        <w:t xml:space="preserve"> as primeiras recomendações sugerindo que prática de atividade física seria um importante componente de saúde pública. No ano seguinte, publicou-se o Physical Activity and Health: The Surgeon General Report, recebendo a atualização em 2007 </w:t>
      </w:r>
      <w:r w:rsidRPr="004E6265">
        <w:rPr>
          <w:rFonts w:ascii="Times New Roman" w:hAnsi="Times New Roman"/>
          <w:color w:val="000000"/>
          <w:sz w:val="24"/>
          <w:szCs w:val="24"/>
          <w:vertAlign w:val="superscript"/>
          <w:lang w:val="pt-BR"/>
        </w:rPr>
        <w:t>28</w:t>
      </w:r>
      <w:r w:rsidRPr="004E6265">
        <w:rPr>
          <w:rFonts w:ascii="Times New Roman" w:hAnsi="Times New Roman"/>
          <w:color w:val="000000"/>
          <w:sz w:val="24"/>
          <w:szCs w:val="24"/>
          <w:lang w:val="pt-BR"/>
        </w:rPr>
        <w:t xml:space="preserve"> apontando que para a manutenção das condições de saúde, todos os adultos devem acumular pelo menos 150 minutos semanais de atividades físicas nas intensidades moderada a vigorosa, considerando as tarefas em casa, exercícios e locomoção fisicamente ativa.  Entretanto, sabe-se que o número de pessoas fisicamente inativas tem se mantido constante no Brasil nos últimos 5 anos, através dos dados do Ministério da Saúde (2011)</w:t>
      </w:r>
      <w:r w:rsidRPr="004E6265">
        <w:rPr>
          <w:rFonts w:ascii="Times New Roman" w:hAnsi="Times New Roman"/>
          <w:color w:val="000000"/>
          <w:sz w:val="24"/>
          <w:szCs w:val="24"/>
          <w:vertAlign w:val="superscript"/>
          <w:lang w:val="pt-BR"/>
        </w:rPr>
        <w:t>30</w:t>
      </w:r>
      <w:r w:rsidRPr="004E6265">
        <w:rPr>
          <w:rFonts w:ascii="Times New Roman" w:hAnsi="Times New Roman"/>
          <w:color w:val="000000"/>
          <w:sz w:val="24"/>
          <w:szCs w:val="24"/>
          <w:lang w:val="pt-BR"/>
        </w:rPr>
        <w:t>.</w:t>
      </w:r>
    </w:p>
    <w:p w:rsidR="006D3DF4" w:rsidRPr="004E6265" w:rsidRDefault="006D3DF4" w:rsidP="00071D00">
      <w:pPr>
        <w:spacing w:line="360" w:lineRule="auto"/>
        <w:contextualSpacing/>
        <w:jc w:val="both"/>
        <w:textAlignment w:val="top"/>
        <w:rPr>
          <w:rFonts w:ascii="Times New Roman" w:hAnsi="Times New Roman"/>
          <w:color w:val="000000"/>
          <w:sz w:val="24"/>
          <w:lang w:val="pt-BR"/>
        </w:rPr>
      </w:pPr>
      <w:r w:rsidRPr="004E6265">
        <w:rPr>
          <w:rFonts w:ascii="Times New Roman" w:hAnsi="Times New Roman"/>
          <w:color w:val="000000"/>
          <w:sz w:val="24"/>
          <w:szCs w:val="24"/>
          <w:lang w:val="pt-BR"/>
        </w:rPr>
        <w:tab/>
        <w:t xml:space="preserve"> O</w:t>
      </w:r>
      <w:r w:rsidRPr="004E6265">
        <w:rPr>
          <w:rFonts w:ascii="Times New Roman" w:hAnsi="Times New Roman"/>
          <w:color w:val="000000"/>
          <w:sz w:val="24"/>
          <w:lang w:val="pt-BR"/>
        </w:rPr>
        <w:t xml:space="preserve"> estilo de vida fisicamente inativo é um comportamento de risco com forte associação </w:t>
      </w:r>
      <w:r w:rsidRPr="004E6265">
        <w:rPr>
          <w:rFonts w:ascii="Times New Roman" w:hAnsi="Times New Roman"/>
          <w:color w:val="000000"/>
          <w:sz w:val="24"/>
          <w:szCs w:val="24"/>
          <w:lang w:val="pt-BR"/>
        </w:rPr>
        <w:t>com</w:t>
      </w:r>
      <w:r w:rsidRPr="004E6265">
        <w:rPr>
          <w:rFonts w:ascii="Times New Roman" w:hAnsi="Times New Roman"/>
          <w:color w:val="000000"/>
          <w:sz w:val="24"/>
          <w:lang w:val="pt-BR"/>
        </w:rPr>
        <w:t xml:space="preserve"> alimentação pouco saudável, tipo de trabalho, opções de lazer e forma de locomoção.</w:t>
      </w:r>
      <w:r w:rsidRPr="004E6265">
        <w:rPr>
          <w:rFonts w:ascii="Times New Roman" w:hAnsi="Times New Roman"/>
          <w:color w:val="000000"/>
          <w:sz w:val="24"/>
          <w:szCs w:val="24"/>
          <w:lang w:val="pt-BR"/>
        </w:rPr>
        <w:t xml:space="preserve"> Tais fatores levam a uma</w:t>
      </w:r>
      <w:r w:rsidRPr="004E6265">
        <w:rPr>
          <w:rFonts w:ascii="Times New Roman" w:hAnsi="Times New Roman"/>
          <w:color w:val="000000"/>
          <w:sz w:val="24"/>
          <w:lang w:val="pt-BR"/>
        </w:rPr>
        <w:t xml:space="preserve"> redução na demanda fisiológica ocupacional, que em geral apresenta baixo gasto energético em função das possibilidades tecnológicas que envolvem as tarefas no local de trabalho</w:t>
      </w:r>
      <w:r w:rsidRPr="004E6265">
        <w:rPr>
          <w:rFonts w:ascii="Times New Roman" w:hAnsi="Times New Roman"/>
          <w:color w:val="000000"/>
          <w:sz w:val="24"/>
          <w:vertAlign w:val="superscript"/>
          <w:lang w:val="pt-BR"/>
        </w:rPr>
        <w:t xml:space="preserve"> 3</w:t>
      </w:r>
      <w:r w:rsidRPr="004E6265">
        <w:rPr>
          <w:rFonts w:ascii="Times New Roman" w:hAnsi="Times New Roman"/>
          <w:color w:val="000000"/>
          <w:sz w:val="24"/>
          <w:lang w:val="pt-BR"/>
        </w:rPr>
        <w:t xml:space="preserve">. </w:t>
      </w:r>
      <w:r w:rsidRPr="004E6265">
        <w:rPr>
          <w:rFonts w:ascii="Times New Roman" w:hAnsi="Times New Roman"/>
          <w:color w:val="000000"/>
          <w:sz w:val="24"/>
          <w:szCs w:val="24"/>
          <w:lang w:val="pt-BR"/>
        </w:rPr>
        <w:t>Além da redução de gasto calórico com atividades físicas diárias</w:t>
      </w:r>
      <w:r w:rsidRPr="004E6265">
        <w:rPr>
          <w:rFonts w:ascii="Times New Roman" w:hAnsi="Times New Roman"/>
          <w:color w:val="000000"/>
          <w:sz w:val="24"/>
          <w:lang w:val="pt-BR"/>
        </w:rPr>
        <w:t xml:space="preserve">, há uma disponibilidade de alimentos com alto valor calórico e em porções maiores, </w:t>
      </w:r>
      <w:r w:rsidRPr="004E6265">
        <w:rPr>
          <w:rFonts w:ascii="Times New Roman" w:hAnsi="Times New Roman"/>
          <w:color w:val="000000"/>
          <w:sz w:val="24"/>
          <w:szCs w:val="24"/>
          <w:lang w:val="pt-BR"/>
        </w:rPr>
        <w:t>fatores</w:t>
      </w:r>
      <w:r w:rsidRPr="004E6265">
        <w:rPr>
          <w:rFonts w:ascii="Times New Roman" w:hAnsi="Times New Roman"/>
          <w:color w:val="000000"/>
          <w:sz w:val="24"/>
          <w:lang w:val="pt-BR"/>
        </w:rPr>
        <w:t xml:space="preserve"> que </w:t>
      </w:r>
      <w:r w:rsidRPr="004E6265">
        <w:rPr>
          <w:rFonts w:ascii="Times New Roman" w:hAnsi="Times New Roman"/>
          <w:color w:val="000000"/>
          <w:sz w:val="24"/>
          <w:szCs w:val="24"/>
          <w:lang w:val="pt-BR"/>
        </w:rPr>
        <w:t>associados, favorecem</w:t>
      </w:r>
      <w:r w:rsidRPr="004E6265">
        <w:rPr>
          <w:rFonts w:ascii="Times New Roman" w:hAnsi="Times New Roman"/>
          <w:color w:val="000000"/>
          <w:sz w:val="24"/>
          <w:lang w:val="pt-BR"/>
        </w:rPr>
        <w:t xml:space="preserve"> o aumento </w:t>
      </w:r>
      <w:r w:rsidRPr="004E6265">
        <w:rPr>
          <w:rFonts w:ascii="Times New Roman" w:hAnsi="Times New Roman"/>
          <w:color w:val="000000"/>
          <w:sz w:val="24"/>
          <w:szCs w:val="24"/>
          <w:lang w:val="pt-BR"/>
        </w:rPr>
        <w:t xml:space="preserve">de </w:t>
      </w:r>
      <w:r w:rsidRPr="004E6265">
        <w:rPr>
          <w:rFonts w:ascii="Times New Roman" w:hAnsi="Times New Roman"/>
          <w:color w:val="000000"/>
          <w:sz w:val="24"/>
          <w:lang w:val="pt-BR"/>
        </w:rPr>
        <w:t xml:space="preserve">peso </w:t>
      </w:r>
      <w:r w:rsidRPr="004E6265">
        <w:rPr>
          <w:rFonts w:ascii="Times New Roman" w:hAnsi="Times New Roman"/>
          <w:color w:val="000000"/>
          <w:sz w:val="24"/>
          <w:szCs w:val="24"/>
          <w:lang w:val="pt-BR"/>
        </w:rPr>
        <w:t xml:space="preserve">corporal </w:t>
      </w:r>
      <w:r w:rsidRPr="004E6265">
        <w:rPr>
          <w:rFonts w:ascii="Times New Roman" w:hAnsi="Times New Roman"/>
          <w:color w:val="000000"/>
          <w:sz w:val="24"/>
          <w:lang w:val="pt-BR"/>
        </w:rPr>
        <w:t xml:space="preserve">e </w:t>
      </w:r>
      <w:r w:rsidRPr="004E6265">
        <w:rPr>
          <w:rFonts w:ascii="Times New Roman" w:hAnsi="Times New Roman"/>
          <w:color w:val="000000"/>
          <w:sz w:val="24"/>
          <w:szCs w:val="24"/>
          <w:lang w:val="pt-BR"/>
        </w:rPr>
        <w:t xml:space="preserve">desenvolvimento de </w:t>
      </w:r>
      <w:r w:rsidRPr="004E6265">
        <w:rPr>
          <w:rFonts w:ascii="Times New Roman" w:hAnsi="Times New Roman"/>
          <w:color w:val="000000"/>
          <w:sz w:val="24"/>
          <w:lang w:val="pt-BR"/>
        </w:rPr>
        <w:t>doenças</w:t>
      </w:r>
      <w:r w:rsidRPr="004E6265">
        <w:rPr>
          <w:rFonts w:ascii="Times New Roman" w:hAnsi="Times New Roman"/>
          <w:color w:val="000000"/>
          <w:sz w:val="24"/>
          <w:szCs w:val="24"/>
          <w:lang w:val="pt-BR"/>
        </w:rPr>
        <w:t xml:space="preserve"> metabólicas e</w:t>
      </w:r>
      <w:r w:rsidRPr="004E6265">
        <w:rPr>
          <w:rFonts w:ascii="Times New Roman" w:hAnsi="Times New Roman"/>
          <w:color w:val="000000"/>
          <w:sz w:val="24"/>
          <w:lang w:val="pt-BR"/>
        </w:rPr>
        <w:t xml:space="preserve"> cardiovasculares </w:t>
      </w:r>
      <w:r w:rsidRPr="004E6265">
        <w:rPr>
          <w:rFonts w:ascii="Times New Roman" w:hAnsi="Times New Roman"/>
          <w:color w:val="000000"/>
          <w:sz w:val="24"/>
          <w:vertAlign w:val="superscript"/>
          <w:lang w:val="pt-BR"/>
        </w:rPr>
        <w:t>3</w:t>
      </w:r>
      <w:r w:rsidRPr="004E6265">
        <w:rPr>
          <w:rFonts w:ascii="Times New Roman" w:hAnsi="Times New Roman"/>
          <w:color w:val="000000"/>
          <w:sz w:val="24"/>
          <w:lang w:val="pt-PT"/>
        </w:rPr>
        <w:t xml:space="preserve">. </w:t>
      </w:r>
      <w:r w:rsidRPr="004E6265">
        <w:rPr>
          <w:rFonts w:ascii="Times New Roman" w:hAnsi="Times New Roman"/>
          <w:color w:val="000000"/>
          <w:sz w:val="24"/>
          <w:lang w:val="pt-BR"/>
        </w:rPr>
        <w:t xml:space="preserve">Deste modo, a alta prevalência da obesidade e do excesso de peso em diferentes populações </w:t>
      </w:r>
      <w:r w:rsidRPr="004E6265">
        <w:rPr>
          <w:rFonts w:ascii="Times New Roman" w:hAnsi="Times New Roman"/>
          <w:color w:val="000000"/>
          <w:sz w:val="24"/>
          <w:vertAlign w:val="superscript"/>
          <w:lang w:val="pt-BR"/>
        </w:rPr>
        <w:t>31,32</w:t>
      </w:r>
      <w:r w:rsidRPr="004E6265">
        <w:rPr>
          <w:rFonts w:ascii="Times New Roman" w:hAnsi="Times New Roman"/>
          <w:color w:val="000000"/>
          <w:sz w:val="24"/>
          <w:lang w:val="pt-BR"/>
        </w:rPr>
        <w:t xml:space="preserve">, se associam a fatores ambientais </w:t>
      </w:r>
      <w:r w:rsidRPr="004E6265">
        <w:rPr>
          <w:rFonts w:ascii="Times New Roman" w:hAnsi="Times New Roman"/>
          <w:color w:val="000000"/>
          <w:sz w:val="24"/>
          <w:vertAlign w:val="superscript"/>
          <w:lang w:val="pt-BR"/>
        </w:rPr>
        <w:t>32</w:t>
      </w:r>
      <w:r w:rsidRPr="004E6265">
        <w:rPr>
          <w:rFonts w:ascii="Times New Roman" w:hAnsi="Times New Roman"/>
          <w:color w:val="000000"/>
          <w:sz w:val="24"/>
          <w:lang w:val="pt-BR"/>
        </w:rPr>
        <w:t xml:space="preserve">, hábitos nutricionais </w:t>
      </w:r>
      <w:r w:rsidRPr="004E6265">
        <w:rPr>
          <w:rFonts w:ascii="Times New Roman" w:hAnsi="Times New Roman"/>
          <w:color w:val="000000"/>
          <w:sz w:val="24"/>
          <w:vertAlign w:val="superscript"/>
          <w:lang w:val="pt-BR"/>
        </w:rPr>
        <w:t>33,34</w:t>
      </w:r>
      <w:r w:rsidRPr="004E6265">
        <w:rPr>
          <w:rFonts w:ascii="Times New Roman" w:hAnsi="Times New Roman"/>
          <w:color w:val="000000"/>
          <w:sz w:val="24"/>
          <w:lang w:val="pt-BR"/>
        </w:rPr>
        <w:t xml:space="preserve"> e alto nível de inatividade física </w:t>
      </w:r>
      <w:r w:rsidRPr="004E6265">
        <w:rPr>
          <w:rFonts w:ascii="Times New Roman" w:hAnsi="Times New Roman"/>
          <w:color w:val="000000"/>
          <w:sz w:val="24"/>
          <w:vertAlign w:val="superscript"/>
          <w:lang w:val="pt-BR"/>
        </w:rPr>
        <w:t>34,35</w:t>
      </w:r>
      <w:r w:rsidRPr="004E6265">
        <w:rPr>
          <w:rFonts w:ascii="Times New Roman" w:hAnsi="Times New Roman"/>
          <w:color w:val="000000"/>
          <w:sz w:val="24"/>
          <w:lang w:val="pt-BR"/>
        </w:rPr>
        <w:t>.</w:t>
      </w:r>
    </w:p>
    <w:p w:rsidR="006D3DF4" w:rsidRPr="004E6265" w:rsidRDefault="006D3DF4" w:rsidP="00071D00">
      <w:pPr>
        <w:spacing w:line="360" w:lineRule="auto"/>
        <w:contextualSpacing/>
        <w:jc w:val="both"/>
        <w:textAlignment w:val="top"/>
        <w:rPr>
          <w:rFonts w:ascii="Times New Roman" w:hAnsi="Times New Roman"/>
          <w:color w:val="000000"/>
          <w:sz w:val="24"/>
          <w:szCs w:val="24"/>
          <w:lang w:val="pt-BR"/>
        </w:rPr>
      </w:pPr>
      <w:r w:rsidRPr="004E6265">
        <w:rPr>
          <w:rFonts w:ascii="Times New Roman" w:hAnsi="Times New Roman"/>
          <w:color w:val="000000"/>
          <w:sz w:val="24"/>
          <w:szCs w:val="24"/>
          <w:lang w:val="pt-BR"/>
        </w:rPr>
        <w:tab/>
      </w:r>
      <w:r w:rsidRPr="004E6265">
        <w:rPr>
          <w:rFonts w:ascii="Times New Roman" w:hAnsi="Times New Roman"/>
          <w:color w:val="000000"/>
          <w:sz w:val="24"/>
          <w:szCs w:val="24"/>
          <w:lang w:val="pt-PT"/>
        </w:rPr>
        <w:t>Pessoas que apresentam peso acima de valores saudáveis, em geral possuem histórico de inatividade física e maior valor de triaglicerol (TAG) circulante, o que contribui com o aumento do risco de desenvolvimento da esteatose hepática</w:t>
      </w:r>
      <w:r w:rsidRPr="004E6265">
        <w:rPr>
          <w:rFonts w:ascii="Times New Roman" w:hAnsi="Times New Roman"/>
          <w:color w:val="000000"/>
          <w:sz w:val="24"/>
          <w:szCs w:val="24"/>
          <w:vertAlign w:val="superscript"/>
          <w:lang w:val="pt-PT"/>
        </w:rPr>
        <w:t>15</w:t>
      </w:r>
      <w:r w:rsidRPr="004E6265">
        <w:rPr>
          <w:rFonts w:ascii="Times New Roman" w:hAnsi="Times New Roman"/>
          <w:color w:val="000000"/>
          <w:sz w:val="24"/>
          <w:szCs w:val="24"/>
          <w:lang w:val="pt-PT"/>
        </w:rPr>
        <w:t xml:space="preserve">. </w:t>
      </w:r>
      <w:r w:rsidRPr="004E6265">
        <w:rPr>
          <w:rFonts w:ascii="Times New Roman" w:hAnsi="Times New Roman"/>
          <w:color w:val="000000"/>
          <w:sz w:val="24"/>
          <w:szCs w:val="24"/>
          <w:lang w:val="pt-BR"/>
        </w:rPr>
        <w:t xml:space="preserve">Portanto, </w:t>
      </w:r>
      <w:r w:rsidRPr="004E6265">
        <w:rPr>
          <w:rFonts w:ascii="Times New Roman" w:hAnsi="Times New Roman"/>
          <w:color w:val="000000"/>
          <w:sz w:val="24"/>
          <w:szCs w:val="24"/>
          <w:lang w:val="pt-PT"/>
        </w:rPr>
        <w:t xml:space="preserve">a prática regular de atividade fisica tem sido considerada como uma importante estratégia na prevenção de doenças metabólicas, neste caso a esteatose hepática, diabetes e dislipidemias.  </w:t>
      </w:r>
      <w:r w:rsidRPr="004E6265">
        <w:rPr>
          <w:rFonts w:ascii="Times New Roman" w:hAnsi="Times New Roman"/>
          <w:color w:val="000000"/>
          <w:sz w:val="24"/>
          <w:szCs w:val="24"/>
          <w:lang w:val="pt-BR"/>
        </w:rPr>
        <w:t xml:space="preserve">Uma das explicações relacionadas aos benefícios da atividade física em indivíduos com esteatose hepática refere-se ao efeito positivo no aumento da oxidação dos ácidos graxos pelo fígado em atividades aeróbicas em intensidades moderada/vigorosa </w:t>
      </w:r>
      <w:r w:rsidRPr="004E6265">
        <w:rPr>
          <w:rFonts w:ascii="Times New Roman" w:hAnsi="Times New Roman"/>
          <w:color w:val="000000"/>
          <w:sz w:val="24"/>
          <w:szCs w:val="24"/>
          <w:vertAlign w:val="superscript"/>
          <w:lang w:val="pt-BR"/>
        </w:rPr>
        <w:t>36</w:t>
      </w:r>
      <w:r w:rsidRPr="004E6265">
        <w:rPr>
          <w:rFonts w:ascii="Times New Roman" w:hAnsi="Times New Roman"/>
          <w:color w:val="000000"/>
          <w:sz w:val="24"/>
          <w:szCs w:val="24"/>
          <w:lang w:val="pt-BR"/>
        </w:rPr>
        <w:t xml:space="preserve">. Belmonte </w:t>
      </w:r>
      <w:r w:rsidRPr="004E6265">
        <w:rPr>
          <w:rFonts w:ascii="Times New Roman" w:hAnsi="Times New Roman"/>
          <w:i/>
          <w:color w:val="000000"/>
          <w:sz w:val="24"/>
          <w:szCs w:val="24"/>
          <w:lang w:val="pt-BR"/>
        </w:rPr>
        <w:t>et al</w:t>
      </w:r>
      <w:r w:rsidRPr="004E6265">
        <w:rPr>
          <w:rFonts w:ascii="Times New Roman" w:hAnsi="Times New Roman"/>
          <w:color w:val="000000"/>
          <w:sz w:val="24"/>
          <w:szCs w:val="24"/>
          <w:lang w:val="pt-BR"/>
        </w:rPr>
        <w:t xml:space="preserve"> </w:t>
      </w:r>
      <w:r w:rsidRPr="004E6265">
        <w:rPr>
          <w:rFonts w:ascii="Times New Roman" w:hAnsi="Times New Roman"/>
          <w:color w:val="000000"/>
          <w:sz w:val="24"/>
          <w:szCs w:val="24"/>
          <w:vertAlign w:val="superscript"/>
          <w:lang w:val="pt-PT"/>
        </w:rPr>
        <w:t xml:space="preserve">15 </w:t>
      </w:r>
      <w:r w:rsidRPr="004E6265">
        <w:rPr>
          <w:rFonts w:ascii="Times New Roman" w:hAnsi="Times New Roman"/>
          <w:color w:val="000000"/>
          <w:sz w:val="24"/>
          <w:szCs w:val="24"/>
          <w:lang w:val="pt-PT"/>
        </w:rPr>
        <w:t>reportaram que ap</w:t>
      </w:r>
      <w:r w:rsidRPr="004E6265">
        <w:rPr>
          <w:rFonts w:ascii="Times New Roman" w:hAnsi="Times New Roman"/>
          <w:color w:val="000000"/>
          <w:sz w:val="24"/>
          <w:szCs w:val="24"/>
          <w:lang w:val="pt-BR"/>
        </w:rPr>
        <w:t>ó</w:t>
      </w:r>
      <w:r w:rsidRPr="004E6265">
        <w:rPr>
          <w:rFonts w:ascii="Times New Roman" w:hAnsi="Times New Roman"/>
          <w:color w:val="000000"/>
          <w:sz w:val="24"/>
          <w:szCs w:val="24"/>
          <w:lang w:val="pt-PT"/>
        </w:rPr>
        <w:t xml:space="preserve">s uma sessão de exercíco, o metabolismo de lipídio hepático responde pela reposição do triaglicerol intramuscular, sendo que esse processo é desestabilizado em patologias como a obesidade.  </w:t>
      </w:r>
    </w:p>
    <w:p w:rsidR="006D3DF4" w:rsidRPr="004E6265" w:rsidRDefault="006D3DF4" w:rsidP="00071D00">
      <w:pPr>
        <w:spacing w:line="360" w:lineRule="auto"/>
        <w:contextualSpacing/>
        <w:jc w:val="both"/>
        <w:textAlignment w:val="top"/>
        <w:rPr>
          <w:rFonts w:ascii="Times New Roman" w:hAnsi="Times New Roman"/>
          <w:color w:val="000000"/>
          <w:sz w:val="24"/>
          <w:szCs w:val="24"/>
          <w:lang w:val="pt-PT"/>
        </w:rPr>
      </w:pPr>
      <w:r w:rsidRPr="004E6265">
        <w:rPr>
          <w:rFonts w:ascii="Times New Roman" w:hAnsi="Times New Roman"/>
          <w:color w:val="000000"/>
          <w:sz w:val="24"/>
          <w:szCs w:val="24"/>
          <w:lang w:val="pt-BR"/>
        </w:rPr>
        <w:tab/>
      </w:r>
      <w:r w:rsidRPr="004E6265">
        <w:rPr>
          <w:rFonts w:ascii="Times New Roman" w:hAnsi="Times New Roman"/>
          <w:color w:val="000000"/>
          <w:sz w:val="24"/>
          <w:szCs w:val="24"/>
          <w:lang w:val="pt-PT"/>
        </w:rPr>
        <w:t xml:space="preserve">Em estudo realizado no Brasil, Lira </w:t>
      </w:r>
      <w:r w:rsidRPr="004E6265">
        <w:rPr>
          <w:rFonts w:ascii="Times New Roman" w:hAnsi="Times New Roman"/>
          <w:i/>
          <w:color w:val="000000"/>
          <w:sz w:val="24"/>
          <w:szCs w:val="24"/>
          <w:lang w:val="pt-PT"/>
        </w:rPr>
        <w:t>et al</w:t>
      </w:r>
      <w:r w:rsidRPr="004E6265">
        <w:rPr>
          <w:rFonts w:ascii="Times New Roman" w:hAnsi="Times New Roman"/>
          <w:color w:val="000000"/>
          <w:sz w:val="24"/>
          <w:szCs w:val="24"/>
          <w:lang w:val="pt-PT"/>
        </w:rPr>
        <w:t xml:space="preserve"> </w:t>
      </w:r>
      <w:r w:rsidRPr="004E6265">
        <w:rPr>
          <w:rFonts w:ascii="Times New Roman" w:hAnsi="Times New Roman"/>
          <w:color w:val="000000"/>
          <w:sz w:val="24"/>
          <w:szCs w:val="24"/>
          <w:vertAlign w:val="superscript"/>
          <w:lang w:val="pt-PT"/>
        </w:rPr>
        <w:t>37</w:t>
      </w:r>
      <w:r w:rsidRPr="004E6265">
        <w:rPr>
          <w:rFonts w:ascii="Times New Roman" w:hAnsi="Times New Roman"/>
          <w:color w:val="000000"/>
          <w:sz w:val="24"/>
          <w:szCs w:val="24"/>
          <w:lang w:val="pt-PT"/>
        </w:rPr>
        <w:t xml:space="preserve"> mostraram que há uma forte associação entre a obesidade e EH em adolescentes de baixa renda, com excesso de peso e outras doencas metabólicas, apresentando potencial de gravidade maior pelo fato do quadro ser assintomático. Nesse sentido, a prática regular de</w:t>
      </w:r>
      <w:r w:rsidRPr="004E6265">
        <w:rPr>
          <w:rFonts w:ascii="Times New Roman" w:hAnsi="Times New Roman"/>
          <w:color w:val="000000"/>
          <w:sz w:val="24"/>
          <w:szCs w:val="24"/>
          <w:lang w:val="pt-BR"/>
        </w:rPr>
        <w:t xml:space="preserve"> exercício físico deve fazer parte do tratamento da EH, assim como na prevenção de outras doenças crônicas </w:t>
      </w:r>
      <w:r w:rsidRPr="004E6265">
        <w:rPr>
          <w:rFonts w:ascii="Times New Roman" w:hAnsi="Times New Roman"/>
          <w:color w:val="000000"/>
          <w:sz w:val="24"/>
          <w:szCs w:val="24"/>
          <w:vertAlign w:val="superscript"/>
          <w:lang w:val="pt-BR"/>
        </w:rPr>
        <w:t>38</w:t>
      </w:r>
      <w:r w:rsidRPr="004E6265">
        <w:rPr>
          <w:rFonts w:ascii="Times New Roman" w:hAnsi="Times New Roman"/>
          <w:color w:val="000000"/>
          <w:sz w:val="24"/>
          <w:szCs w:val="24"/>
          <w:lang w:val="pt-BR"/>
        </w:rPr>
        <w:t>.  O Colégio Americano de Medicina Esportiva (ACSM 2009)</w:t>
      </w:r>
      <w:r w:rsidRPr="004E6265">
        <w:rPr>
          <w:rFonts w:ascii="Times New Roman" w:hAnsi="Times New Roman"/>
          <w:color w:val="000000"/>
          <w:sz w:val="24"/>
          <w:szCs w:val="24"/>
          <w:vertAlign w:val="superscript"/>
          <w:lang w:val="pt-BR"/>
        </w:rPr>
        <w:t>39</w:t>
      </w:r>
      <w:r w:rsidRPr="004E6265">
        <w:rPr>
          <w:rFonts w:ascii="Times New Roman" w:hAnsi="Times New Roman"/>
          <w:color w:val="000000"/>
          <w:sz w:val="24"/>
          <w:szCs w:val="24"/>
          <w:lang w:val="pt-BR"/>
        </w:rPr>
        <w:t xml:space="preserve"> recomenda acumular entre 225 e 480 minutos semanais de atividade física em intensidade moderada/vigorosa, na maioria dos dias da semana, em função de promover a redução significante no peso corporal. </w:t>
      </w:r>
      <w:r w:rsidRPr="004E6265">
        <w:rPr>
          <w:rFonts w:ascii="Times New Roman" w:hAnsi="Times New Roman"/>
          <w:color w:val="000000"/>
          <w:sz w:val="24"/>
          <w:szCs w:val="24"/>
          <w:lang w:val="pt-PT"/>
        </w:rPr>
        <w:t xml:space="preserve">Belmonte </w:t>
      </w:r>
      <w:r w:rsidRPr="004E6265">
        <w:rPr>
          <w:rFonts w:ascii="Times New Roman" w:hAnsi="Times New Roman"/>
          <w:i/>
          <w:color w:val="000000"/>
          <w:sz w:val="24"/>
          <w:szCs w:val="24"/>
          <w:lang w:val="pt-PT"/>
        </w:rPr>
        <w:t>et al</w:t>
      </w:r>
      <w:r w:rsidRPr="004E6265">
        <w:rPr>
          <w:rFonts w:ascii="Times New Roman" w:hAnsi="Times New Roman"/>
          <w:color w:val="000000"/>
          <w:sz w:val="24"/>
          <w:szCs w:val="24"/>
          <w:lang w:val="pt-PT"/>
        </w:rPr>
        <w:t xml:space="preserve"> </w:t>
      </w:r>
      <w:r w:rsidRPr="004E6265">
        <w:rPr>
          <w:rFonts w:ascii="Times New Roman" w:hAnsi="Times New Roman"/>
          <w:color w:val="000000"/>
          <w:sz w:val="24"/>
          <w:szCs w:val="24"/>
          <w:vertAlign w:val="superscript"/>
          <w:lang w:val="pt-PT"/>
        </w:rPr>
        <w:t>15</w:t>
      </w:r>
      <w:r w:rsidRPr="004E6265">
        <w:rPr>
          <w:rFonts w:ascii="Times New Roman" w:hAnsi="Times New Roman"/>
          <w:color w:val="000000"/>
          <w:sz w:val="24"/>
          <w:szCs w:val="24"/>
          <w:lang w:val="pt-PT"/>
        </w:rPr>
        <w:t xml:space="preserve"> associaram a EH e os diferentes níveis de atividade física (sedentários e treinados) mostrando aumento na capacidade de mobilização de ácidos graxos no grupo que realizou exercícios de carcterística predominantemente aeróbia.</w:t>
      </w:r>
    </w:p>
    <w:p w:rsidR="006D3DF4" w:rsidRPr="004E6265" w:rsidRDefault="006D3DF4" w:rsidP="00E60B18">
      <w:pPr>
        <w:spacing w:line="360" w:lineRule="auto"/>
        <w:contextualSpacing/>
        <w:jc w:val="both"/>
        <w:textAlignment w:val="top"/>
        <w:rPr>
          <w:rFonts w:ascii="Times New Roman" w:hAnsi="Times New Roman"/>
          <w:color w:val="000000"/>
          <w:sz w:val="24"/>
          <w:szCs w:val="24"/>
          <w:vertAlign w:val="superscript"/>
          <w:lang w:val="pt-PT"/>
        </w:rPr>
      </w:pPr>
      <w:r w:rsidRPr="004E6265">
        <w:rPr>
          <w:rFonts w:ascii="Times New Roman" w:hAnsi="Times New Roman"/>
          <w:color w:val="000000"/>
          <w:sz w:val="24"/>
          <w:szCs w:val="24"/>
          <w:lang w:val="pt-PT"/>
        </w:rPr>
        <w:tab/>
        <w:t>Portanto as evidências</w:t>
      </w:r>
      <w:r w:rsidRPr="004E6265">
        <w:rPr>
          <w:rFonts w:ascii="Times New Roman" w:hAnsi="Times New Roman"/>
          <w:color w:val="000000"/>
          <w:sz w:val="24"/>
          <w:szCs w:val="24"/>
          <w:vertAlign w:val="superscript"/>
          <w:lang w:val="pt-PT"/>
        </w:rPr>
        <w:t xml:space="preserve"> 14,15</w:t>
      </w:r>
      <w:r w:rsidRPr="004E6265">
        <w:rPr>
          <w:rFonts w:ascii="Times New Roman" w:hAnsi="Times New Roman"/>
          <w:color w:val="000000"/>
          <w:sz w:val="24"/>
          <w:szCs w:val="24"/>
          <w:lang w:val="pt-PT"/>
        </w:rPr>
        <w:t xml:space="preserve">, sugerem a importância da atividade aeróbia moderada como agente de prevenção na instalação da EH em função do restabelecimento do metabolismo das lipoproteínas e aumento na capacidade do transporte mitocondrial de ácidos graxos nos hepatócios </w:t>
      </w:r>
      <w:r w:rsidRPr="004E6265">
        <w:rPr>
          <w:rFonts w:ascii="Times New Roman" w:hAnsi="Times New Roman"/>
          <w:color w:val="000000"/>
          <w:sz w:val="24"/>
          <w:szCs w:val="24"/>
          <w:vertAlign w:val="superscript"/>
          <w:lang w:val="pt-PT"/>
        </w:rPr>
        <w:t>12</w:t>
      </w:r>
      <w:r w:rsidRPr="004E6265">
        <w:rPr>
          <w:rFonts w:ascii="Times New Roman" w:hAnsi="Times New Roman"/>
          <w:color w:val="000000"/>
          <w:sz w:val="24"/>
          <w:szCs w:val="24"/>
          <w:lang w:val="pt-PT"/>
        </w:rPr>
        <w:t xml:space="preserve">. </w:t>
      </w:r>
      <w:r w:rsidRPr="004E6265">
        <w:rPr>
          <w:rFonts w:ascii="Times New Roman" w:hAnsi="Times New Roman"/>
          <w:color w:val="000000"/>
          <w:sz w:val="24"/>
          <w:szCs w:val="24"/>
          <w:lang w:val="pt-PT"/>
        </w:rPr>
        <w:tab/>
        <w:t>A combinação de dois agentes protetores no controle do ganho do peso são a prática regular de exercício fisico e controle calórico pelo balanço energético associado.</w:t>
      </w:r>
      <w:r w:rsidRPr="004E6265">
        <w:rPr>
          <w:rFonts w:ascii="Times New Roman" w:hAnsi="Times New Roman"/>
          <w:color w:val="000000"/>
          <w:sz w:val="24"/>
          <w:szCs w:val="24"/>
          <w:lang w:val="pt-PT"/>
        </w:rPr>
        <w:tab/>
        <w:t xml:space="preserve"> O estudo randomizado de Promrat </w:t>
      </w:r>
      <w:r w:rsidRPr="004E6265">
        <w:rPr>
          <w:rFonts w:ascii="Times New Roman" w:hAnsi="Times New Roman"/>
          <w:i/>
          <w:color w:val="000000"/>
          <w:sz w:val="24"/>
          <w:szCs w:val="24"/>
          <w:lang w:val="pt-PT"/>
        </w:rPr>
        <w:t>et al</w:t>
      </w:r>
      <w:r w:rsidRPr="004E6265">
        <w:rPr>
          <w:rFonts w:ascii="Times New Roman" w:hAnsi="Times New Roman"/>
          <w:color w:val="000000"/>
          <w:sz w:val="24"/>
          <w:szCs w:val="24"/>
          <w:lang w:val="pt-PT"/>
        </w:rPr>
        <w:t xml:space="preserve"> </w:t>
      </w:r>
      <w:r w:rsidRPr="004E6265">
        <w:rPr>
          <w:rFonts w:ascii="Times New Roman" w:hAnsi="Times New Roman"/>
          <w:color w:val="000000"/>
          <w:sz w:val="24"/>
          <w:szCs w:val="24"/>
          <w:vertAlign w:val="superscript"/>
          <w:lang w:val="pt-PT"/>
        </w:rPr>
        <w:t>40</w:t>
      </w:r>
      <w:r w:rsidRPr="004E6265">
        <w:rPr>
          <w:rFonts w:ascii="Times New Roman" w:hAnsi="Times New Roman"/>
          <w:color w:val="000000"/>
          <w:sz w:val="24"/>
          <w:szCs w:val="24"/>
          <w:lang w:val="pt-PT"/>
        </w:rPr>
        <w:t xml:space="preserve">, demonstrou que 48 semanas de intervenção no hábito nutricional, associado à prática de exercício fisico em indivíduos obesos com esteatose hepática não alcoólica, foram importantes na melhora da função hepática.  </w:t>
      </w:r>
      <w:r w:rsidRPr="004E6265">
        <w:rPr>
          <w:rFonts w:ascii="Times New Roman" w:hAnsi="Times New Roman"/>
          <w:color w:val="000000"/>
          <w:sz w:val="24"/>
          <w:szCs w:val="24"/>
          <w:lang w:val="pt-PT"/>
        </w:rPr>
        <w:tab/>
        <w:t>Como houve ingestão controlada pelo peso corporal inicial (1000-1200 kcal / dia se a massa corporal fosse inferior a 90 kg), a dieta foi padronizada com 25% de gordura, seguindo as recomendações dietéticas da American Heart Association, American Diabetic Association e American College of Sports Medicine (2009)</w:t>
      </w:r>
      <w:r w:rsidRPr="004E6265">
        <w:rPr>
          <w:rFonts w:ascii="Times New Roman" w:hAnsi="Times New Roman"/>
          <w:color w:val="000000"/>
          <w:sz w:val="24"/>
          <w:szCs w:val="24"/>
          <w:vertAlign w:val="superscript"/>
          <w:lang w:val="pt-BR"/>
        </w:rPr>
        <w:t>39</w:t>
      </w:r>
      <w:r w:rsidRPr="004E6265">
        <w:rPr>
          <w:rFonts w:ascii="Times New Roman" w:hAnsi="Times New Roman"/>
          <w:color w:val="000000"/>
          <w:sz w:val="24"/>
          <w:szCs w:val="24"/>
          <w:lang w:val="pt-PT"/>
        </w:rPr>
        <w:t xml:space="preserve">.  Durante as primeiras oito semanas do programa, os participantes ingeriram qualquer tipo de refeição, desde que na meta de calorias/dia. Posteriormente faziam dietas auto selecionadas a partir das bases da alimentação saudável, usando como critérios a Pirâmide Alimentar, sendo incentivados ao consumo de fibras e redução das gorduras saturadas e colesterol. A intervenção supervisionada do programa de atividade física era realizada pela caminhada em intensidade moderada. Os participantes receberam pedômetros e foram estimulados a aumentar gradualmente a sua caminhada até atingir 10.000 passos por dia. Outras atividades, como ciclismo, dança aeróbia e trabalho de força muscular também foram realizados. Os participantes foram instruídos a progressão gradual até atingirem 200 minutos semanais de atividade física moderada no final dos primeiros 6 meses. Após as 48 semanas os indivíduos reduziram 9,3% do seu peso, enquanto que o grupo controle apresentou descréscimo de 0,2% (p= 0,003). A </w:t>
      </w:r>
      <w:bookmarkStart w:id="1" w:name="OLE_LINK3"/>
      <w:bookmarkStart w:id="2" w:name="OLE_LINK4"/>
      <w:r w:rsidRPr="004E6265">
        <w:rPr>
          <w:rFonts w:ascii="Times New Roman" w:hAnsi="Times New Roman"/>
          <w:color w:val="000000"/>
          <w:sz w:val="24"/>
          <w:szCs w:val="24"/>
          <w:lang w:val="pt-PT"/>
        </w:rPr>
        <w:t xml:space="preserve">EH não alcoólica </w:t>
      </w:r>
      <w:bookmarkEnd w:id="1"/>
      <w:bookmarkEnd w:id="2"/>
      <w:r w:rsidRPr="004E6265">
        <w:rPr>
          <w:rFonts w:ascii="Times New Roman" w:hAnsi="Times New Roman"/>
          <w:color w:val="000000"/>
          <w:sz w:val="24"/>
          <w:szCs w:val="24"/>
          <w:lang w:val="pt-PT"/>
        </w:rPr>
        <w:t xml:space="preserve">melhorou significativamente no grupo de intervenção em comparação ao grupo controle, sugerindo que a redução de peso através de mudança no estilo de vida, melhorou a histologia hepática </w:t>
      </w:r>
      <w:r w:rsidRPr="004E6265">
        <w:rPr>
          <w:rFonts w:ascii="Times New Roman" w:hAnsi="Times New Roman"/>
          <w:color w:val="000000"/>
          <w:sz w:val="24"/>
          <w:szCs w:val="24"/>
          <w:vertAlign w:val="superscript"/>
          <w:lang w:val="pt-PT"/>
        </w:rPr>
        <w:t>40</w:t>
      </w:r>
      <w:r w:rsidRPr="004E6265">
        <w:rPr>
          <w:rFonts w:ascii="Times New Roman" w:hAnsi="Times New Roman"/>
          <w:color w:val="000000"/>
          <w:sz w:val="24"/>
          <w:szCs w:val="24"/>
          <w:lang w:val="pt-PT"/>
        </w:rPr>
        <w:t>.</w:t>
      </w:r>
    </w:p>
    <w:p w:rsidR="006D3DF4" w:rsidRPr="004E6265" w:rsidRDefault="006D3DF4" w:rsidP="00C15F70">
      <w:pPr>
        <w:spacing w:line="360" w:lineRule="auto"/>
        <w:contextualSpacing/>
        <w:jc w:val="both"/>
        <w:textAlignment w:val="top"/>
        <w:rPr>
          <w:rFonts w:ascii="Times New Roman" w:hAnsi="Times New Roman"/>
          <w:color w:val="000000"/>
          <w:sz w:val="24"/>
          <w:szCs w:val="24"/>
          <w:lang w:val="pt-PT"/>
        </w:rPr>
      </w:pPr>
      <w:r w:rsidRPr="004E6265">
        <w:rPr>
          <w:rFonts w:ascii="Times New Roman" w:hAnsi="Times New Roman"/>
          <w:color w:val="000000"/>
          <w:sz w:val="24"/>
          <w:szCs w:val="24"/>
          <w:lang w:val="pt-PT"/>
        </w:rPr>
        <w:tab/>
        <w:t xml:space="preserve">Dorien </w:t>
      </w:r>
      <w:r w:rsidRPr="004E6265">
        <w:rPr>
          <w:rFonts w:ascii="Times New Roman" w:hAnsi="Times New Roman"/>
          <w:i/>
          <w:color w:val="000000"/>
          <w:sz w:val="24"/>
          <w:szCs w:val="24"/>
          <w:lang w:val="pt-PT"/>
        </w:rPr>
        <w:t>et al</w:t>
      </w:r>
      <w:r w:rsidRPr="004E6265">
        <w:rPr>
          <w:rFonts w:ascii="Times New Roman" w:hAnsi="Times New Roman"/>
          <w:color w:val="000000"/>
          <w:sz w:val="24"/>
          <w:szCs w:val="24"/>
          <w:lang w:val="pt-PT"/>
        </w:rPr>
        <w:t xml:space="preserve"> </w:t>
      </w:r>
      <w:r w:rsidRPr="004E6265">
        <w:rPr>
          <w:rFonts w:ascii="Times New Roman" w:hAnsi="Times New Roman"/>
          <w:color w:val="000000"/>
          <w:sz w:val="24"/>
          <w:szCs w:val="24"/>
          <w:vertAlign w:val="superscript"/>
          <w:lang w:val="pt-BR"/>
        </w:rPr>
        <w:t>41</w:t>
      </w:r>
      <w:r w:rsidRPr="004E6265">
        <w:rPr>
          <w:rFonts w:ascii="Times New Roman" w:hAnsi="Times New Roman"/>
          <w:color w:val="000000"/>
          <w:sz w:val="24"/>
          <w:szCs w:val="24"/>
          <w:lang w:val="pt-PT"/>
        </w:rPr>
        <w:t xml:space="preserve"> compararam os efeitos de uma dieta com baixo consumo de gordura, prática regular de exercício físico e ambas intervenções na resposta da resistência a insulina e EH. Indivíduos obesos foram submetidos a um programa de treinamento entre 40% e 70% do VO</w:t>
      </w:r>
      <w:r w:rsidRPr="004E6265">
        <w:rPr>
          <w:rFonts w:ascii="Times New Roman" w:hAnsi="Times New Roman"/>
          <w:color w:val="000000"/>
          <w:sz w:val="24"/>
          <w:szCs w:val="24"/>
          <w:vertAlign w:val="subscript"/>
          <w:lang w:val="pt-PT"/>
        </w:rPr>
        <w:t>2</w:t>
      </w:r>
      <w:r w:rsidRPr="004E6265">
        <w:rPr>
          <w:rFonts w:ascii="Times New Roman" w:hAnsi="Times New Roman"/>
          <w:color w:val="000000"/>
          <w:sz w:val="24"/>
          <w:szCs w:val="24"/>
          <w:lang w:val="pt-PT"/>
        </w:rPr>
        <w:t xml:space="preserve"> máx, em cicloergômetro. O treinamento em baixa intensidade (40% VO</w:t>
      </w:r>
      <w:r w:rsidRPr="004E6265">
        <w:rPr>
          <w:rFonts w:ascii="Times New Roman" w:hAnsi="Times New Roman"/>
          <w:color w:val="000000"/>
          <w:sz w:val="24"/>
          <w:szCs w:val="24"/>
          <w:vertAlign w:val="subscript"/>
          <w:lang w:val="pt-PT"/>
        </w:rPr>
        <w:t>2</w:t>
      </w:r>
      <w:r w:rsidRPr="004E6265">
        <w:rPr>
          <w:rFonts w:ascii="Times New Roman" w:hAnsi="Times New Roman"/>
          <w:color w:val="000000"/>
          <w:sz w:val="24"/>
          <w:szCs w:val="24"/>
          <w:lang w:val="pt-PT"/>
        </w:rPr>
        <w:t xml:space="preserve"> máx) proporcionou um aumento na oxidação de gordura de 35% para 52% (p&lt;0,05), quando comparado com esforços a 70% VO</w:t>
      </w:r>
      <w:r w:rsidRPr="004E6265">
        <w:rPr>
          <w:rFonts w:ascii="Times New Roman" w:hAnsi="Times New Roman"/>
          <w:color w:val="000000"/>
          <w:sz w:val="24"/>
          <w:szCs w:val="24"/>
          <w:vertAlign w:val="subscript"/>
          <w:lang w:val="pt-PT"/>
        </w:rPr>
        <w:t>2</w:t>
      </w:r>
      <w:r w:rsidRPr="004E6265">
        <w:rPr>
          <w:rFonts w:ascii="Times New Roman" w:hAnsi="Times New Roman"/>
          <w:color w:val="000000"/>
          <w:sz w:val="24"/>
          <w:szCs w:val="24"/>
          <w:lang w:val="pt-PT"/>
        </w:rPr>
        <w:t xml:space="preserve">máx, que não demonstrou aumento significativo na oxidação de gordura. Apesar de consideráveis efeitos do treinamento físico sobre a oxidação de gorduras durante o exercício, em repouso esses efeitos foram menos evidentes. Em geral, os programas de exercícios relacionados à EH se baseiam com esforços aeróbicos, mas deve-se considerar a importância do treinamento resistido, uma vez que desempenham papel importante no aumento da oxidação de gorduras e da autonomia física. </w:t>
      </w:r>
    </w:p>
    <w:p w:rsidR="006D3DF4" w:rsidRPr="004E6265" w:rsidRDefault="006D3DF4" w:rsidP="00C15F70">
      <w:pPr>
        <w:spacing w:line="360" w:lineRule="auto"/>
        <w:contextualSpacing/>
        <w:jc w:val="both"/>
        <w:textAlignment w:val="top"/>
        <w:rPr>
          <w:rFonts w:ascii="Times New Roman" w:hAnsi="Times New Roman"/>
          <w:color w:val="000000"/>
          <w:sz w:val="24"/>
          <w:szCs w:val="24"/>
          <w:lang w:val="pt-PT"/>
        </w:rPr>
      </w:pPr>
      <w:r w:rsidRPr="004E6265">
        <w:rPr>
          <w:rFonts w:ascii="Times New Roman" w:hAnsi="Times New Roman"/>
          <w:color w:val="000000"/>
          <w:sz w:val="24"/>
          <w:szCs w:val="24"/>
          <w:lang w:val="pt-PT"/>
        </w:rPr>
        <w:tab/>
        <w:t xml:space="preserve">Em outro estudo Melanson </w:t>
      </w:r>
      <w:r w:rsidRPr="004E6265">
        <w:rPr>
          <w:rFonts w:ascii="Times New Roman" w:hAnsi="Times New Roman"/>
          <w:i/>
          <w:color w:val="000000"/>
          <w:sz w:val="24"/>
          <w:szCs w:val="24"/>
          <w:lang w:val="pt-PT"/>
        </w:rPr>
        <w:t>et al</w:t>
      </w:r>
      <w:r w:rsidRPr="004E6265">
        <w:rPr>
          <w:rFonts w:ascii="Times New Roman" w:hAnsi="Times New Roman"/>
          <w:color w:val="000000"/>
          <w:sz w:val="24"/>
          <w:szCs w:val="24"/>
          <w:lang w:val="pt-PT"/>
        </w:rPr>
        <w:t xml:space="preserve"> </w:t>
      </w:r>
      <w:r w:rsidRPr="004E6265">
        <w:rPr>
          <w:rFonts w:ascii="Times New Roman" w:hAnsi="Times New Roman"/>
          <w:color w:val="000000"/>
          <w:sz w:val="24"/>
          <w:szCs w:val="24"/>
          <w:vertAlign w:val="superscript"/>
          <w:lang w:val="pt-PT"/>
        </w:rPr>
        <w:t>42</w:t>
      </w:r>
      <w:r w:rsidRPr="004E6265">
        <w:rPr>
          <w:rFonts w:ascii="Times New Roman" w:hAnsi="Times New Roman"/>
          <w:color w:val="000000"/>
          <w:sz w:val="24"/>
          <w:szCs w:val="24"/>
          <w:lang w:val="pt-PT"/>
        </w:rPr>
        <w:t xml:space="preserve"> compararam o efeito de exercícios de alta (70% VO</w:t>
      </w:r>
      <w:r w:rsidRPr="004E6265">
        <w:rPr>
          <w:rFonts w:ascii="Times New Roman" w:hAnsi="Times New Roman"/>
          <w:color w:val="000000"/>
          <w:sz w:val="24"/>
          <w:szCs w:val="24"/>
          <w:vertAlign w:val="subscript"/>
          <w:lang w:val="pt-PT"/>
        </w:rPr>
        <w:t>2</w:t>
      </w:r>
      <w:r w:rsidRPr="004E6265">
        <w:rPr>
          <w:rFonts w:ascii="Times New Roman" w:hAnsi="Times New Roman"/>
          <w:color w:val="000000"/>
          <w:sz w:val="24"/>
          <w:szCs w:val="24"/>
          <w:lang w:val="pt-PT"/>
        </w:rPr>
        <w:t xml:space="preserve"> máx) e baixa intensidade (40% de VO</w:t>
      </w:r>
      <w:r w:rsidRPr="004E6265">
        <w:rPr>
          <w:rFonts w:ascii="Times New Roman" w:hAnsi="Times New Roman"/>
          <w:color w:val="000000"/>
          <w:sz w:val="24"/>
          <w:szCs w:val="24"/>
          <w:vertAlign w:val="subscript"/>
          <w:lang w:val="pt-PT"/>
        </w:rPr>
        <w:t>2</w:t>
      </w:r>
      <w:r w:rsidRPr="004E6265">
        <w:rPr>
          <w:rFonts w:ascii="Times New Roman" w:hAnsi="Times New Roman"/>
          <w:color w:val="000000"/>
          <w:sz w:val="24"/>
          <w:szCs w:val="24"/>
          <w:lang w:val="pt-PT"/>
        </w:rPr>
        <w:t xml:space="preserve"> máx) sobre o gasto calórico e a oxidação de nutrientes em 24 horas de repouso pós esforço. Os dados apresentaram comportamento similar na oxidação de nutrientes entre as duas intensidades, embora o gasto calórico total nas 24 horas pós treino tenha apresentado aumento em repouso (p&lt;0,001), sendo 506 kcal/ dia após o esforço moderado e 546 kcal/ dia no esforço vigoroso. </w:t>
      </w:r>
      <w:r w:rsidRPr="004E6265">
        <w:rPr>
          <w:rFonts w:ascii="Times New Roman" w:hAnsi="Times New Roman"/>
          <w:b/>
          <w:color w:val="000000"/>
          <w:sz w:val="24"/>
          <w:szCs w:val="24"/>
          <w:lang w:val="pt-PT"/>
        </w:rPr>
        <w:t xml:space="preserve"> </w:t>
      </w:r>
    </w:p>
    <w:p w:rsidR="006D3DF4" w:rsidRPr="004E6265" w:rsidRDefault="006D3DF4" w:rsidP="00C15F70">
      <w:pPr>
        <w:spacing w:line="360" w:lineRule="auto"/>
        <w:contextualSpacing/>
        <w:jc w:val="both"/>
        <w:textAlignment w:val="top"/>
        <w:rPr>
          <w:rFonts w:ascii="Times New Roman" w:hAnsi="Times New Roman"/>
          <w:color w:val="000000"/>
          <w:sz w:val="24"/>
          <w:szCs w:val="24"/>
          <w:lang w:val="pt-PT"/>
        </w:rPr>
      </w:pPr>
      <w:r w:rsidRPr="004E6265">
        <w:rPr>
          <w:rFonts w:ascii="Times New Roman" w:hAnsi="Times New Roman"/>
          <w:color w:val="000000"/>
          <w:sz w:val="24"/>
          <w:szCs w:val="24"/>
          <w:lang w:val="pt-PT"/>
        </w:rPr>
        <w:tab/>
        <w:t xml:space="preserve">Em outro estudo Polito  </w:t>
      </w:r>
      <w:r w:rsidRPr="004E6265">
        <w:rPr>
          <w:rFonts w:ascii="Times New Roman" w:hAnsi="Times New Roman"/>
          <w:i/>
          <w:color w:val="000000"/>
          <w:sz w:val="24"/>
          <w:szCs w:val="24"/>
          <w:lang w:val="pt-PT"/>
        </w:rPr>
        <w:t>et al</w:t>
      </w:r>
      <w:r w:rsidRPr="004E6265">
        <w:rPr>
          <w:rFonts w:ascii="Times New Roman" w:hAnsi="Times New Roman"/>
          <w:color w:val="000000"/>
          <w:sz w:val="24"/>
          <w:szCs w:val="24"/>
          <w:lang w:val="pt-PT"/>
        </w:rPr>
        <w:t xml:space="preserve"> </w:t>
      </w:r>
      <w:r w:rsidRPr="004E6265">
        <w:rPr>
          <w:rFonts w:ascii="Times New Roman" w:hAnsi="Times New Roman"/>
          <w:color w:val="000000"/>
          <w:sz w:val="24"/>
          <w:szCs w:val="24"/>
          <w:vertAlign w:val="superscript"/>
          <w:lang w:val="pt-PT"/>
        </w:rPr>
        <w:t>43</w:t>
      </w:r>
      <w:r w:rsidRPr="004E6265">
        <w:rPr>
          <w:rFonts w:ascii="Times New Roman" w:hAnsi="Times New Roman"/>
          <w:color w:val="000000"/>
          <w:sz w:val="24"/>
          <w:szCs w:val="24"/>
          <w:lang w:val="pt-PT"/>
        </w:rPr>
        <w:t xml:space="preserve"> verificaram as influências de treinos com peso no perfil lipídico e lipoprotéico em homens sedentários em 12 semanas. Os dados não demonstraram mudanças no nível do triglicérides sérico, sugerindo que o período de treinamento de força foi suficiente em promover aumento da resposta neuromuscular,  reduzir a adiposidade, embora o perfil lipídico tenha se mantido similar pré e pós intervenção.</w:t>
      </w:r>
    </w:p>
    <w:p w:rsidR="006D3DF4" w:rsidRPr="004E6265" w:rsidRDefault="006D3DF4" w:rsidP="00C15F70">
      <w:pPr>
        <w:spacing w:line="360" w:lineRule="auto"/>
        <w:contextualSpacing/>
        <w:jc w:val="both"/>
        <w:rPr>
          <w:rFonts w:ascii="Times New Roman" w:hAnsi="Times New Roman"/>
          <w:color w:val="000000"/>
          <w:sz w:val="24"/>
          <w:szCs w:val="24"/>
          <w:lang w:val="pt-BR"/>
        </w:rPr>
      </w:pPr>
    </w:p>
    <w:p w:rsidR="006D3DF4" w:rsidRPr="004E6265" w:rsidRDefault="006D3DF4" w:rsidP="00C15F70">
      <w:pPr>
        <w:spacing w:line="360" w:lineRule="auto"/>
        <w:contextualSpacing/>
        <w:jc w:val="both"/>
        <w:rPr>
          <w:rFonts w:ascii="Times New Roman" w:hAnsi="Times New Roman"/>
          <w:b/>
          <w:color w:val="000000"/>
          <w:sz w:val="24"/>
          <w:szCs w:val="24"/>
          <w:lang w:val="pt-BR"/>
        </w:rPr>
      </w:pPr>
      <w:r w:rsidRPr="004E6265">
        <w:rPr>
          <w:rFonts w:ascii="Times New Roman" w:hAnsi="Times New Roman"/>
          <w:b/>
          <w:color w:val="000000"/>
          <w:sz w:val="24"/>
          <w:szCs w:val="24"/>
          <w:lang w:val="pt-BR"/>
        </w:rPr>
        <w:t>Conclusão</w:t>
      </w:r>
    </w:p>
    <w:p w:rsidR="006D3DF4" w:rsidRPr="004E6265" w:rsidRDefault="006D3DF4" w:rsidP="00C15F70">
      <w:pPr>
        <w:spacing w:line="360" w:lineRule="auto"/>
        <w:ind w:firstLine="720"/>
        <w:contextualSpacing/>
        <w:jc w:val="both"/>
        <w:rPr>
          <w:rFonts w:ascii="Times New Roman" w:hAnsi="Times New Roman"/>
          <w:color w:val="000000"/>
          <w:sz w:val="24"/>
          <w:szCs w:val="24"/>
          <w:lang w:val="pt-BR"/>
        </w:rPr>
      </w:pPr>
      <w:r w:rsidRPr="004E6265">
        <w:rPr>
          <w:rFonts w:ascii="Times New Roman" w:hAnsi="Times New Roman"/>
          <w:color w:val="000000"/>
          <w:sz w:val="24"/>
          <w:szCs w:val="24"/>
          <w:lang w:val="pt-BR"/>
        </w:rPr>
        <w:t>O presente estudo demonstrou a relação entre a prevalência de EH e outras doenças metabólicas, em especial pelo aumento de peso e baixo nível de atividade física. Os estudos sugerem que o diagnóstico da EH muitas vezes ocorre ocasionalmente, porem, seria possível inferir que a prevenção ocorre de forma similar a outras doenças crônicas. Ainda aponta-se que aumentar o nível de atividade física pode colaborar com a diminuição de gordura no fígado e prevenir o aparecimento do quadro de EH em qualquer fase da vida. Importante frisar que outros hábitos na vida diária poderiam se associar a EH, destacando neste caso, o consumo de bebidas alcoólicas.</w:t>
      </w:r>
    </w:p>
    <w:bookmarkEnd w:id="0"/>
    <w:p w:rsidR="006D3DF4" w:rsidRPr="00C15F70" w:rsidRDefault="006D3DF4" w:rsidP="00C15F70">
      <w:pPr>
        <w:spacing w:line="360" w:lineRule="auto"/>
        <w:contextualSpacing/>
        <w:jc w:val="both"/>
        <w:rPr>
          <w:rFonts w:ascii="Times New Roman" w:hAnsi="Times New Roman"/>
          <w:b/>
          <w:sz w:val="24"/>
          <w:szCs w:val="24"/>
          <w:lang w:val="pt-BR"/>
        </w:rPr>
      </w:pPr>
    </w:p>
    <w:p w:rsidR="006D3DF4" w:rsidRPr="00C15F70" w:rsidRDefault="006D3DF4" w:rsidP="00C15F70">
      <w:pPr>
        <w:spacing w:line="360" w:lineRule="auto"/>
        <w:contextualSpacing/>
        <w:jc w:val="both"/>
        <w:rPr>
          <w:rFonts w:ascii="Times New Roman" w:hAnsi="Times New Roman"/>
          <w:b/>
          <w:sz w:val="24"/>
          <w:szCs w:val="24"/>
          <w:lang w:val="pt-BR"/>
        </w:rPr>
      </w:pPr>
      <w:r w:rsidRPr="00C15F70">
        <w:rPr>
          <w:rFonts w:ascii="Times New Roman" w:hAnsi="Times New Roman"/>
          <w:b/>
          <w:sz w:val="24"/>
          <w:szCs w:val="24"/>
          <w:lang w:val="pt-BR"/>
        </w:rPr>
        <w:t>Referências</w:t>
      </w:r>
    </w:p>
    <w:p w:rsidR="006D3DF4" w:rsidRPr="00C15F70" w:rsidRDefault="006D3DF4" w:rsidP="00C15F70">
      <w:pPr>
        <w:pStyle w:val="ListParagraph1"/>
        <w:numPr>
          <w:ilvl w:val="0"/>
          <w:numId w:val="1"/>
        </w:numPr>
        <w:spacing w:line="360" w:lineRule="auto"/>
        <w:jc w:val="both"/>
        <w:rPr>
          <w:rFonts w:ascii="Times New Roman" w:hAnsi="Times New Roman"/>
          <w:sz w:val="24"/>
          <w:szCs w:val="24"/>
          <w:lang w:val="pt-BR"/>
        </w:rPr>
      </w:pPr>
      <w:r w:rsidRPr="00C15F70">
        <w:rPr>
          <w:rFonts w:ascii="Times New Roman" w:hAnsi="Times New Roman"/>
          <w:sz w:val="24"/>
          <w:szCs w:val="24"/>
          <w:lang w:val="pt-BR"/>
        </w:rPr>
        <w:t xml:space="preserve">Cotrim, HP. Doença Hepática Gordurosa Não-alcoólica: história natural. </w:t>
      </w:r>
      <w:r w:rsidRPr="00C15F70">
        <w:rPr>
          <w:rFonts w:ascii="Times New Roman" w:hAnsi="Times New Roman"/>
          <w:b/>
          <w:sz w:val="24"/>
          <w:szCs w:val="24"/>
          <w:lang w:val="pt-BR"/>
        </w:rPr>
        <w:t>Gaz Med Bahia.</w:t>
      </w:r>
      <w:r w:rsidRPr="00C15F70">
        <w:rPr>
          <w:rFonts w:ascii="Times New Roman" w:hAnsi="Times New Roman"/>
          <w:sz w:val="24"/>
          <w:szCs w:val="24"/>
          <w:lang w:val="pt-BR"/>
        </w:rPr>
        <w:t xml:space="preserve"> 2009; 79 (2): 46-47.</w:t>
      </w:r>
    </w:p>
    <w:p w:rsidR="006D3DF4" w:rsidRPr="00C15F70" w:rsidRDefault="006D3DF4" w:rsidP="00C15F70">
      <w:pPr>
        <w:pStyle w:val="ListParagraph1"/>
        <w:numPr>
          <w:ilvl w:val="0"/>
          <w:numId w:val="1"/>
        </w:numPr>
        <w:spacing w:line="360" w:lineRule="auto"/>
        <w:jc w:val="both"/>
        <w:rPr>
          <w:rFonts w:ascii="Times New Roman" w:hAnsi="Times New Roman"/>
          <w:sz w:val="24"/>
          <w:szCs w:val="24"/>
          <w:lang w:val="pt-BR"/>
        </w:rPr>
      </w:pPr>
      <w:r w:rsidRPr="00C15F70">
        <w:rPr>
          <w:rFonts w:ascii="Times New Roman" w:hAnsi="Times New Roman"/>
          <w:sz w:val="24"/>
          <w:szCs w:val="24"/>
          <w:lang w:val="pt-BR"/>
        </w:rPr>
        <w:t xml:space="preserve">Mincis, M; Mincis, R. Esteatose e estato-hepatite não alcoólicas. </w:t>
      </w:r>
      <w:r w:rsidRPr="00C15F70">
        <w:rPr>
          <w:rFonts w:ascii="Times New Roman" w:hAnsi="Times New Roman"/>
          <w:b/>
          <w:sz w:val="24"/>
          <w:szCs w:val="24"/>
          <w:lang w:val="pt-BR"/>
        </w:rPr>
        <w:t>RBM.</w:t>
      </w:r>
      <w:r w:rsidRPr="00C15F70">
        <w:rPr>
          <w:rFonts w:ascii="Times New Roman" w:hAnsi="Times New Roman"/>
          <w:sz w:val="24"/>
          <w:szCs w:val="24"/>
          <w:lang w:val="pt-BR"/>
        </w:rPr>
        <w:t xml:space="preserve"> 2006: 564- 570.</w:t>
      </w:r>
    </w:p>
    <w:p w:rsidR="006D3DF4" w:rsidRPr="00C15F70" w:rsidRDefault="006D3DF4" w:rsidP="00C15F70">
      <w:pPr>
        <w:numPr>
          <w:ilvl w:val="0"/>
          <w:numId w:val="1"/>
        </w:numPr>
        <w:spacing w:after="0" w:line="360" w:lineRule="auto"/>
        <w:contextualSpacing/>
        <w:jc w:val="both"/>
        <w:rPr>
          <w:rFonts w:ascii="Times New Roman" w:hAnsi="Times New Roman"/>
          <w:sz w:val="24"/>
          <w:szCs w:val="24"/>
          <w:lang w:val="pt-BR"/>
        </w:rPr>
      </w:pPr>
      <w:r w:rsidRPr="00457549">
        <w:rPr>
          <w:rFonts w:ascii="Times New Roman" w:hAnsi="Times New Roman"/>
          <w:sz w:val="24"/>
          <w:szCs w:val="24"/>
        </w:rPr>
        <w:t xml:space="preserve">Padoin AV, Staub HL, Chatkin JM, Moretto M, Maggioni L, Rizzolli J, Mottin CC. </w:t>
      </w:r>
      <w:r w:rsidRPr="00C15F70">
        <w:rPr>
          <w:rFonts w:ascii="Times New Roman" w:hAnsi="Times New Roman"/>
          <w:sz w:val="24"/>
          <w:szCs w:val="24"/>
          <w:lang w:val="pt-BR"/>
        </w:rPr>
        <w:t xml:space="preserve">Doença hepatica não alcoólica gordurosa e risco de cirrose. </w:t>
      </w:r>
      <w:r w:rsidRPr="00C15F70">
        <w:rPr>
          <w:rFonts w:ascii="Times New Roman" w:hAnsi="Times New Roman"/>
          <w:b/>
          <w:sz w:val="24"/>
          <w:szCs w:val="24"/>
          <w:lang w:val="pt-BR"/>
        </w:rPr>
        <w:t>Scient Med.</w:t>
      </w:r>
      <w:r w:rsidRPr="00C15F70">
        <w:rPr>
          <w:rFonts w:ascii="Times New Roman" w:hAnsi="Times New Roman"/>
          <w:sz w:val="24"/>
          <w:szCs w:val="24"/>
          <w:lang w:val="pt-BR"/>
        </w:rPr>
        <w:t xml:space="preserve"> 2008; 8 (4): 172-176.</w:t>
      </w:r>
    </w:p>
    <w:p w:rsidR="006D3DF4" w:rsidRPr="00C15F70" w:rsidRDefault="006D3DF4" w:rsidP="00C15F70">
      <w:pPr>
        <w:numPr>
          <w:ilvl w:val="0"/>
          <w:numId w:val="1"/>
        </w:numPr>
        <w:spacing w:after="0" w:line="360" w:lineRule="auto"/>
        <w:contextualSpacing/>
        <w:jc w:val="both"/>
        <w:rPr>
          <w:rFonts w:ascii="Times New Roman" w:hAnsi="Times New Roman"/>
          <w:sz w:val="24"/>
          <w:szCs w:val="24"/>
        </w:rPr>
      </w:pPr>
      <w:r w:rsidRPr="00C15F70">
        <w:rPr>
          <w:rFonts w:ascii="Times New Roman" w:hAnsi="Times New Roman"/>
          <w:sz w:val="24"/>
          <w:szCs w:val="24"/>
        </w:rPr>
        <w:t xml:space="preserve">Neuschwander BA. Nonalcoholic steatohepatitis: an evolving diagnosis. </w:t>
      </w:r>
      <w:r w:rsidRPr="00C15F70">
        <w:rPr>
          <w:rFonts w:ascii="Times New Roman" w:hAnsi="Times New Roman"/>
          <w:b/>
          <w:sz w:val="24"/>
          <w:szCs w:val="24"/>
        </w:rPr>
        <w:t>Can J Gastroenterol.</w:t>
      </w:r>
      <w:r w:rsidRPr="00C15F70">
        <w:rPr>
          <w:rFonts w:ascii="Times New Roman" w:hAnsi="Times New Roman"/>
          <w:sz w:val="24"/>
          <w:szCs w:val="24"/>
        </w:rPr>
        <w:t xml:space="preserve"> 2000; 14(4): 321- 326. </w:t>
      </w:r>
    </w:p>
    <w:p w:rsidR="006D3DF4" w:rsidRPr="00C15F70" w:rsidRDefault="006D3DF4" w:rsidP="00C15F70">
      <w:pPr>
        <w:numPr>
          <w:ilvl w:val="0"/>
          <w:numId w:val="1"/>
        </w:numPr>
        <w:spacing w:after="0" w:line="360" w:lineRule="auto"/>
        <w:contextualSpacing/>
        <w:jc w:val="both"/>
        <w:rPr>
          <w:rFonts w:ascii="Times New Roman" w:hAnsi="Times New Roman"/>
          <w:sz w:val="24"/>
          <w:szCs w:val="24"/>
        </w:rPr>
      </w:pPr>
      <w:r w:rsidRPr="00C15F70">
        <w:rPr>
          <w:rFonts w:ascii="Times New Roman" w:hAnsi="Times New Roman"/>
          <w:sz w:val="24"/>
          <w:szCs w:val="24"/>
        </w:rPr>
        <w:t xml:space="preserve">Bellentani, S; Saccoccio, G; Masutti, F; Croce, LS; Brandi, G; Sasso, F; Cristanini, G; Tiribelli, C. Prevalence of and Risk factors for hepatic steatosis in Northern Italy. </w:t>
      </w:r>
      <w:r w:rsidRPr="00C15F70">
        <w:rPr>
          <w:rFonts w:ascii="Times New Roman" w:hAnsi="Times New Roman"/>
          <w:b/>
          <w:sz w:val="24"/>
          <w:szCs w:val="24"/>
        </w:rPr>
        <w:t>Ann Intern Med.</w:t>
      </w:r>
      <w:r w:rsidRPr="00C15F70">
        <w:rPr>
          <w:rFonts w:ascii="Times New Roman" w:hAnsi="Times New Roman"/>
          <w:sz w:val="24"/>
          <w:szCs w:val="24"/>
        </w:rPr>
        <w:t xml:space="preserve"> 2000; 132: 112- 117.</w:t>
      </w:r>
    </w:p>
    <w:p w:rsidR="006D3DF4" w:rsidRPr="00C15F70" w:rsidRDefault="006D3DF4" w:rsidP="00C15F70">
      <w:pPr>
        <w:numPr>
          <w:ilvl w:val="0"/>
          <w:numId w:val="1"/>
        </w:numPr>
        <w:spacing w:after="0" w:line="360" w:lineRule="auto"/>
        <w:contextualSpacing/>
        <w:jc w:val="both"/>
        <w:rPr>
          <w:rFonts w:ascii="Times New Roman" w:hAnsi="Times New Roman"/>
          <w:sz w:val="24"/>
          <w:szCs w:val="24"/>
        </w:rPr>
      </w:pPr>
      <w:r w:rsidRPr="00C15F70">
        <w:rPr>
          <w:rFonts w:ascii="Times New Roman" w:hAnsi="Times New Roman"/>
          <w:sz w:val="24"/>
          <w:szCs w:val="24"/>
        </w:rPr>
        <w:t xml:space="preserve">Adams LA and Angulo P. Treatment of non- alcoholic fatty liver disease. </w:t>
      </w:r>
      <w:r w:rsidRPr="00C15F70">
        <w:rPr>
          <w:rFonts w:ascii="Times New Roman" w:hAnsi="Times New Roman"/>
          <w:b/>
          <w:sz w:val="24"/>
          <w:szCs w:val="24"/>
        </w:rPr>
        <w:t>Postgrad Med J.</w:t>
      </w:r>
      <w:r w:rsidRPr="00C15F70">
        <w:rPr>
          <w:rFonts w:ascii="Times New Roman" w:hAnsi="Times New Roman"/>
          <w:sz w:val="24"/>
          <w:szCs w:val="24"/>
        </w:rPr>
        <w:t xml:space="preserve"> 2006; 82: 315-322.</w:t>
      </w:r>
    </w:p>
    <w:p w:rsidR="006D3DF4" w:rsidRPr="00C15F70" w:rsidRDefault="006D3DF4" w:rsidP="00C15F70">
      <w:pPr>
        <w:numPr>
          <w:ilvl w:val="0"/>
          <w:numId w:val="1"/>
        </w:numPr>
        <w:spacing w:after="0" w:line="360" w:lineRule="auto"/>
        <w:contextualSpacing/>
        <w:jc w:val="both"/>
        <w:rPr>
          <w:rFonts w:ascii="Times New Roman" w:hAnsi="Times New Roman"/>
          <w:sz w:val="24"/>
          <w:szCs w:val="24"/>
          <w:lang w:val="pt-BR"/>
        </w:rPr>
      </w:pPr>
      <w:r w:rsidRPr="00C15F70">
        <w:rPr>
          <w:rFonts w:ascii="Times New Roman" w:hAnsi="Times New Roman"/>
          <w:sz w:val="24"/>
          <w:szCs w:val="24"/>
          <w:lang w:val="pt-BR"/>
        </w:rPr>
        <w:t xml:space="preserve">Mattos AA. Hesteato-hepatite não alcoólica. </w:t>
      </w:r>
      <w:r w:rsidRPr="00C15F70">
        <w:rPr>
          <w:rFonts w:ascii="Times New Roman" w:hAnsi="Times New Roman"/>
          <w:b/>
          <w:sz w:val="24"/>
          <w:szCs w:val="24"/>
          <w:lang w:val="pt-BR"/>
        </w:rPr>
        <w:t>J Bras gastroenterol.</w:t>
      </w:r>
      <w:r w:rsidRPr="00C15F70">
        <w:rPr>
          <w:rFonts w:ascii="Times New Roman" w:hAnsi="Times New Roman"/>
          <w:sz w:val="24"/>
          <w:szCs w:val="24"/>
          <w:lang w:val="pt-BR"/>
        </w:rPr>
        <w:t xml:space="preserve"> </w:t>
      </w:r>
      <w:r w:rsidRPr="00931927">
        <w:rPr>
          <w:rFonts w:ascii="Times New Roman" w:hAnsi="Times New Roman"/>
          <w:sz w:val="24"/>
          <w:szCs w:val="24"/>
          <w:lang w:val="pt-BR"/>
        </w:rPr>
        <w:t xml:space="preserve">2005; 5(4): </w:t>
      </w:r>
      <w:r w:rsidRPr="00C15F70">
        <w:rPr>
          <w:rFonts w:ascii="Times New Roman" w:hAnsi="Times New Roman"/>
          <w:sz w:val="24"/>
          <w:szCs w:val="24"/>
          <w:lang w:val="pt-BR"/>
        </w:rPr>
        <w:t>160-165.</w:t>
      </w:r>
    </w:p>
    <w:p w:rsidR="006D3DF4" w:rsidRPr="00C15F70" w:rsidRDefault="006D3DF4" w:rsidP="00C15F70">
      <w:pPr>
        <w:numPr>
          <w:ilvl w:val="0"/>
          <w:numId w:val="1"/>
        </w:numPr>
        <w:spacing w:after="0" w:line="360" w:lineRule="auto"/>
        <w:contextualSpacing/>
        <w:jc w:val="both"/>
        <w:rPr>
          <w:rFonts w:ascii="Times New Roman" w:hAnsi="Times New Roman"/>
          <w:sz w:val="24"/>
          <w:szCs w:val="24"/>
        </w:rPr>
      </w:pPr>
      <w:r w:rsidRPr="00C15F70">
        <w:rPr>
          <w:rFonts w:ascii="Times New Roman" w:hAnsi="Times New Roman"/>
          <w:sz w:val="24"/>
          <w:szCs w:val="24"/>
        </w:rPr>
        <w:t xml:space="preserve">Targher, G; Day, CP; Bonora, E. Risk Cardiovascular Disease in Patients with Non- alcoholic Fatty Liver Disease. </w:t>
      </w:r>
      <w:r w:rsidRPr="00C15F70">
        <w:rPr>
          <w:rFonts w:ascii="Times New Roman" w:hAnsi="Times New Roman"/>
          <w:b/>
          <w:sz w:val="24"/>
          <w:szCs w:val="24"/>
        </w:rPr>
        <w:t>N Engl J Med</w:t>
      </w:r>
      <w:r w:rsidRPr="00C15F70">
        <w:rPr>
          <w:rFonts w:ascii="Times New Roman" w:hAnsi="Times New Roman"/>
          <w:sz w:val="24"/>
          <w:szCs w:val="24"/>
        </w:rPr>
        <w:t xml:space="preserve">. 2010; 363 (14): 1341- 1350.   </w:t>
      </w:r>
    </w:p>
    <w:p w:rsidR="006D3DF4" w:rsidRPr="00C15F70" w:rsidRDefault="006D3DF4" w:rsidP="00C15F70">
      <w:pPr>
        <w:pStyle w:val="ListParagraph1"/>
        <w:numPr>
          <w:ilvl w:val="0"/>
          <w:numId w:val="1"/>
        </w:numPr>
        <w:spacing w:line="360" w:lineRule="auto"/>
        <w:jc w:val="both"/>
        <w:rPr>
          <w:rFonts w:ascii="Times New Roman" w:hAnsi="Times New Roman"/>
          <w:sz w:val="24"/>
          <w:szCs w:val="24"/>
        </w:rPr>
      </w:pPr>
      <w:r w:rsidRPr="00C15F70">
        <w:rPr>
          <w:rFonts w:ascii="Times New Roman" w:hAnsi="Times New Roman"/>
          <w:sz w:val="24"/>
          <w:szCs w:val="24"/>
        </w:rPr>
        <w:t xml:space="preserve">Duvnjak, M; Tomasic, V; Gomercic, M; Duvnjak, M; Barsic, N; Lerotic, I. Therapy of Nonalcoholic fatty liver disease: current status. </w:t>
      </w:r>
      <w:r w:rsidRPr="00C15F70">
        <w:rPr>
          <w:rFonts w:ascii="Times New Roman" w:hAnsi="Times New Roman"/>
          <w:b/>
          <w:sz w:val="24"/>
          <w:szCs w:val="24"/>
        </w:rPr>
        <w:t>J Physiol Pharmacol.</w:t>
      </w:r>
      <w:r w:rsidRPr="00C15F70">
        <w:rPr>
          <w:rFonts w:ascii="Times New Roman" w:hAnsi="Times New Roman"/>
          <w:sz w:val="24"/>
          <w:szCs w:val="24"/>
        </w:rPr>
        <w:t xml:space="preserve"> 2009; 60 (7): 57- 66.</w:t>
      </w:r>
    </w:p>
    <w:p w:rsidR="006D3DF4" w:rsidRPr="00C15F70" w:rsidRDefault="006D3DF4" w:rsidP="00C15F70">
      <w:pPr>
        <w:pStyle w:val="ListParagraph1"/>
        <w:numPr>
          <w:ilvl w:val="0"/>
          <w:numId w:val="1"/>
        </w:numPr>
        <w:autoSpaceDE w:val="0"/>
        <w:autoSpaceDN w:val="0"/>
        <w:adjustRightInd w:val="0"/>
        <w:spacing w:after="0" w:line="360" w:lineRule="auto"/>
        <w:jc w:val="both"/>
        <w:rPr>
          <w:rFonts w:ascii="Times New Roman" w:hAnsi="Times New Roman"/>
          <w:sz w:val="24"/>
          <w:szCs w:val="24"/>
          <w:lang w:val="pt-BR"/>
        </w:rPr>
      </w:pPr>
      <w:r w:rsidRPr="00C15F70">
        <w:rPr>
          <w:rFonts w:ascii="Times New Roman" w:hAnsi="Times New Roman"/>
          <w:sz w:val="24"/>
          <w:szCs w:val="24"/>
          <w:lang w:val="pt-BR"/>
        </w:rPr>
        <w:t>Soler, GLN; Silva, AWSM; Silva, VCG; Teixeira, RJ. Doença Hepática Gordurosa Não – Alcoólica: associação com síndrome metabólica e fatores de risco cardiovascular.</w:t>
      </w:r>
      <w:r w:rsidRPr="00C15F70">
        <w:rPr>
          <w:rFonts w:ascii="Times New Roman" w:hAnsi="Times New Roman"/>
          <w:b/>
          <w:sz w:val="24"/>
          <w:szCs w:val="24"/>
          <w:lang w:val="pt-BR"/>
        </w:rPr>
        <w:t xml:space="preserve"> Rev SOCERJ.</w:t>
      </w:r>
      <w:r w:rsidRPr="00C15F70">
        <w:rPr>
          <w:rFonts w:ascii="Times New Roman" w:hAnsi="Times New Roman"/>
          <w:sz w:val="24"/>
          <w:szCs w:val="24"/>
          <w:lang w:val="pt-BR"/>
        </w:rPr>
        <w:t xml:space="preserve"> 2008; 21 (2): 94- 100.</w:t>
      </w:r>
    </w:p>
    <w:p w:rsidR="006D3DF4" w:rsidRPr="00C15F70" w:rsidRDefault="006D3DF4" w:rsidP="00C15F70">
      <w:pPr>
        <w:numPr>
          <w:ilvl w:val="0"/>
          <w:numId w:val="1"/>
        </w:numPr>
        <w:spacing w:line="360" w:lineRule="auto"/>
        <w:rPr>
          <w:rFonts w:ascii="Times New Roman" w:hAnsi="Times New Roman"/>
          <w:sz w:val="24"/>
          <w:szCs w:val="24"/>
        </w:rPr>
      </w:pPr>
      <w:hyperlink r:id="rId7" w:history="1">
        <w:r w:rsidRPr="00C15F70">
          <w:rPr>
            <w:rStyle w:val="Hyperlink"/>
            <w:rFonts w:ascii="Times New Roman" w:hAnsi="Times New Roman" w:cs="Times New Roman"/>
            <w:color w:val="auto"/>
            <w:sz w:val="24"/>
            <w:szCs w:val="24"/>
            <w:u w:val="none"/>
          </w:rPr>
          <w:t>Gaemers IC</w:t>
        </w:r>
      </w:hyperlink>
      <w:r w:rsidRPr="00C15F70">
        <w:rPr>
          <w:rFonts w:ascii="Times New Roman" w:hAnsi="Times New Roman"/>
          <w:sz w:val="24"/>
          <w:szCs w:val="24"/>
        </w:rPr>
        <w:t xml:space="preserve">, </w:t>
      </w:r>
      <w:hyperlink r:id="rId8" w:history="1">
        <w:r w:rsidRPr="00C15F70">
          <w:rPr>
            <w:rStyle w:val="Hyperlink"/>
            <w:rFonts w:ascii="Times New Roman" w:hAnsi="Times New Roman" w:cs="Times New Roman"/>
            <w:color w:val="auto"/>
            <w:sz w:val="24"/>
            <w:szCs w:val="24"/>
            <w:u w:val="none"/>
          </w:rPr>
          <w:t>Groen AK</w:t>
        </w:r>
      </w:hyperlink>
      <w:r w:rsidRPr="00C15F70">
        <w:rPr>
          <w:rFonts w:ascii="Times New Roman" w:hAnsi="Times New Roman"/>
          <w:sz w:val="24"/>
          <w:szCs w:val="24"/>
        </w:rPr>
        <w:t>.  New insights in the pathogenesis of non-alcoholic fatty liver disease.</w:t>
      </w:r>
      <w:r w:rsidRPr="00C15F70">
        <w:rPr>
          <w:rFonts w:ascii="Times New Roman" w:hAnsi="Times New Roman"/>
          <w:b/>
          <w:sz w:val="24"/>
          <w:szCs w:val="24"/>
        </w:rPr>
        <w:t xml:space="preserve"> </w:t>
      </w:r>
      <w:hyperlink r:id="rId9" w:tooltip="Current opinion in lipidology." w:history="1">
        <w:r w:rsidRPr="00C15F70">
          <w:rPr>
            <w:rStyle w:val="Hyperlink"/>
            <w:rFonts w:ascii="Times New Roman" w:hAnsi="Times New Roman" w:cs="Times New Roman"/>
            <w:b/>
            <w:color w:val="auto"/>
            <w:sz w:val="24"/>
            <w:szCs w:val="24"/>
            <w:u w:val="none"/>
          </w:rPr>
          <w:t>Curr Opin Lipidol.</w:t>
        </w:r>
      </w:hyperlink>
      <w:r w:rsidRPr="00C15F70">
        <w:rPr>
          <w:rFonts w:ascii="Times New Roman" w:hAnsi="Times New Roman"/>
          <w:sz w:val="24"/>
          <w:szCs w:val="24"/>
        </w:rPr>
        <w:t xml:space="preserve"> 2006 ;17(3):268-73.</w:t>
      </w:r>
    </w:p>
    <w:p w:rsidR="006D3DF4" w:rsidRPr="00C15F70" w:rsidRDefault="006D3DF4" w:rsidP="00C15F70">
      <w:pPr>
        <w:pStyle w:val="ListParagraph1"/>
        <w:numPr>
          <w:ilvl w:val="0"/>
          <w:numId w:val="1"/>
        </w:numPr>
        <w:spacing w:line="360" w:lineRule="auto"/>
        <w:jc w:val="both"/>
        <w:rPr>
          <w:rFonts w:ascii="Times New Roman" w:hAnsi="Times New Roman"/>
          <w:sz w:val="24"/>
          <w:szCs w:val="24"/>
        </w:rPr>
      </w:pPr>
      <w:r w:rsidRPr="00C15F70">
        <w:rPr>
          <w:rFonts w:ascii="Times New Roman" w:hAnsi="Times New Roman"/>
          <w:sz w:val="24"/>
          <w:szCs w:val="24"/>
          <w:lang w:val="pt-BR"/>
        </w:rPr>
        <w:t xml:space="preserve">Marques, CMM; Motta, VF; Torres, TS; Aguila, MB; Mandarim de Lacerda, CA. </w:t>
      </w:r>
      <w:r w:rsidRPr="00C15F70">
        <w:rPr>
          <w:rFonts w:ascii="Times New Roman" w:hAnsi="Times New Roman"/>
          <w:sz w:val="24"/>
          <w:szCs w:val="24"/>
        </w:rPr>
        <w:t xml:space="preserve">Beneficial effects of exercise training (treadmill) on insulin resistance and nonalcoholic fatty liver disease in high- fat fed C57BL 6 mice. </w:t>
      </w:r>
      <w:r w:rsidRPr="00C15F70">
        <w:rPr>
          <w:rFonts w:ascii="Times New Roman" w:hAnsi="Times New Roman"/>
          <w:b/>
          <w:sz w:val="24"/>
          <w:szCs w:val="24"/>
        </w:rPr>
        <w:t>Braz J Med Biol Res.</w:t>
      </w:r>
      <w:r w:rsidRPr="00C15F70">
        <w:rPr>
          <w:rFonts w:ascii="Times New Roman" w:hAnsi="Times New Roman"/>
          <w:sz w:val="24"/>
          <w:szCs w:val="24"/>
        </w:rPr>
        <w:t xml:space="preserve"> 2010; 43: 467-475.</w:t>
      </w:r>
    </w:p>
    <w:p w:rsidR="006D3DF4" w:rsidRPr="00C15F70" w:rsidRDefault="006D3DF4" w:rsidP="00C15F70">
      <w:pPr>
        <w:numPr>
          <w:ilvl w:val="0"/>
          <w:numId w:val="1"/>
        </w:numPr>
        <w:spacing w:line="360" w:lineRule="auto"/>
        <w:rPr>
          <w:rStyle w:val="A2"/>
          <w:rFonts w:ascii="Times New Roman" w:hAnsi="Times New Roman"/>
          <w:i w:val="0"/>
          <w:color w:val="auto"/>
          <w:sz w:val="24"/>
          <w:szCs w:val="24"/>
          <w:lang w:val="pt-BR"/>
        </w:rPr>
      </w:pPr>
      <w:r w:rsidRPr="00C15F70">
        <w:rPr>
          <w:rFonts w:ascii="Times New Roman" w:hAnsi="Times New Roman"/>
          <w:iCs/>
          <w:color w:val="000000"/>
          <w:sz w:val="24"/>
          <w:szCs w:val="24"/>
          <w:lang w:val="pt-BR" w:eastAsia="pt-BR"/>
        </w:rPr>
        <w:t>Padilha PC, Rocha HF, Alves N,Peres WAF.</w:t>
      </w:r>
      <w:r w:rsidRPr="00C15F70">
        <w:rPr>
          <w:rFonts w:ascii="Times New Roman" w:hAnsi="Times New Roman"/>
          <w:color w:val="000000"/>
          <w:sz w:val="24"/>
          <w:szCs w:val="24"/>
          <w:lang w:val="pt-BR" w:eastAsia="pt-BR"/>
        </w:rPr>
        <w:t xml:space="preserve"> </w:t>
      </w:r>
      <w:r w:rsidRPr="00C15F70">
        <w:rPr>
          <w:rFonts w:ascii="Times New Roman" w:hAnsi="Times New Roman"/>
          <w:bCs/>
          <w:color w:val="000000"/>
          <w:sz w:val="24"/>
          <w:szCs w:val="24"/>
          <w:lang w:val="pt-BR" w:eastAsia="pt-BR"/>
        </w:rPr>
        <w:t xml:space="preserve">Prevalência de doença hepática não-alcoólica em crianças e adolescentes obesos: uma revisão sistemática. </w:t>
      </w:r>
      <w:r w:rsidRPr="00C15F70">
        <w:rPr>
          <w:rStyle w:val="A2"/>
          <w:rFonts w:ascii="Times New Roman" w:hAnsi="Times New Roman"/>
          <w:b/>
          <w:i w:val="0"/>
          <w:sz w:val="24"/>
          <w:szCs w:val="24"/>
          <w:lang w:val="pt-BR"/>
        </w:rPr>
        <w:t>Rev Paul Pediatr</w:t>
      </w:r>
      <w:r w:rsidRPr="00C15F70">
        <w:rPr>
          <w:rStyle w:val="A2"/>
          <w:rFonts w:ascii="Times New Roman" w:hAnsi="Times New Roman"/>
          <w:b/>
          <w:i w:val="0"/>
          <w:iCs/>
          <w:sz w:val="24"/>
          <w:szCs w:val="24"/>
          <w:lang w:val="pt-BR"/>
        </w:rPr>
        <w:t>.</w:t>
      </w:r>
      <w:r w:rsidRPr="00C15F70">
        <w:rPr>
          <w:rStyle w:val="A2"/>
          <w:rFonts w:ascii="Times New Roman" w:hAnsi="Times New Roman"/>
          <w:i w:val="0"/>
          <w:iCs/>
          <w:sz w:val="24"/>
          <w:szCs w:val="24"/>
          <w:lang w:val="pt-BR"/>
        </w:rPr>
        <w:t xml:space="preserve"> 2010;28(4):387-93.</w:t>
      </w:r>
    </w:p>
    <w:p w:rsidR="006D3DF4" w:rsidRPr="00931927" w:rsidRDefault="006D3DF4" w:rsidP="00C15F70">
      <w:pPr>
        <w:numPr>
          <w:ilvl w:val="0"/>
          <w:numId w:val="1"/>
        </w:numPr>
        <w:spacing w:after="0" w:line="360" w:lineRule="auto"/>
        <w:contextualSpacing/>
        <w:jc w:val="both"/>
        <w:rPr>
          <w:rFonts w:ascii="Times New Roman" w:hAnsi="Times New Roman"/>
          <w:sz w:val="24"/>
          <w:szCs w:val="24"/>
          <w:lang w:val="pt-BR"/>
        </w:rPr>
      </w:pPr>
      <w:r w:rsidRPr="00C15F70">
        <w:rPr>
          <w:rFonts w:ascii="Times New Roman" w:hAnsi="Times New Roman"/>
          <w:sz w:val="24"/>
          <w:szCs w:val="24"/>
          <w:lang w:val="pt-BR"/>
        </w:rPr>
        <w:t xml:space="preserve">Lira, FS. Regulação do metabolismo Hepático de Lipídios: Impacto do exercício Físico sobre a esteatose Hepática Não- Alcoólica. </w:t>
      </w:r>
      <w:r w:rsidRPr="00C15F70">
        <w:rPr>
          <w:rFonts w:ascii="Times New Roman" w:hAnsi="Times New Roman"/>
          <w:b/>
          <w:sz w:val="24"/>
          <w:szCs w:val="24"/>
          <w:lang w:val="pt-BR"/>
        </w:rPr>
        <w:t>Rev Mack Ed Física e Esporte.</w:t>
      </w:r>
      <w:r w:rsidRPr="00C15F70">
        <w:rPr>
          <w:rFonts w:ascii="Times New Roman" w:hAnsi="Times New Roman"/>
          <w:sz w:val="24"/>
          <w:szCs w:val="24"/>
          <w:lang w:val="pt-BR"/>
        </w:rPr>
        <w:t xml:space="preserve"> 2010; 9 (1): 132- 135.</w:t>
      </w:r>
    </w:p>
    <w:p w:rsidR="006D3DF4" w:rsidRPr="00C15F70" w:rsidRDefault="006D3DF4" w:rsidP="00C15F70">
      <w:pPr>
        <w:pStyle w:val="ListParagraph1"/>
        <w:numPr>
          <w:ilvl w:val="0"/>
          <w:numId w:val="1"/>
        </w:numPr>
        <w:autoSpaceDE w:val="0"/>
        <w:autoSpaceDN w:val="0"/>
        <w:adjustRightInd w:val="0"/>
        <w:spacing w:after="0" w:line="360" w:lineRule="auto"/>
        <w:jc w:val="both"/>
        <w:rPr>
          <w:rFonts w:ascii="Times New Roman" w:hAnsi="Times New Roman"/>
          <w:sz w:val="24"/>
          <w:szCs w:val="24"/>
        </w:rPr>
      </w:pPr>
      <w:r w:rsidRPr="00C15F70">
        <w:rPr>
          <w:rFonts w:ascii="Times New Roman" w:hAnsi="Times New Roman"/>
          <w:sz w:val="24"/>
          <w:szCs w:val="24"/>
          <w:lang w:val="pt-BR"/>
        </w:rPr>
        <w:t xml:space="preserve">Belmonte, MA; Aoki, MS; Tavares, FL; Seelaender, MC. </w:t>
      </w:r>
      <w:r w:rsidRPr="00C15F70">
        <w:rPr>
          <w:rFonts w:ascii="Times New Roman" w:hAnsi="Times New Roman"/>
          <w:sz w:val="24"/>
          <w:szCs w:val="24"/>
        </w:rPr>
        <w:t xml:space="preserve">Rat myocellular and perimysial intramuscular triacyglycerol: a histological approach. </w:t>
      </w:r>
      <w:r w:rsidRPr="00C15F70">
        <w:rPr>
          <w:rFonts w:ascii="Times New Roman" w:hAnsi="Times New Roman"/>
          <w:b/>
          <w:sz w:val="24"/>
          <w:szCs w:val="24"/>
        </w:rPr>
        <w:t xml:space="preserve">Med Sci Sports Exerc. </w:t>
      </w:r>
      <w:r w:rsidRPr="00C15F70">
        <w:rPr>
          <w:rFonts w:ascii="Times New Roman" w:hAnsi="Times New Roman"/>
          <w:sz w:val="24"/>
          <w:szCs w:val="24"/>
        </w:rPr>
        <w:t>2004; 36 (1): 60- 67.</w:t>
      </w:r>
    </w:p>
    <w:p w:rsidR="006D3DF4" w:rsidRPr="00C15F70" w:rsidRDefault="006D3DF4" w:rsidP="00C15F70">
      <w:pPr>
        <w:numPr>
          <w:ilvl w:val="0"/>
          <w:numId w:val="1"/>
        </w:numPr>
        <w:spacing w:line="360" w:lineRule="auto"/>
        <w:rPr>
          <w:rFonts w:ascii="Times New Roman" w:hAnsi="Times New Roman"/>
          <w:sz w:val="24"/>
          <w:szCs w:val="24"/>
        </w:rPr>
      </w:pPr>
      <w:r w:rsidRPr="00457549">
        <w:rPr>
          <w:rStyle w:val="A2"/>
          <w:rFonts w:ascii="Times New Roman" w:hAnsi="Times New Roman"/>
          <w:i w:val="0"/>
          <w:iCs/>
          <w:sz w:val="24"/>
          <w:szCs w:val="24"/>
          <w:lang w:val="pt-BR"/>
        </w:rPr>
        <w:t xml:space="preserve">Adams LA, Angulo P, Lindor KD. </w:t>
      </w:r>
      <w:r w:rsidRPr="00C15F70">
        <w:rPr>
          <w:rStyle w:val="A2"/>
          <w:rFonts w:ascii="Times New Roman" w:hAnsi="Times New Roman"/>
          <w:i w:val="0"/>
          <w:iCs/>
          <w:sz w:val="24"/>
          <w:szCs w:val="24"/>
        </w:rPr>
        <w:t xml:space="preserve">Nonalcoholic fatty liver disease. </w:t>
      </w:r>
      <w:r w:rsidRPr="00C15F70">
        <w:rPr>
          <w:rFonts w:ascii="Times New Roman" w:hAnsi="Times New Roman"/>
          <w:b/>
          <w:sz w:val="24"/>
          <w:szCs w:val="24"/>
        </w:rPr>
        <w:t>CMAJ.</w:t>
      </w:r>
      <w:r w:rsidRPr="00C15F70">
        <w:rPr>
          <w:rFonts w:ascii="Times New Roman" w:hAnsi="Times New Roman"/>
          <w:sz w:val="24"/>
          <w:szCs w:val="24"/>
          <w:lang w:eastAsia="pt-BR"/>
        </w:rPr>
        <w:t xml:space="preserve"> 2005; 172 (7): 899- 905.</w:t>
      </w:r>
    </w:p>
    <w:p w:rsidR="006D3DF4" w:rsidRPr="00C15F70" w:rsidRDefault="006D3DF4" w:rsidP="00C15F70">
      <w:pPr>
        <w:numPr>
          <w:ilvl w:val="0"/>
          <w:numId w:val="1"/>
        </w:numPr>
        <w:spacing w:after="0" w:line="360" w:lineRule="auto"/>
        <w:contextualSpacing/>
        <w:jc w:val="both"/>
        <w:rPr>
          <w:rFonts w:ascii="Times New Roman" w:hAnsi="Times New Roman"/>
          <w:sz w:val="24"/>
          <w:szCs w:val="24"/>
        </w:rPr>
      </w:pPr>
      <w:r w:rsidRPr="00C15F70">
        <w:rPr>
          <w:rFonts w:ascii="Times New Roman" w:hAnsi="Times New Roman"/>
          <w:sz w:val="24"/>
          <w:szCs w:val="24"/>
        </w:rPr>
        <w:t>Joy, D; Thava, VR; Scott, BB. Diagnosis of fatty liver disease: is biopsy necessary</w:t>
      </w:r>
      <w:r w:rsidRPr="00C15F70">
        <w:rPr>
          <w:rFonts w:ascii="Times New Roman" w:hAnsi="Times New Roman"/>
          <w:color w:val="000000"/>
          <w:sz w:val="24"/>
          <w:szCs w:val="24"/>
        </w:rPr>
        <w:t xml:space="preserve"> ? </w:t>
      </w:r>
      <w:r w:rsidRPr="00C15F70">
        <w:rPr>
          <w:rFonts w:ascii="Times New Roman" w:hAnsi="Times New Roman"/>
          <w:b/>
          <w:color w:val="000000"/>
          <w:sz w:val="24"/>
          <w:szCs w:val="24"/>
        </w:rPr>
        <w:t>Eur J Gastroenterol Hepatol.</w:t>
      </w:r>
      <w:r w:rsidRPr="00C15F70">
        <w:rPr>
          <w:rFonts w:ascii="Times New Roman" w:hAnsi="Times New Roman"/>
          <w:color w:val="000000"/>
          <w:sz w:val="24"/>
          <w:szCs w:val="24"/>
        </w:rPr>
        <w:t xml:space="preserve"> 2003; 15: 539- 543.</w:t>
      </w:r>
    </w:p>
    <w:p w:rsidR="006D3DF4" w:rsidRPr="00C15F70" w:rsidRDefault="006D3DF4" w:rsidP="00C15F70">
      <w:pPr>
        <w:pStyle w:val="ListParagraph1"/>
        <w:numPr>
          <w:ilvl w:val="0"/>
          <w:numId w:val="1"/>
        </w:numPr>
        <w:spacing w:line="360" w:lineRule="auto"/>
        <w:jc w:val="both"/>
        <w:rPr>
          <w:rFonts w:ascii="Times New Roman" w:hAnsi="Times New Roman"/>
          <w:sz w:val="24"/>
          <w:szCs w:val="24"/>
        </w:rPr>
      </w:pPr>
      <w:r w:rsidRPr="00C15F70">
        <w:rPr>
          <w:rFonts w:ascii="Times New Roman" w:hAnsi="Times New Roman"/>
          <w:sz w:val="24"/>
          <w:szCs w:val="24"/>
          <w:lang w:val="nl-NL"/>
        </w:rPr>
        <w:t xml:space="preserve">Saadeh, S; Younossi ZM; Remer EM; Gramlich, T; Ong, JP; Hurley M, et al. </w:t>
      </w:r>
      <w:r w:rsidRPr="00C15F70">
        <w:rPr>
          <w:rFonts w:ascii="Times New Roman" w:hAnsi="Times New Roman"/>
          <w:sz w:val="24"/>
          <w:szCs w:val="24"/>
        </w:rPr>
        <w:t xml:space="preserve">The utility of radiological imaging in nonalcoholic fatty liver disease. </w:t>
      </w:r>
      <w:r w:rsidRPr="00C15F70">
        <w:rPr>
          <w:rFonts w:ascii="Times New Roman" w:hAnsi="Times New Roman"/>
          <w:b/>
          <w:sz w:val="24"/>
          <w:szCs w:val="24"/>
        </w:rPr>
        <w:t>Gastroenterol.</w:t>
      </w:r>
      <w:r w:rsidRPr="00C15F70">
        <w:rPr>
          <w:rFonts w:ascii="Times New Roman" w:hAnsi="Times New Roman"/>
          <w:sz w:val="24"/>
          <w:szCs w:val="24"/>
        </w:rPr>
        <w:t xml:space="preserve"> 2002; 123: 745- 750.</w:t>
      </w:r>
    </w:p>
    <w:p w:rsidR="006D3DF4" w:rsidRPr="00C15F70" w:rsidRDefault="006D3DF4" w:rsidP="00C15F70">
      <w:pPr>
        <w:pStyle w:val="ListParagraph1"/>
        <w:numPr>
          <w:ilvl w:val="0"/>
          <w:numId w:val="1"/>
        </w:numPr>
        <w:spacing w:line="360" w:lineRule="auto"/>
        <w:jc w:val="both"/>
        <w:rPr>
          <w:rFonts w:ascii="Times New Roman" w:hAnsi="Times New Roman"/>
          <w:sz w:val="24"/>
          <w:szCs w:val="24"/>
          <w:lang w:val="pt-BR"/>
        </w:rPr>
      </w:pPr>
      <w:r w:rsidRPr="00C15F70">
        <w:rPr>
          <w:rFonts w:ascii="Times New Roman" w:hAnsi="Times New Roman"/>
          <w:sz w:val="24"/>
          <w:szCs w:val="24"/>
          <w:lang w:val="pt-BR"/>
        </w:rPr>
        <w:t xml:space="preserve">Chaves, GV; Pereira, SE; Saboya, CJ; Cortes, C; Ramalho, R. Ultrassonografia e Ressonância Magnética: Estudo Comparativo no Diagnóstico de Esteatose em obesos grau III. </w:t>
      </w:r>
      <w:r w:rsidRPr="00C15F70">
        <w:rPr>
          <w:rFonts w:ascii="Times New Roman" w:hAnsi="Times New Roman"/>
          <w:b/>
          <w:sz w:val="24"/>
          <w:szCs w:val="24"/>
          <w:lang w:val="pt-BR"/>
        </w:rPr>
        <w:t>Rev Assoc Med Bras.</w:t>
      </w:r>
      <w:r w:rsidRPr="00C15F70">
        <w:rPr>
          <w:rFonts w:ascii="Times New Roman" w:hAnsi="Times New Roman"/>
          <w:sz w:val="24"/>
          <w:szCs w:val="24"/>
          <w:lang w:val="pt-BR"/>
        </w:rPr>
        <w:t xml:space="preserve"> 2009; 55 (1): 45- 49.</w:t>
      </w:r>
    </w:p>
    <w:p w:rsidR="006D3DF4" w:rsidRPr="00C15F70" w:rsidRDefault="006D3DF4" w:rsidP="00C15F70">
      <w:pPr>
        <w:numPr>
          <w:ilvl w:val="0"/>
          <w:numId w:val="1"/>
        </w:numPr>
        <w:spacing w:after="0" w:line="360" w:lineRule="auto"/>
        <w:contextualSpacing/>
        <w:jc w:val="both"/>
        <w:rPr>
          <w:rFonts w:ascii="Times New Roman" w:hAnsi="Times New Roman"/>
          <w:sz w:val="24"/>
          <w:szCs w:val="24"/>
        </w:rPr>
      </w:pPr>
      <w:r w:rsidRPr="00C15F70">
        <w:rPr>
          <w:rFonts w:ascii="Times New Roman" w:hAnsi="Times New Roman"/>
          <w:sz w:val="24"/>
          <w:szCs w:val="24"/>
        </w:rPr>
        <w:t xml:space="preserve">World Health Organization. Indicators for assessing vitamin A deficiency and their application in monitoring and evaluating intervention programmes. Micronutrient Series, WHO NUT. 10. Geneva: </w:t>
      </w:r>
      <w:r w:rsidRPr="00C15F70">
        <w:rPr>
          <w:rFonts w:ascii="Times New Roman" w:hAnsi="Times New Roman"/>
          <w:b/>
          <w:sz w:val="24"/>
          <w:szCs w:val="24"/>
        </w:rPr>
        <w:t>World Health Organization</w:t>
      </w:r>
      <w:r w:rsidRPr="00C15F70">
        <w:rPr>
          <w:rFonts w:ascii="Times New Roman" w:hAnsi="Times New Roman"/>
          <w:sz w:val="24"/>
          <w:szCs w:val="24"/>
        </w:rPr>
        <w:t>; 1996.</w:t>
      </w:r>
    </w:p>
    <w:p w:rsidR="006D3DF4" w:rsidRPr="00C15F70" w:rsidRDefault="006D3DF4" w:rsidP="00C15F70">
      <w:pPr>
        <w:pStyle w:val="ListParagraph1"/>
        <w:numPr>
          <w:ilvl w:val="0"/>
          <w:numId w:val="1"/>
        </w:numPr>
        <w:autoSpaceDE w:val="0"/>
        <w:autoSpaceDN w:val="0"/>
        <w:adjustRightInd w:val="0"/>
        <w:spacing w:after="0" w:line="360" w:lineRule="auto"/>
        <w:jc w:val="both"/>
        <w:rPr>
          <w:rFonts w:ascii="Times New Roman" w:hAnsi="Times New Roman"/>
          <w:sz w:val="24"/>
          <w:szCs w:val="24"/>
        </w:rPr>
      </w:pPr>
      <w:r w:rsidRPr="00C15F70">
        <w:rPr>
          <w:rFonts w:ascii="Times New Roman" w:hAnsi="Times New Roman"/>
          <w:sz w:val="24"/>
          <w:szCs w:val="24"/>
        </w:rPr>
        <w:t xml:space="preserve">Assah, FK; Ekelund, U; Brage, S; Mbanya, JC; Wareham, NJ. Free-living Physical Activity Energy Expenditure is strongly related to glucose intolerance in cameroonian adults independently of obesity. </w:t>
      </w:r>
      <w:r w:rsidRPr="00C15F70">
        <w:rPr>
          <w:rFonts w:ascii="Times New Roman" w:hAnsi="Times New Roman"/>
          <w:b/>
          <w:sz w:val="24"/>
          <w:szCs w:val="24"/>
        </w:rPr>
        <w:t xml:space="preserve">J Diab Care. </w:t>
      </w:r>
      <w:r w:rsidRPr="00C15F70">
        <w:rPr>
          <w:rFonts w:ascii="Times New Roman" w:hAnsi="Times New Roman"/>
          <w:sz w:val="24"/>
          <w:szCs w:val="24"/>
        </w:rPr>
        <w:t>2009; 32 (2): 367- 369.</w:t>
      </w:r>
    </w:p>
    <w:p w:rsidR="006D3DF4" w:rsidRPr="00C15F70" w:rsidRDefault="006D3DF4" w:rsidP="00C15F70">
      <w:pPr>
        <w:pStyle w:val="ListParagraph1"/>
        <w:numPr>
          <w:ilvl w:val="0"/>
          <w:numId w:val="1"/>
        </w:numPr>
        <w:autoSpaceDE w:val="0"/>
        <w:autoSpaceDN w:val="0"/>
        <w:adjustRightInd w:val="0"/>
        <w:spacing w:after="0" w:line="360" w:lineRule="auto"/>
        <w:jc w:val="both"/>
        <w:rPr>
          <w:rFonts w:ascii="Times New Roman" w:hAnsi="Times New Roman"/>
          <w:sz w:val="24"/>
          <w:szCs w:val="24"/>
        </w:rPr>
      </w:pPr>
      <w:r w:rsidRPr="00C15F70">
        <w:rPr>
          <w:rFonts w:ascii="Times New Roman" w:hAnsi="Times New Roman"/>
          <w:sz w:val="24"/>
          <w:szCs w:val="24"/>
        </w:rPr>
        <w:t xml:space="preserve">Suzuki A, Lindor K, St Saver J, </w:t>
      </w:r>
      <w:r w:rsidRPr="00C15F70">
        <w:rPr>
          <w:rFonts w:ascii="Times New Roman" w:hAnsi="Times New Roman"/>
          <w:i/>
          <w:iCs/>
          <w:sz w:val="24"/>
          <w:szCs w:val="24"/>
        </w:rPr>
        <w:t xml:space="preserve">et al. </w:t>
      </w:r>
      <w:r w:rsidRPr="00C15F70">
        <w:rPr>
          <w:rFonts w:ascii="Times New Roman" w:hAnsi="Times New Roman"/>
          <w:sz w:val="24"/>
          <w:szCs w:val="24"/>
        </w:rPr>
        <w:t>Effect of changes on body weight and lifestyle in nonalcoholic fatty liver disease.</w:t>
      </w:r>
      <w:r w:rsidRPr="00C15F70">
        <w:rPr>
          <w:rFonts w:ascii="Times New Roman" w:hAnsi="Times New Roman"/>
          <w:b/>
          <w:sz w:val="24"/>
          <w:szCs w:val="24"/>
        </w:rPr>
        <w:t xml:space="preserve"> J Hepatol</w:t>
      </w:r>
      <w:r w:rsidRPr="00C15F70">
        <w:rPr>
          <w:rFonts w:ascii="Times New Roman" w:hAnsi="Times New Roman"/>
          <w:b/>
          <w:iCs/>
          <w:sz w:val="24"/>
          <w:szCs w:val="24"/>
        </w:rPr>
        <w:t>.</w:t>
      </w:r>
      <w:r w:rsidRPr="00C15F70">
        <w:rPr>
          <w:rFonts w:ascii="Times New Roman" w:hAnsi="Times New Roman"/>
          <w:i/>
          <w:iCs/>
          <w:sz w:val="24"/>
          <w:szCs w:val="24"/>
        </w:rPr>
        <w:t xml:space="preserve"> </w:t>
      </w:r>
      <w:r w:rsidRPr="00C15F70">
        <w:rPr>
          <w:rFonts w:ascii="Times New Roman" w:hAnsi="Times New Roman"/>
          <w:sz w:val="24"/>
          <w:szCs w:val="24"/>
        </w:rPr>
        <w:t>2005; 43: 1060-1066.</w:t>
      </w:r>
    </w:p>
    <w:p w:rsidR="006D3DF4" w:rsidRPr="00C15F70" w:rsidRDefault="006D3DF4" w:rsidP="00C15F70">
      <w:pPr>
        <w:numPr>
          <w:ilvl w:val="0"/>
          <w:numId w:val="1"/>
        </w:numPr>
        <w:spacing w:line="360" w:lineRule="auto"/>
        <w:jc w:val="both"/>
        <w:rPr>
          <w:rFonts w:ascii="Times New Roman" w:hAnsi="Times New Roman"/>
          <w:sz w:val="24"/>
          <w:szCs w:val="24"/>
        </w:rPr>
      </w:pPr>
      <w:r w:rsidRPr="00C15F70">
        <w:rPr>
          <w:rFonts w:ascii="Times New Roman" w:hAnsi="Times New Roman"/>
          <w:sz w:val="24"/>
          <w:szCs w:val="24"/>
        </w:rPr>
        <w:t xml:space="preserve">Jebb AS. Obesity: from molecules to man. </w:t>
      </w:r>
      <w:r w:rsidRPr="00C15F70">
        <w:rPr>
          <w:rFonts w:ascii="Times New Roman" w:hAnsi="Times New Roman"/>
          <w:b/>
          <w:sz w:val="24"/>
          <w:szCs w:val="24"/>
        </w:rPr>
        <w:t>Proc Nutr Soc.</w:t>
      </w:r>
      <w:r w:rsidRPr="00C15F70">
        <w:rPr>
          <w:rFonts w:ascii="Times New Roman" w:hAnsi="Times New Roman"/>
          <w:sz w:val="24"/>
          <w:szCs w:val="24"/>
        </w:rPr>
        <w:t xml:space="preserve"> 1999; 58: 1-14.</w:t>
      </w:r>
    </w:p>
    <w:p w:rsidR="006D3DF4" w:rsidRPr="00C15F70" w:rsidRDefault="006D3DF4" w:rsidP="00C15F70">
      <w:pPr>
        <w:numPr>
          <w:ilvl w:val="0"/>
          <w:numId w:val="1"/>
        </w:numPr>
        <w:spacing w:line="360" w:lineRule="auto"/>
        <w:jc w:val="both"/>
        <w:rPr>
          <w:rFonts w:ascii="Times New Roman" w:hAnsi="Times New Roman"/>
          <w:sz w:val="24"/>
          <w:szCs w:val="24"/>
          <w:lang w:val="pt-BR"/>
        </w:rPr>
      </w:pPr>
      <w:r w:rsidRPr="00C15F70">
        <w:rPr>
          <w:rFonts w:ascii="Times New Roman" w:hAnsi="Times New Roman"/>
          <w:sz w:val="24"/>
          <w:szCs w:val="24"/>
          <w:lang w:val="pt-BR"/>
        </w:rPr>
        <w:t xml:space="preserve">Pereira LO, Francischi RP, Klopfer M, SAWADA LA, Santos R, Vieira P, et al. Obesidade e suas implicações- Ação da AF e Controle Nutricional. </w:t>
      </w:r>
      <w:r w:rsidRPr="00C15F70">
        <w:rPr>
          <w:rFonts w:ascii="Times New Roman" w:hAnsi="Times New Roman"/>
          <w:b/>
          <w:sz w:val="24"/>
          <w:szCs w:val="24"/>
          <w:lang w:val="pt-BR"/>
        </w:rPr>
        <w:t>Ver Bras Nutr Clin</w:t>
      </w:r>
      <w:r w:rsidRPr="00C15F70">
        <w:rPr>
          <w:rFonts w:ascii="Times New Roman" w:hAnsi="Times New Roman"/>
          <w:sz w:val="24"/>
          <w:szCs w:val="24"/>
          <w:lang w:val="pt-BR"/>
        </w:rPr>
        <w:t xml:space="preserve">. 1999; 9-17. </w:t>
      </w:r>
    </w:p>
    <w:p w:rsidR="006D3DF4" w:rsidRPr="00C15F70" w:rsidRDefault="006D3DF4" w:rsidP="00C15F70">
      <w:pPr>
        <w:pStyle w:val="ListParagraph1"/>
        <w:numPr>
          <w:ilvl w:val="0"/>
          <w:numId w:val="1"/>
        </w:numPr>
        <w:autoSpaceDE w:val="0"/>
        <w:autoSpaceDN w:val="0"/>
        <w:adjustRightInd w:val="0"/>
        <w:spacing w:after="0" w:line="360" w:lineRule="auto"/>
        <w:jc w:val="both"/>
        <w:rPr>
          <w:rFonts w:ascii="Times New Roman" w:hAnsi="Times New Roman"/>
          <w:sz w:val="24"/>
          <w:szCs w:val="24"/>
        </w:rPr>
      </w:pPr>
      <w:r w:rsidRPr="00C15F70">
        <w:rPr>
          <w:rFonts w:ascii="Times New Roman" w:hAnsi="Times New Roman"/>
          <w:sz w:val="24"/>
          <w:szCs w:val="24"/>
          <w:lang w:val="nl-NL"/>
        </w:rPr>
        <w:t xml:space="preserve">Luychx, FH; Lefbevre, PJ; Scheen, AJ. </w:t>
      </w:r>
      <w:r w:rsidRPr="00C15F70">
        <w:rPr>
          <w:rFonts w:ascii="Times New Roman" w:hAnsi="Times New Roman"/>
          <w:sz w:val="24"/>
          <w:szCs w:val="24"/>
        </w:rPr>
        <w:t xml:space="preserve">Non- alcoholic steatohepatitis: association with obesity and insulin resistance, and influence of weight loss. </w:t>
      </w:r>
      <w:r w:rsidRPr="00C15F70">
        <w:rPr>
          <w:rFonts w:ascii="Times New Roman" w:hAnsi="Times New Roman"/>
          <w:b/>
          <w:sz w:val="24"/>
          <w:szCs w:val="24"/>
        </w:rPr>
        <w:t>Diab Metab</w:t>
      </w:r>
      <w:r w:rsidRPr="00C15F70">
        <w:rPr>
          <w:rFonts w:ascii="Times New Roman" w:hAnsi="Times New Roman"/>
          <w:sz w:val="24"/>
          <w:szCs w:val="24"/>
        </w:rPr>
        <w:t xml:space="preserve">. 2000; 26: 98- 106. </w:t>
      </w:r>
    </w:p>
    <w:p w:rsidR="006D3DF4" w:rsidRPr="00C15F70" w:rsidRDefault="006D3DF4" w:rsidP="00C15F70">
      <w:pPr>
        <w:numPr>
          <w:ilvl w:val="0"/>
          <w:numId w:val="1"/>
        </w:numPr>
        <w:spacing w:after="0" w:line="360" w:lineRule="auto"/>
        <w:contextualSpacing/>
        <w:jc w:val="both"/>
        <w:rPr>
          <w:rFonts w:ascii="Times New Roman" w:hAnsi="Times New Roman"/>
          <w:sz w:val="24"/>
          <w:szCs w:val="24"/>
        </w:rPr>
      </w:pPr>
      <w:r w:rsidRPr="00C15F70">
        <w:rPr>
          <w:rFonts w:ascii="Times New Roman" w:hAnsi="Times New Roman"/>
          <w:sz w:val="24"/>
          <w:szCs w:val="24"/>
        </w:rPr>
        <w:t xml:space="preserve">Nobili, V; Alisi, A; Raponi, M. Pediatric non-alcoholic fatty liver </w:t>
      </w:r>
      <w:r w:rsidRPr="00C15F70">
        <w:rPr>
          <w:rFonts w:ascii="Times New Roman" w:hAnsi="Times New Roman"/>
          <w:color w:val="FF0000"/>
          <w:sz w:val="24"/>
          <w:szCs w:val="24"/>
        </w:rPr>
        <w:t>disease</w:t>
      </w:r>
      <w:r w:rsidRPr="00C15F70">
        <w:rPr>
          <w:rFonts w:ascii="Times New Roman" w:hAnsi="Times New Roman"/>
          <w:sz w:val="24"/>
          <w:szCs w:val="24"/>
        </w:rPr>
        <w:t xml:space="preserve">: Preventive and Therapeutic value of lifestyle intervation. </w:t>
      </w:r>
      <w:r w:rsidRPr="00C15F70">
        <w:rPr>
          <w:rFonts w:ascii="Times New Roman" w:hAnsi="Times New Roman"/>
          <w:b/>
          <w:sz w:val="24"/>
          <w:szCs w:val="24"/>
        </w:rPr>
        <w:t>World J Gastroenterol.</w:t>
      </w:r>
      <w:r w:rsidRPr="00C15F70">
        <w:rPr>
          <w:rFonts w:ascii="Times New Roman" w:hAnsi="Times New Roman"/>
          <w:sz w:val="24"/>
          <w:szCs w:val="24"/>
        </w:rPr>
        <w:t xml:space="preserve"> 2009; 15 (48): 6017- 6022.</w:t>
      </w:r>
    </w:p>
    <w:p w:rsidR="006D3DF4" w:rsidRPr="00C15F70" w:rsidRDefault="006D3DF4" w:rsidP="00C15F70">
      <w:pPr>
        <w:numPr>
          <w:ilvl w:val="0"/>
          <w:numId w:val="1"/>
        </w:numPr>
        <w:spacing w:after="0" w:line="360" w:lineRule="auto"/>
        <w:contextualSpacing/>
        <w:jc w:val="both"/>
        <w:rPr>
          <w:rFonts w:ascii="Times New Roman" w:hAnsi="Times New Roman"/>
          <w:sz w:val="24"/>
          <w:szCs w:val="24"/>
          <w:lang w:val="pt-BR"/>
        </w:rPr>
      </w:pPr>
      <w:r w:rsidRPr="00C15F70">
        <w:rPr>
          <w:rFonts w:ascii="Times New Roman" w:hAnsi="Times New Roman"/>
          <w:sz w:val="24"/>
          <w:szCs w:val="24"/>
          <w:lang w:val="pt-BR"/>
        </w:rPr>
        <w:t xml:space="preserve">Reis, KAA; Roquete, MLV; Penna, FJ. Esteatohepatite não- alcoólica na infância e adolescência: revisão. </w:t>
      </w:r>
      <w:r w:rsidRPr="00C15F70">
        <w:rPr>
          <w:rFonts w:ascii="Times New Roman" w:hAnsi="Times New Roman"/>
          <w:b/>
          <w:sz w:val="24"/>
          <w:szCs w:val="24"/>
          <w:lang w:val="pt-BR"/>
        </w:rPr>
        <w:t>Pediat</w:t>
      </w:r>
      <w:r w:rsidRPr="00C15F70">
        <w:rPr>
          <w:rFonts w:ascii="Times New Roman" w:hAnsi="Times New Roman"/>
          <w:sz w:val="24"/>
          <w:szCs w:val="24"/>
          <w:lang w:val="pt-BR"/>
        </w:rPr>
        <w:t xml:space="preserve">. 2001; 23 (4): 329- 339. </w:t>
      </w:r>
    </w:p>
    <w:p w:rsidR="006D3DF4" w:rsidRPr="00C15F70" w:rsidRDefault="006D3DF4" w:rsidP="00C15F70">
      <w:pPr>
        <w:numPr>
          <w:ilvl w:val="0"/>
          <w:numId w:val="1"/>
        </w:numPr>
        <w:spacing w:after="0" w:line="360" w:lineRule="auto"/>
        <w:contextualSpacing/>
        <w:jc w:val="both"/>
        <w:rPr>
          <w:rFonts w:ascii="Times New Roman" w:hAnsi="Times New Roman"/>
          <w:sz w:val="24"/>
          <w:szCs w:val="24"/>
        </w:rPr>
      </w:pPr>
      <w:r w:rsidRPr="00C15F70">
        <w:rPr>
          <w:rFonts w:ascii="Times New Roman" w:hAnsi="Times New Roman"/>
          <w:sz w:val="24"/>
          <w:szCs w:val="24"/>
        </w:rPr>
        <w:t xml:space="preserve">Haskell, WL; Lee, IM; Pate, RR; Powell, KE; Blair, SN; Franklin, BA; Macera, CA; Heath, GW; Thompson, PD; Bauman, A. Physical Activity and Public Health: Updated Recommendation for Adults from American College of Sports Medicine and the American Heart Association. </w:t>
      </w:r>
      <w:r w:rsidRPr="00C15F70">
        <w:rPr>
          <w:rFonts w:ascii="Times New Roman" w:hAnsi="Times New Roman"/>
          <w:b/>
          <w:sz w:val="24"/>
          <w:szCs w:val="24"/>
        </w:rPr>
        <w:t>Circulation</w:t>
      </w:r>
      <w:r w:rsidRPr="00C15F70">
        <w:rPr>
          <w:rFonts w:ascii="Times New Roman" w:hAnsi="Times New Roman"/>
          <w:sz w:val="24"/>
          <w:szCs w:val="24"/>
        </w:rPr>
        <w:t xml:space="preserve">. 2007; 1423- 1434.  </w:t>
      </w:r>
    </w:p>
    <w:p w:rsidR="006D3DF4" w:rsidRPr="00C15F70" w:rsidRDefault="006D3DF4" w:rsidP="00C15F70">
      <w:pPr>
        <w:numPr>
          <w:ilvl w:val="0"/>
          <w:numId w:val="1"/>
        </w:numPr>
        <w:spacing w:after="0" w:line="360" w:lineRule="auto"/>
        <w:contextualSpacing/>
        <w:jc w:val="both"/>
        <w:rPr>
          <w:rFonts w:ascii="Times New Roman" w:hAnsi="Times New Roman"/>
          <w:sz w:val="24"/>
          <w:szCs w:val="24"/>
        </w:rPr>
      </w:pPr>
      <w:r w:rsidRPr="00C15F70">
        <w:rPr>
          <w:rFonts w:ascii="Times New Roman" w:hAnsi="Times New Roman"/>
          <w:sz w:val="24"/>
          <w:szCs w:val="24"/>
        </w:rPr>
        <w:t xml:space="preserve">Pate, RR; Pratt, M; Blair, SN; Haskell, WL; Macera, CA; Bouchard, C; Buchner, D; Ettinger, W; Heath, GW; King, AC et al. Physical Activity and public health. A recommendation from the Center for Disease Control and Prevention and the American College of Sports Medicine. </w:t>
      </w:r>
      <w:r w:rsidRPr="00C15F70">
        <w:rPr>
          <w:rFonts w:ascii="Times New Roman" w:hAnsi="Times New Roman"/>
          <w:b/>
          <w:sz w:val="24"/>
          <w:szCs w:val="24"/>
        </w:rPr>
        <w:t>JAMA</w:t>
      </w:r>
      <w:r w:rsidRPr="00C15F70">
        <w:rPr>
          <w:rFonts w:ascii="Times New Roman" w:hAnsi="Times New Roman"/>
          <w:sz w:val="24"/>
          <w:szCs w:val="24"/>
        </w:rPr>
        <w:t>. 1995; 273 (5): 402-7.</w:t>
      </w:r>
    </w:p>
    <w:p w:rsidR="006D3DF4" w:rsidRPr="00C15F70" w:rsidRDefault="006D3DF4" w:rsidP="00C15F70">
      <w:pPr>
        <w:numPr>
          <w:ilvl w:val="0"/>
          <w:numId w:val="1"/>
        </w:numPr>
        <w:spacing w:after="0" w:line="360" w:lineRule="auto"/>
        <w:contextualSpacing/>
        <w:jc w:val="both"/>
        <w:rPr>
          <w:rFonts w:ascii="Times New Roman" w:hAnsi="Times New Roman"/>
          <w:sz w:val="24"/>
          <w:szCs w:val="24"/>
          <w:lang w:val="pt-BR"/>
        </w:rPr>
      </w:pPr>
      <w:r w:rsidRPr="00C15F70">
        <w:rPr>
          <w:rFonts w:ascii="Times New Roman" w:hAnsi="Times New Roman"/>
          <w:sz w:val="24"/>
          <w:szCs w:val="24"/>
          <w:lang w:val="pt-BR"/>
        </w:rPr>
        <w:t xml:space="preserve">Ministério da Saúde 2011. </w:t>
      </w:r>
      <w:r w:rsidRPr="00C15F70">
        <w:rPr>
          <w:rFonts w:ascii="Times New Roman" w:hAnsi="Times New Roman"/>
          <w:b/>
          <w:sz w:val="24"/>
          <w:szCs w:val="24"/>
          <w:lang w:val="pt-BR"/>
        </w:rPr>
        <w:t>Vigitel.</w:t>
      </w:r>
      <w:r w:rsidRPr="00C15F70">
        <w:rPr>
          <w:rFonts w:ascii="Times New Roman" w:hAnsi="Times New Roman"/>
          <w:sz w:val="24"/>
          <w:szCs w:val="24"/>
          <w:lang w:val="pt-BR"/>
        </w:rPr>
        <w:t xml:space="preserve"> 2010.</w:t>
      </w:r>
    </w:p>
    <w:p w:rsidR="006D3DF4" w:rsidRPr="00C15F70" w:rsidRDefault="006D3DF4" w:rsidP="00C15F70">
      <w:pPr>
        <w:numPr>
          <w:ilvl w:val="0"/>
          <w:numId w:val="1"/>
        </w:numPr>
        <w:spacing w:line="360" w:lineRule="auto"/>
        <w:jc w:val="both"/>
        <w:rPr>
          <w:rFonts w:ascii="Times New Roman" w:hAnsi="Times New Roman"/>
          <w:sz w:val="24"/>
          <w:szCs w:val="24"/>
        </w:rPr>
      </w:pPr>
      <w:r w:rsidRPr="00C15F70">
        <w:rPr>
          <w:rFonts w:ascii="Times New Roman" w:hAnsi="Times New Roman"/>
          <w:sz w:val="24"/>
          <w:szCs w:val="24"/>
        </w:rPr>
        <w:t xml:space="preserve">Melby CL, Commerford SR, Hill JO. Exercise, macronutrient balance, and weight control. In Lamb DR, Murray R, editors. Perspectives in Exercise Science and Sports Medicine vol 11: Exercise, Nutrition, and weight Control. </w:t>
      </w:r>
      <w:r w:rsidRPr="00C15F70">
        <w:rPr>
          <w:rFonts w:ascii="Times New Roman" w:hAnsi="Times New Roman"/>
          <w:b/>
          <w:sz w:val="24"/>
          <w:szCs w:val="24"/>
        </w:rPr>
        <w:t>Carmel: Cooper Publishing Group.</w:t>
      </w:r>
      <w:r w:rsidRPr="00C15F70">
        <w:rPr>
          <w:rFonts w:ascii="Times New Roman" w:hAnsi="Times New Roman"/>
          <w:sz w:val="24"/>
          <w:szCs w:val="24"/>
        </w:rPr>
        <w:t xml:space="preserve"> 1998: 1-60. </w:t>
      </w:r>
    </w:p>
    <w:p w:rsidR="006D3DF4" w:rsidRPr="00C15F70" w:rsidRDefault="006D3DF4" w:rsidP="00C15F70">
      <w:pPr>
        <w:numPr>
          <w:ilvl w:val="0"/>
          <w:numId w:val="1"/>
        </w:numPr>
        <w:spacing w:line="360" w:lineRule="auto"/>
        <w:jc w:val="both"/>
        <w:rPr>
          <w:rFonts w:ascii="Times New Roman" w:hAnsi="Times New Roman"/>
          <w:sz w:val="24"/>
          <w:szCs w:val="24"/>
        </w:rPr>
      </w:pPr>
      <w:r w:rsidRPr="00C15F70">
        <w:rPr>
          <w:rFonts w:ascii="Times New Roman" w:hAnsi="Times New Roman"/>
          <w:sz w:val="24"/>
          <w:szCs w:val="24"/>
        </w:rPr>
        <w:t>Hill JO, Melanson EL, Wyatt HT. Dietary fat intake and regulation of energy balance: implications for obesity.</w:t>
      </w:r>
      <w:r w:rsidRPr="00C15F70">
        <w:rPr>
          <w:rFonts w:ascii="Times New Roman" w:hAnsi="Times New Roman"/>
          <w:b/>
          <w:sz w:val="24"/>
          <w:szCs w:val="24"/>
        </w:rPr>
        <w:t xml:space="preserve"> J Nutr.</w:t>
      </w:r>
      <w:r w:rsidRPr="00C15F70">
        <w:rPr>
          <w:rFonts w:ascii="Times New Roman" w:hAnsi="Times New Roman"/>
          <w:sz w:val="24"/>
          <w:szCs w:val="24"/>
        </w:rPr>
        <w:t xml:space="preserve"> 2000; 120: 284-8.</w:t>
      </w:r>
    </w:p>
    <w:p w:rsidR="006D3DF4" w:rsidRPr="00C15F70" w:rsidRDefault="006D3DF4" w:rsidP="00C15F70">
      <w:pPr>
        <w:numPr>
          <w:ilvl w:val="0"/>
          <w:numId w:val="1"/>
        </w:numPr>
        <w:spacing w:line="360" w:lineRule="auto"/>
        <w:jc w:val="both"/>
        <w:rPr>
          <w:rFonts w:ascii="Times New Roman" w:hAnsi="Times New Roman"/>
          <w:sz w:val="24"/>
          <w:szCs w:val="24"/>
        </w:rPr>
      </w:pPr>
      <w:r w:rsidRPr="00C15F70">
        <w:rPr>
          <w:rFonts w:ascii="Times New Roman" w:hAnsi="Times New Roman"/>
          <w:sz w:val="24"/>
          <w:szCs w:val="24"/>
          <w:lang w:val="pt-BR"/>
        </w:rPr>
        <w:t xml:space="preserve">Pozena, R; Cunha, NFS. Projeto Construindo um futuro saudável através da prática de atividade física diária. </w:t>
      </w:r>
      <w:r w:rsidRPr="00C15F70">
        <w:rPr>
          <w:rFonts w:ascii="Times New Roman" w:hAnsi="Times New Roman"/>
          <w:b/>
          <w:sz w:val="24"/>
          <w:szCs w:val="24"/>
          <w:lang w:val="pt-BR"/>
        </w:rPr>
        <w:t>Saúde e Sociedade.</w:t>
      </w:r>
      <w:r w:rsidRPr="00C15F70">
        <w:rPr>
          <w:rFonts w:ascii="Times New Roman" w:hAnsi="Times New Roman"/>
          <w:sz w:val="24"/>
          <w:szCs w:val="24"/>
          <w:lang w:val="pt-BR"/>
        </w:rPr>
        <w:t xml:space="preserve"> </w:t>
      </w:r>
      <w:r w:rsidRPr="00C15F70">
        <w:rPr>
          <w:rFonts w:ascii="Times New Roman" w:hAnsi="Times New Roman"/>
          <w:sz w:val="24"/>
          <w:szCs w:val="24"/>
        </w:rPr>
        <w:t>2009; 18 (1): 52-55.</w:t>
      </w:r>
    </w:p>
    <w:p w:rsidR="006D3DF4" w:rsidRPr="00C15F70" w:rsidRDefault="006D3DF4" w:rsidP="00C15F70">
      <w:pPr>
        <w:numPr>
          <w:ilvl w:val="0"/>
          <w:numId w:val="1"/>
        </w:numPr>
        <w:spacing w:line="360" w:lineRule="auto"/>
        <w:jc w:val="both"/>
        <w:rPr>
          <w:rFonts w:ascii="Times New Roman" w:hAnsi="Times New Roman"/>
          <w:sz w:val="24"/>
          <w:szCs w:val="24"/>
        </w:rPr>
      </w:pPr>
      <w:r w:rsidRPr="00C15F70">
        <w:rPr>
          <w:rFonts w:ascii="Times New Roman" w:hAnsi="Times New Roman"/>
          <w:sz w:val="24"/>
          <w:szCs w:val="24"/>
        </w:rPr>
        <w:t xml:space="preserve">Grundy SM. Multifactorial causation of obesity: implications for prevention. </w:t>
      </w:r>
      <w:r w:rsidRPr="00C15F70">
        <w:rPr>
          <w:rFonts w:ascii="Times New Roman" w:hAnsi="Times New Roman"/>
          <w:b/>
          <w:sz w:val="24"/>
          <w:szCs w:val="24"/>
        </w:rPr>
        <w:t>Am J Clin Nutr.</w:t>
      </w:r>
      <w:r w:rsidRPr="00C15F70">
        <w:rPr>
          <w:rFonts w:ascii="Times New Roman" w:hAnsi="Times New Roman"/>
          <w:sz w:val="24"/>
          <w:szCs w:val="24"/>
        </w:rPr>
        <w:t xml:space="preserve"> 1998; 67: 563-72. </w:t>
      </w:r>
    </w:p>
    <w:p w:rsidR="006D3DF4" w:rsidRPr="00C15F70" w:rsidRDefault="006D3DF4" w:rsidP="00C15F70">
      <w:pPr>
        <w:numPr>
          <w:ilvl w:val="0"/>
          <w:numId w:val="1"/>
        </w:numPr>
        <w:spacing w:line="360" w:lineRule="auto"/>
        <w:jc w:val="both"/>
        <w:rPr>
          <w:rFonts w:ascii="Times New Roman" w:hAnsi="Times New Roman"/>
          <w:sz w:val="24"/>
          <w:szCs w:val="24"/>
        </w:rPr>
      </w:pPr>
      <w:r w:rsidRPr="00C15F70">
        <w:rPr>
          <w:rFonts w:ascii="Times New Roman" w:hAnsi="Times New Roman"/>
          <w:sz w:val="24"/>
          <w:szCs w:val="24"/>
        </w:rPr>
        <w:t xml:space="preserve">Haapanen N, Miilunpalo S, Oja P, Vuori I. Association between leisure time physical activity and 10-year body mass change among working-aged men and women. </w:t>
      </w:r>
      <w:r w:rsidRPr="00C15F70">
        <w:rPr>
          <w:rFonts w:ascii="Times New Roman" w:hAnsi="Times New Roman"/>
          <w:b/>
          <w:sz w:val="24"/>
          <w:szCs w:val="24"/>
        </w:rPr>
        <w:t>Int J Obes Relat Metab Disord.</w:t>
      </w:r>
      <w:r w:rsidRPr="00C15F70">
        <w:rPr>
          <w:rFonts w:ascii="Times New Roman" w:hAnsi="Times New Roman"/>
          <w:sz w:val="24"/>
          <w:szCs w:val="24"/>
        </w:rPr>
        <w:t xml:space="preserve"> 1997; 21: 288-96. </w:t>
      </w:r>
    </w:p>
    <w:p w:rsidR="006D3DF4" w:rsidRPr="00C15F70" w:rsidRDefault="006D3DF4" w:rsidP="00C15F70">
      <w:pPr>
        <w:pStyle w:val="ListParagraph1"/>
        <w:numPr>
          <w:ilvl w:val="0"/>
          <w:numId w:val="1"/>
        </w:numPr>
        <w:autoSpaceDE w:val="0"/>
        <w:autoSpaceDN w:val="0"/>
        <w:adjustRightInd w:val="0"/>
        <w:spacing w:after="0" w:line="360" w:lineRule="auto"/>
        <w:jc w:val="both"/>
        <w:rPr>
          <w:rFonts w:ascii="Times New Roman" w:hAnsi="Times New Roman"/>
          <w:sz w:val="24"/>
          <w:szCs w:val="24"/>
        </w:rPr>
      </w:pPr>
      <w:r w:rsidRPr="00C15F70">
        <w:rPr>
          <w:rFonts w:ascii="Times New Roman" w:hAnsi="Times New Roman"/>
          <w:sz w:val="24"/>
          <w:szCs w:val="24"/>
        </w:rPr>
        <w:t xml:space="preserve">Rector, SR; Tryfault, JP; Morris, RT; Laye, MJ; Borengasser, SJ; Booth, FW; Ibdah, JA. Daily exercise increases hepatic fatty acid oxidation and prevents steatosis in Otsuka Long- Evans Tokushima Fatty rats. </w:t>
      </w:r>
      <w:r w:rsidRPr="00C15F70">
        <w:rPr>
          <w:rFonts w:ascii="Times New Roman" w:hAnsi="Times New Roman"/>
          <w:b/>
          <w:sz w:val="24"/>
          <w:szCs w:val="24"/>
        </w:rPr>
        <w:t>Am J Physiol Gastrointest Liver Physiol.</w:t>
      </w:r>
      <w:r w:rsidRPr="00C15F70">
        <w:rPr>
          <w:rFonts w:ascii="Times New Roman" w:hAnsi="Times New Roman"/>
          <w:sz w:val="24"/>
          <w:szCs w:val="24"/>
        </w:rPr>
        <w:t xml:space="preserve"> 2008; 294: G619- G626.</w:t>
      </w:r>
    </w:p>
    <w:p w:rsidR="006D3DF4" w:rsidRPr="00C15F70" w:rsidRDefault="006D3DF4" w:rsidP="00C15F70">
      <w:pPr>
        <w:pStyle w:val="ListParagraph1"/>
        <w:numPr>
          <w:ilvl w:val="0"/>
          <w:numId w:val="1"/>
        </w:numPr>
        <w:autoSpaceDE w:val="0"/>
        <w:autoSpaceDN w:val="0"/>
        <w:adjustRightInd w:val="0"/>
        <w:spacing w:after="0" w:line="360" w:lineRule="auto"/>
        <w:jc w:val="both"/>
        <w:rPr>
          <w:rFonts w:ascii="Times New Roman" w:hAnsi="Times New Roman"/>
          <w:sz w:val="24"/>
          <w:szCs w:val="24"/>
        </w:rPr>
      </w:pPr>
      <w:r w:rsidRPr="00457549">
        <w:rPr>
          <w:rFonts w:ascii="Times New Roman" w:hAnsi="Times New Roman"/>
          <w:sz w:val="24"/>
          <w:szCs w:val="24"/>
          <w:lang w:val="pt-BR"/>
        </w:rPr>
        <w:t xml:space="preserve">Lira, FS; Yamashita, AS; Carnevalli JR, L; et al. </w:t>
      </w:r>
      <w:r w:rsidRPr="00C15F70">
        <w:rPr>
          <w:rFonts w:ascii="Times New Roman" w:hAnsi="Times New Roman"/>
          <w:sz w:val="24"/>
          <w:szCs w:val="24"/>
        </w:rPr>
        <w:t xml:space="preserve">Exercise training reduces PGE2 levels and restores steatosis hepatic in tumour- bearing rats. </w:t>
      </w:r>
      <w:r w:rsidRPr="00C15F70">
        <w:rPr>
          <w:rFonts w:ascii="Times New Roman" w:hAnsi="Times New Roman"/>
          <w:b/>
          <w:sz w:val="24"/>
          <w:szCs w:val="24"/>
        </w:rPr>
        <w:t>Horm Metab Res.</w:t>
      </w:r>
      <w:r w:rsidRPr="00C15F70">
        <w:rPr>
          <w:rFonts w:ascii="Times New Roman" w:hAnsi="Times New Roman"/>
          <w:sz w:val="24"/>
          <w:szCs w:val="24"/>
        </w:rPr>
        <w:t xml:space="preserve"> 2010.</w:t>
      </w:r>
    </w:p>
    <w:p w:rsidR="006D3DF4" w:rsidRPr="00C15F70" w:rsidRDefault="006D3DF4" w:rsidP="00C15F70">
      <w:pPr>
        <w:pStyle w:val="ListParagraph1"/>
        <w:numPr>
          <w:ilvl w:val="0"/>
          <w:numId w:val="1"/>
        </w:numPr>
        <w:autoSpaceDE w:val="0"/>
        <w:autoSpaceDN w:val="0"/>
        <w:adjustRightInd w:val="0"/>
        <w:spacing w:after="0" w:line="360" w:lineRule="auto"/>
        <w:jc w:val="both"/>
        <w:rPr>
          <w:rFonts w:ascii="Times New Roman" w:hAnsi="Times New Roman"/>
          <w:sz w:val="24"/>
          <w:szCs w:val="24"/>
        </w:rPr>
      </w:pPr>
      <w:r w:rsidRPr="00C15F70">
        <w:rPr>
          <w:rFonts w:ascii="Times New Roman" w:hAnsi="Times New Roman"/>
          <w:sz w:val="24"/>
          <w:szCs w:val="24"/>
          <w:lang w:val="fr-FR"/>
        </w:rPr>
        <w:t xml:space="preserve">Gauthier, MS; Couturier, K; Latour, JG; Lavoie, JM. </w:t>
      </w:r>
      <w:r w:rsidRPr="00C15F70">
        <w:rPr>
          <w:rFonts w:ascii="Times New Roman" w:hAnsi="Times New Roman"/>
          <w:sz w:val="24"/>
          <w:szCs w:val="24"/>
        </w:rPr>
        <w:t xml:space="preserve">Concurrent exercise prevents high- fat- diet- induced macrovesicular hepatic steatosis. </w:t>
      </w:r>
      <w:r w:rsidRPr="00C15F70">
        <w:rPr>
          <w:rFonts w:ascii="Times New Roman" w:hAnsi="Times New Roman"/>
          <w:b/>
          <w:sz w:val="24"/>
          <w:szCs w:val="24"/>
        </w:rPr>
        <w:t>J Appl Physiol</w:t>
      </w:r>
      <w:r w:rsidRPr="00C15F70">
        <w:rPr>
          <w:rFonts w:ascii="Times New Roman" w:hAnsi="Times New Roman"/>
          <w:sz w:val="24"/>
          <w:szCs w:val="24"/>
        </w:rPr>
        <w:t xml:space="preserve">. 2003; 94: 2127- 2134. </w:t>
      </w:r>
    </w:p>
    <w:p w:rsidR="006D3DF4" w:rsidRPr="00C15F70" w:rsidRDefault="006D3DF4" w:rsidP="00C15F70">
      <w:pPr>
        <w:pStyle w:val="ListParagraph1"/>
        <w:numPr>
          <w:ilvl w:val="0"/>
          <w:numId w:val="1"/>
        </w:numPr>
        <w:autoSpaceDE w:val="0"/>
        <w:autoSpaceDN w:val="0"/>
        <w:adjustRightInd w:val="0"/>
        <w:spacing w:after="0" w:line="360" w:lineRule="auto"/>
        <w:jc w:val="both"/>
        <w:rPr>
          <w:rFonts w:ascii="Times New Roman" w:hAnsi="Times New Roman"/>
          <w:sz w:val="24"/>
          <w:szCs w:val="24"/>
        </w:rPr>
      </w:pPr>
      <w:r w:rsidRPr="00C15F70">
        <w:rPr>
          <w:rFonts w:ascii="Times New Roman" w:hAnsi="Times New Roman"/>
          <w:sz w:val="24"/>
          <w:szCs w:val="24"/>
        </w:rPr>
        <w:t xml:space="preserve">Donelly, JE; Blair, SN; Jakicic, JM; Manore, MM; Rankin JW; Smith, BK. Appropriate Physical Activity Intervantion Strategies for Weight Loss and Prevention of Weight Regain for Adults. </w:t>
      </w:r>
      <w:r w:rsidRPr="00C15F70">
        <w:rPr>
          <w:rFonts w:ascii="Times New Roman" w:hAnsi="Times New Roman"/>
          <w:b/>
          <w:sz w:val="24"/>
          <w:szCs w:val="24"/>
        </w:rPr>
        <w:t xml:space="preserve">Of J ACSM. </w:t>
      </w:r>
      <w:r w:rsidRPr="00C15F70">
        <w:rPr>
          <w:rFonts w:ascii="Times New Roman" w:hAnsi="Times New Roman"/>
          <w:sz w:val="24"/>
          <w:szCs w:val="24"/>
        </w:rPr>
        <w:t xml:space="preserve"> 2009; 459- 471.</w:t>
      </w:r>
    </w:p>
    <w:p w:rsidR="006D3DF4" w:rsidRPr="00C15F70" w:rsidRDefault="006D3DF4" w:rsidP="00C15F70">
      <w:pPr>
        <w:pStyle w:val="ListParagraph1"/>
        <w:numPr>
          <w:ilvl w:val="0"/>
          <w:numId w:val="1"/>
        </w:numPr>
        <w:autoSpaceDE w:val="0"/>
        <w:autoSpaceDN w:val="0"/>
        <w:adjustRightInd w:val="0"/>
        <w:spacing w:after="0" w:line="360" w:lineRule="auto"/>
        <w:jc w:val="both"/>
        <w:rPr>
          <w:rFonts w:ascii="Times New Roman" w:hAnsi="Times New Roman"/>
          <w:sz w:val="24"/>
          <w:szCs w:val="24"/>
        </w:rPr>
      </w:pPr>
      <w:r w:rsidRPr="00C15F70">
        <w:rPr>
          <w:rFonts w:ascii="Times New Roman" w:hAnsi="Times New Roman"/>
          <w:sz w:val="24"/>
          <w:szCs w:val="24"/>
        </w:rPr>
        <w:t xml:space="preserve">Promrat, K; Kleiner, D; Niemeier, HM; Jackvony, E; Kearns, M; Wands, JR; Fava, J; Wing, RR. Randomized Controlled Trial Testing the Effects of Weight Loss on Nonalcoholic Steatohepaptits (NASH). </w:t>
      </w:r>
      <w:r w:rsidRPr="00C15F70">
        <w:rPr>
          <w:rFonts w:ascii="Times New Roman" w:hAnsi="Times New Roman"/>
          <w:b/>
          <w:sz w:val="24"/>
          <w:szCs w:val="24"/>
        </w:rPr>
        <w:t>Hepatol.</w:t>
      </w:r>
      <w:r w:rsidRPr="00C15F70">
        <w:rPr>
          <w:rFonts w:ascii="Times New Roman" w:hAnsi="Times New Roman"/>
          <w:sz w:val="24"/>
          <w:szCs w:val="24"/>
        </w:rPr>
        <w:t xml:space="preserve"> 2010; 51(1): 121- 129.</w:t>
      </w:r>
    </w:p>
    <w:p w:rsidR="006D3DF4" w:rsidRPr="00C15F70" w:rsidRDefault="006D3DF4" w:rsidP="00C15F70">
      <w:pPr>
        <w:pStyle w:val="ListParagraph1"/>
        <w:numPr>
          <w:ilvl w:val="0"/>
          <w:numId w:val="1"/>
        </w:numPr>
        <w:autoSpaceDE w:val="0"/>
        <w:autoSpaceDN w:val="0"/>
        <w:adjustRightInd w:val="0"/>
        <w:spacing w:after="0" w:line="360" w:lineRule="auto"/>
        <w:jc w:val="both"/>
        <w:rPr>
          <w:rFonts w:ascii="Times New Roman" w:hAnsi="Times New Roman"/>
          <w:sz w:val="24"/>
          <w:szCs w:val="24"/>
        </w:rPr>
      </w:pPr>
      <w:r w:rsidRPr="00C15F70">
        <w:rPr>
          <w:rFonts w:ascii="Times New Roman" w:hAnsi="Times New Roman"/>
          <w:sz w:val="24"/>
          <w:szCs w:val="24"/>
          <w:lang w:val="nl-NL"/>
        </w:rPr>
        <w:t xml:space="preserve">Dorien, PC; Aggel-Leijssen, V; Saris, WHM; Wagen, AJM; Seden, JM; Baak, MAV. </w:t>
      </w:r>
      <w:r w:rsidRPr="00C15F70">
        <w:rPr>
          <w:rFonts w:ascii="Times New Roman" w:hAnsi="Times New Roman"/>
          <w:sz w:val="24"/>
          <w:szCs w:val="24"/>
        </w:rPr>
        <w:t xml:space="preserve">Effect of exercise training at different intensities on fat metabolism of obese men. </w:t>
      </w:r>
      <w:r w:rsidRPr="00C15F70">
        <w:rPr>
          <w:rFonts w:ascii="Times New Roman" w:hAnsi="Times New Roman"/>
          <w:b/>
          <w:sz w:val="24"/>
          <w:szCs w:val="24"/>
        </w:rPr>
        <w:t>J Appl Physiol.</w:t>
      </w:r>
      <w:r w:rsidRPr="00C15F70">
        <w:rPr>
          <w:rFonts w:ascii="Times New Roman" w:hAnsi="Times New Roman"/>
          <w:sz w:val="24"/>
          <w:szCs w:val="24"/>
        </w:rPr>
        <w:t xml:space="preserve"> 2002; 92: 1300- 1309.</w:t>
      </w:r>
    </w:p>
    <w:p w:rsidR="006D3DF4" w:rsidRPr="00C15F70" w:rsidRDefault="006D3DF4" w:rsidP="00C15F70">
      <w:pPr>
        <w:pStyle w:val="ListParagraph1"/>
        <w:numPr>
          <w:ilvl w:val="0"/>
          <w:numId w:val="1"/>
        </w:numPr>
        <w:autoSpaceDE w:val="0"/>
        <w:autoSpaceDN w:val="0"/>
        <w:adjustRightInd w:val="0"/>
        <w:spacing w:after="0" w:line="360" w:lineRule="auto"/>
        <w:jc w:val="both"/>
        <w:rPr>
          <w:rFonts w:ascii="Times New Roman" w:hAnsi="Times New Roman"/>
          <w:sz w:val="24"/>
          <w:szCs w:val="24"/>
        </w:rPr>
      </w:pPr>
      <w:r w:rsidRPr="00C15F70">
        <w:rPr>
          <w:rFonts w:ascii="Times New Roman" w:hAnsi="Times New Roman"/>
          <w:sz w:val="24"/>
          <w:szCs w:val="24"/>
        </w:rPr>
        <w:t xml:space="preserve">Melanson, EL; Sharp, TA; Seagle, HM; Horton, TJ; Donahoo, WT; Grunwald, GK; Hamilton, JT; Hill, JO. Effect of exercise intensity on 24h energy expenditure and nutrient oxidation. </w:t>
      </w:r>
      <w:r w:rsidRPr="00C15F70">
        <w:rPr>
          <w:rFonts w:ascii="Times New Roman" w:hAnsi="Times New Roman"/>
          <w:b/>
          <w:sz w:val="24"/>
          <w:szCs w:val="24"/>
        </w:rPr>
        <w:t>J Appl Physiol.</w:t>
      </w:r>
      <w:r w:rsidRPr="00C15F70">
        <w:rPr>
          <w:rFonts w:ascii="Times New Roman" w:hAnsi="Times New Roman"/>
          <w:sz w:val="24"/>
          <w:szCs w:val="24"/>
        </w:rPr>
        <w:t xml:space="preserve"> 2002; 92: 1045- 1052.</w:t>
      </w:r>
    </w:p>
    <w:p w:rsidR="006D3DF4" w:rsidRPr="00C15F70" w:rsidRDefault="006D3DF4" w:rsidP="00C15F70">
      <w:pPr>
        <w:pStyle w:val="ListParagraph1"/>
        <w:numPr>
          <w:ilvl w:val="0"/>
          <w:numId w:val="1"/>
        </w:numPr>
        <w:autoSpaceDE w:val="0"/>
        <w:autoSpaceDN w:val="0"/>
        <w:adjustRightInd w:val="0"/>
        <w:spacing w:after="0" w:line="360" w:lineRule="auto"/>
        <w:jc w:val="both"/>
        <w:rPr>
          <w:rFonts w:ascii="Times New Roman" w:hAnsi="Times New Roman"/>
          <w:sz w:val="24"/>
          <w:szCs w:val="24"/>
          <w:lang w:val="pt-BR"/>
        </w:rPr>
      </w:pPr>
      <w:r w:rsidRPr="00C15F70">
        <w:rPr>
          <w:rFonts w:ascii="Times New Roman" w:hAnsi="Times New Roman"/>
          <w:sz w:val="24"/>
          <w:szCs w:val="24"/>
          <w:lang w:val="pt-BR"/>
        </w:rPr>
        <w:t xml:space="preserve">Polito, MD; Cyrilo, ES; Gerage, AM; Nascimento, MA; Januário, RSB. Efeito de 12 semanas de Treinamento com pesos sobre a força muscular, composição corporal e Triglicérides em homens sedentários. </w:t>
      </w:r>
      <w:r w:rsidRPr="00C15F70">
        <w:rPr>
          <w:rFonts w:ascii="Times New Roman" w:hAnsi="Times New Roman"/>
          <w:b/>
          <w:sz w:val="24"/>
          <w:szCs w:val="24"/>
          <w:lang w:val="pt-BR"/>
        </w:rPr>
        <w:t>Rev Bras Med Esporte.</w:t>
      </w:r>
      <w:r w:rsidRPr="00C15F70">
        <w:rPr>
          <w:rFonts w:ascii="Times New Roman" w:hAnsi="Times New Roman"/>
          <w:sz w:val="24"/>
          <w:szCs w:val="24"/>
          <w:lang w:val="pt-BR"/>
        </w:rPr>
        <w:t xml:space="preserve"> 2010; 16 (1): 29- 32.</w:t>
      </w:r>
    </w:p>
    <w:p w:rsidR="006D3DF4" w:rsidRPr="00C43A82" w:rsidRDefault="006D3DF4" w:rsidP="00071D00">
      <w:pPr>
        <w:spacing w:line="360" w:lineRule="auto"/>
        <w:contextualSpacing/>
        <w:jc w:val="center"/>
      </w:pPr>
    </w:p>
    <w:sectPr w:rsidR="006D3DF4" w:rsidRPr="00C43A82" w:rsidSect="00C75CDD">
      <w:headerReference w:type="even" r:id="rId10"/>
      <w:headerReference w:type="default" r:id="rId11"/>
      <w:pgSz w:w="12240" w:h="15840"/>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3DF4" w:rsidRDefault="006D3DF4">
      <w:r>
        <w:separator/>
      </w:r>
    </w:p>
  </w:endnote>
  <w:endnote w:type="continuationSeparator" w:id="0">
    <w:p w:rsidR="006D3DF4" w:rsidRDefault="006D3D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venir LT Std 55 Roman">
    <w:altName w:val="Avenir LT Std 55 Roman"/>
    <w:panose1 w:val="00000000000000000000"/>
    <w:charset w:val="00"/>
    <w:family w:val="swiss"/>
    <w:notTrueType/>
    <w:pitch w:val="default"/>
    <w:sig w:usb0="00000003" w:usb1="00000000" w:usb2="00000000" w:usb3="00000000" w:csb0="00000001" w:csb1="00000000"/>
  </w:font>
  <w:font w:name="Adobe Caslon Pro">
    <w:altName w:val="Adobe Caslon Pro"/>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3DF4" w:rsidRDefault="006D3DF4">
      <w:r>
        <w:separator/>
      </w:r>
    </w:p>
  </w:footnote>
  <w:footnote w:type="continuationSeparator" w:id="0">
    <w:p w:rsidR="006D3DF4" w:rsidRDefault="006D3D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DF4" w:rsidRDefault="006D3DF4" w:rsidP="00C75CD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D3DF4" w:rsidRDefault="006D3DF4" w:rsidP="00C75CDD">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DF4" w:rsidRPr="0036370D" w:rsidRDefault="006D3DF4" w:rsidP="00C75CDD">
    <w:pPr>
      <w:pStyle w:val="Header"/>
      <w:framePr w:wrap="around" w:vAnchor="text" w:hAnchor="margin" w:xAlign="right" w:y="1"/>
      <w:rPr>
        <w:rStyle w:val="PageNumber"/>
        <w:lang w:val="pt-BR"/>
      </w:rPr>
    </w:pPr>
    <w:r w:rsidRPr="0036370D">
      <w:rPr>
        <w:rStyle w:val="PageNumber"/>
        <w:lang w:val="pt-BR"/>
      </w:rPr>
      <w:fldChar w:fldCharType="begin"/>
    </w:r>
    <w:r w:rsidRPr="0036370D">
      <w:rPr>
        <w:rStyle w:val="PageNumber"/>
        <w:lang w:val="pt-BR"/>
      </w:rPr>
      <w:instrText xml:space="preserve">PAGE  </w:instrText>
    </w:r>
    <w:r w:rsidRPr="0036370D">
      <w:rPr>
        <w:rStyle w:val="PageNumber"/>
        <w:lang w:val="pt-BR"/>
      </w:rPr>
      <w:fldChar w:fldCharType="separate"/>
    </w:r>
    <w:r>
      <w:rPr>
        <w:rStyle w:val="PageNumber"/>
        <w:noProof/>
        <w:lang w:val="pt-BR"/>
      </w:rPr>
      <w:t>2</w:t>
    </w:r>
    <w:r w:rsidRPr="0036370D">
      <w:rPr>
        <w:rStyle w:val="PageNumber"/>
        <w:lang w:val="pt-BR"/>
      </w:rPr>
      <w:fldChar w:fldCharType="end"/>
    </w:r>
  </w:p>
  <w:p w:rsidR="006D3DF4" w:rsidRDefault="006D3DF4" w:rsidP="00C75CDD">
    <w:pPr>
      <w:spacing w:line="360" w:lineRule="auto"/>
      <w:contextualSpacing/>
      <w:rPr>
        <w:rFonts w:ascii="Times New Roman" w:hAnsi="Times New Roman"/>
        <w:i/>
        <w:sz w:val="16"/>
        <w:szCs w:val="16"/>
        <w:lang w:val="pt-BR"/>
      </w:rPr>
    </w:pPr>
    <w:r>
      <w:rPr>
        <w:rFonts w:ascii="Times New Roman" w:hAnsi="Times New Roman"/>
        <w:i/>
        <w:sz w:val="16"/>
        <w:szCs w:val="16"/>
        <w:lang w:val="pt-BR"/>
      </w:rPr>
      <w:t>Esteatose Hepática e estilo de vida ativo</w:t>
    </w:r>
  </w:p>
  <w:p w:rsidR="006D3DF4" w:rsidRPr="00C75CDD" w:rsidRDefault="006D3DF4" w:rsidP="00C75CDD">
    <w:pPr>
      <w:pStyle w:val="Header"/>
      <w:ind w:right="360"/>
      <w:rPr>
        <w:lang w:val="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21D63"/>
    <w:multiLevelType w:val="hybridMultilevel"/>
    <w:tmpl w:val="856E2D02"/>
    <w:lvl w:ilvl="0" w:tplc="40CC4E7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78821FF"/>
    <w:multiLevelType w:val="hybridMultilevel"/>
    <w:tmpl w:val="741022E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3DE4D37"/>
    <w:multiLevelType w:val="hybridMultilevel"/>
    <w:tmpl w:val="741022E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36EA6E23"/>
    <w:multiLevelType w:val="multilevel"/>
    <w:tmpl w:val="00E6C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9B2C4B"/>
    <w:multiLevelType w:val="multilevel"/>
    <w:tmpl w:val="CA84D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0AF0DEB"/>
    <w:multiLevelType w:val="hybridMultilevel"/>
    <w:tmpl w:val="741022E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5EE23FCA"/>
    <w:multiLevelType w:val="multilevel"/>
    <w:tmpl w:val="D2EAE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45C59E0"/>
    <w:multiLevelType w:val="multilevel"/>
    <w:tmpl w:val="3FDE7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7676E65"/>
    <w:multiLevelType w:val="hybridMultilevel"/>
    <w:tmpl w:val="A5A8B2F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7FE96AC5"/>
    <w:multiLevelType w:val="hybridMultilevel"/>
    <w:tmpl w:val="7C52FA48"/>
    <w:lvl w:ilvl="0" w:tplc="7572F73C">
      <w:start w:val="1"/>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9"/>
  </w:num>
  <w:num w:numId="3">
    <w:abstractNumId w:val="2"/>
  </w:num>
  <w:num w:numId="4">
    <w:abstractNumId w:val="5"/>
  </w:num>
  <w:num w:numId="5">
    <w:abstractNumId w:val="7"/>
  </w:num>
  <w:num w:numId="6">
    <w:abstractNumId w:val="3"/>
  </w:num>
  <w:num w:numId="7">
    <w:abstractNumId w:val="4"/>
  </w:num>
  <w:num w:numId="8">
    <w:abstractNumId w:val="6"/>
  </w:num>
  <w:num w:numId="9">
    <w:abstractNumId w:val="0"/>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168BF"/>
    <w:rsid w:val="0000497A"/>
    <w:rsid w:val="00026543"/>
    <w:rsid w:val="00042188"/>
    <w:rsid w:val="00071D00"/>
    <w:rsid w:val="0007414F"/>
    <w:rsid w:val="00076BF8"/>
    <w:rsid w:val="000813FD"/>
    <w:rsid w:val="000A7E19"/>
    <w:rsid w:val="000B59EF"/>
    <w:rsid w:val="000D2237"/>
    <w:rsid w:val="000E75E3"/>
    <w:rsid w:val="0010310E"/>
    <w:rsid w:val="00110BCA"/>
    <w:rsid w:val="00112A7E"/>
    <w:rsid w:val="00121FAE"/>
    <w:rsid w:val="00130410"/>
    <w:rsid w:val="0014504C"/>
    <w:rsid w:val="0018068F"/>
    <w:rsid w:val="00186114"/>
    <w:rsid w:val="001A1B4A"/>
    <w:rsid w:val="001B13EE"/>
    <w:rsid w:val="001B375B"/>
    <w:rsid w:val="001C25B1"/>
    <w:rsid w:val="001C5C24"/>
    <w:rsid w:val="001D3C87"/>
    <w:rsid w:val="001D5214"/>
    <w:rsid w:val="001E07E0"/>
    <w:rsid w:val="001E5962"/>
    <w:rsid w:val="001F2D65"/>
    <w:rsid w:val="001F5497"/>
    <w:rsid w:val="0021245D"/>
    <w:rsid w:val="002262A9"/>
    <w:rsid w:val="0026293A"/>
    <w:rsid w:val="00320DE5"/>
    <w:rsid w:val="00346362"/>
    <w:rsid w:val="0035377E"/>
    <w:rsid w:val="0036370D"/>
    <w:rsid w:val="00365030"/>
    <w:rsid w:val="003848A6"/>
    <w:rsid w:val="003941A7"/>
    <w:rsid w:val="00396D53"/>
    <w:rsid w:val="00397FF0"/>
    <w:rsid w:val="003A21CE"/>
    <w:rsid w:val="003B02F4"/>
    <w:rsid w:val="004038B5"/>
    <w:rsid w:val="00421786"/>
    <w:rsid w:val="004308FC"/>
    <w:rsid w:val="00457549"/>
    <w:rsid w:val="00460D33"/>
    <w:rsid w:val="004623CB"/>
    <w:rsid w:val="00473FDF"/>
    <w:rsid w:val="004A170A"/>
    <w:rsid w:val="004A20A1"/>
    <w:rsid w:val="004D1596"/>
    <w:rsid w:val="004E6265"/>
    <w:rsid w:val="004E7FD8"/>
    <w:rsid w:val="005040FD"/>
    <w:rsid w:val="00517D60"/>
    <w:rsid w:val="00524BFF"/>
    <w:rsid w:val="005279CF"/>
    <w:rsid w:val="00531D46"/>
    <w:rsid w:val="00542BE8"/>
    <w:rsid w:val="00575BA3"/>
    <w:rsid w:val="005C4440"/>
    <w:rsid w:val="005D036E"/>
    <w:rsid w:val="005D2FEE"/>
    <w:rsid w:val="005E2D42"/>
    <w:rsid w:val="005E483C"/>
    <w:rsid w:val="00643893"/>
    <w:rsid w:val="00667742"/>
    <w:rsid w:val="006718E5"/>
    <w:rsid w:val="00676A94"/>
    <w:rsid w:val="006A5E40"/>
    <w:rsid w:val="006C7363"/>
    <w:rsid w:val="006D3DF4"/>
    <w:rsid w:val="006F34D4"/>
    <w:rsid w:val="00736669"/>
    <w:rsid w:val="00737011"/>
    <w:rsid w:val="00754366"/>
    <w:rsid w:val="00755C0C"/>
    <w:rsid w:val="00763576"/>
    <w:rsid w:val="00764DB7"/>
    <w:rsid w:val="00774F45"/>
    <w:rsid w:val="0077661E"/>
    <w:rsid w:val="00780A27"/>
    <w:rsid w:val="00796FBB"/>
    <w:rsid w:val="007B3E78"/>
    <w:rsid w:val="007B7C86"/>
    <w:rsid w:val="007C27E4"/>
    <w:rsid w:val="007D3915"/>
    <w:rsid w:val="007F505F"/>
    <w:rsid w:val="00814290"/>
    <w:rsid w:val="00815B50"/>
    <w:rsid w:val="0083374C"/>
    <w:rsid w:val="0086202F"/>
    <w:rsid w:val="00880E95"/>
    <w:rsid w:val="00882B46"/>
    <w:rsid w:val="008922CB"/>
    <w:rsid w:val="00895B1D"/>
    <w:rsid w:val="00897D3F"/>
    <w:rsid w:val="008B2842"/>
    <w:rsid w:val="008B66BE"/>
    <w:rsid w:val="008C18C3"/>
    <w:rsid w:val="008C3031"/>
    <w:rsid w:val="008C4CC0"/>
    <w:rsid w:val="008C6044"/>
    <w:rsid w:val="008D14E4"/>
    <w:rsid w:val="008D1D3A"/>
    <w:rsid w:val="00907F2F"/>
    <w:rsid w:val="00912325"/>
    <w:rsid w:val="009159CA"/>
    <w:rsid w:val="00916E19"/>
    <w:rsid w:val="009214DC"/>
    <w:rsid w:val="00931927"/>
    <w:rsid w:val="0096548F"/>
    <w:rsid w:val="009752D0"/>
    <w:rsid w:val="009774CC"/>
    <w:rsid w:val="009B7457"/>
    <w:rsid w:val="009D7D2C"/>
    <w:rsid w:val="009E4AE2"/>
    <w:rsid w:val="009F3732"/>
    <w:rsid w:val="009F4E42"/>
    <w:rsid w:val="00A226F0"/>
    <w:rsid w:val="00A567A1"/>
    <w:rsid w:val="00A639CA"/>
    <w:rsid w:val="00A82F60"/>
    <w:rsid w:val="00A858E3"/>
    <w:rsid w:val="00A858EB"/>
    <w:rsid w:val="00A97F88"/>
    <w:rsid w:val="00AA48B1"/>
    <w:rsid w:val="00AA62FE"/>
    <w:rsid w:val="00AB3ACF"/>
    <w:rsid w:val="00AB6CE4"/>
    <w:rsid w:val="00AC0F4C"/>
    <w:rsid w:val="00AC63D7"/>
    <w:rsid w:val="00AE5489"/>
    <w:rsid w:val="00AE5906"/>
    <w:rsid w:val="00AF19BC"/>
    <w:rsid w:val="00B007A1"/>
    <w:rsid w:val="00B0727F"/>
    <w:rsid w:val="00B2257A"/>
    <w:rsid w:val="00B507A0"/>
    <w:rsid w:val="00B6156A"/>
    <w:rsid w:val="00B80563"/>
    <w:rsid w:val="00B92A4E"/>
    <w:rsid w:val="00BC04B0"/>
    <w:rsid w:val="00BD0CF9"/>
    <w:rsid w:val="00BE011E"/>
    <w:rsid w:val="00C15F70"/>
    <w:rsid w:val="00C168BF"/>
    <w:rsid w:val="00C35858"/>
    <w:rsid w:val="00C43A82"/>
    <w:rsid w:val="00C551B0"/>
    <w:rsid w:val="00C75CDD"/>
    <w:rsid w:val="00C770B1"/>
    <w:rsid w:val="00C81D3F"/>
    <w:rsid w:val="00C96E49"/>
    <w:rsid w:val="00CA144A"/>
    <w:rsid w:val="00CA37F4"/>
    <w:rsid w:val="00CC1D56"/>
    <w:rsid w:val="00CC6817"/>
    <w:rsid w:val="00CD253B"/>
    <w:rsid w:val="00CE3048"/>
    <w:rsid w:val="00CF0020"/>
    <w:rsid w:val="00D03800"/>
    <w:rsid w:val="00D06607"/>
    <w:rsid w:val="00D14162"/>
    <w:rsid w:val="00D47AD3"/>
    <w:rsid w:val="00D579EF"/>
    <w:rsid w:val="00D65B30"/>
    <w:rsid w:val="00D95D02"/>
    <w:rsid w:val="00DA6E6C"/>
    <w:rsid w:val="00DC0D51"/>
    <w:rsid w:val="00DC4BCD"/>
    <w:rsid w:val="00DD168A"/>
    <w:rsid w:val="00DD61AD"/>
    <w:rsid w:val="00DD730A"/>
    <w:rsid w:val="00DE5942"/>
    <w:rsid w:val="00E25873"/>
    <w:rsid w:val="00E27D54"/>
    <w:rsid w:val="00E365AA"/>
    <w:rsid w:val="00E54F6D"/>
    <w:rsid w:val="00E56163"/>
    <w:rsid w:val="00E60B18"/>
    <w:rsid w:val="00EA2892"/>
    <w:rsid w:val="00EB221E"/>
    <w:rsid w:val="00EC25E9"/>
    <w:rsid w:val="00ED44E9"/>
    <w:rsid w:val="00EE5A32"/>
    <w:rsid w:val="00F01281"/>
    <w:rsid w:val="00F138E7"/>
    <w:rsid w:val="00F237C0"/>
    <w:rsid w:val="00F24DF5"/>
    <w:rsid w:val="00F34418"/>
    <w:rsid w:val="00F44D45"/>
    <w:rsid w:val="00F54641"/>
    <w:rsid w:val="00F61B6D"/>
    <w:rsid w:val="00F64E75"/>
    <w:rsid w:val="00F75DEF"/>
    <w:rsid w:val="00F86A22"/>
    <w:rsid w:val="00FB6B96"/>
    <w:rsid w:val="00FC1403"/>
    <w:rsid w:val="00FC4A36"/>
    <w:rsid w:val="00FF37C4"/>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6669"/>
    <w:pPr>
      <w:spacing w:after="200" w:line="276" w:lineRule="auto"/>
    </w:pPr>
    <w:rPr>
      <w:lang w:val="en-US" w:eastAsia="en-US"/>
    </w:rPr>
  </w:style>
  <w:style w:type="paragraph" w:styleId="Heading1">
    <w:name w:val="heading 1"/>
    <w:basedOn w:val="Normal"/>
    <w:link w:val="Heading1Char"/>
    <w:uiPriority w:val="99"/>
    <w:qFormat/>
    <w:locked/>
    <w:rsid w:val="00CD253B"/>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D253B"/>
    <w:rPr>
      <w:rFonts w:ascii="Times New Roman" w:hAnsi="Times New Roman" w:cs="Times New Roman"/>
      <w:b/>
      <w:bCs/>
      <w:kern w:val="36"/>
      <w:sz w:val="48"/>
      <w:szCs w:val="48"/>
      <w:lang w:val="en-US" w:eastAsia="en-US"/>
    </w:rPr>
  </w:style>
  <w:style w:type="character" w:customStyle="1" w:styleId="hps">
    <w:name w:val="hps"/>
    <w:basedOn w:val="DefaultParagraphFont"/>
    <w:uiPriority w:val="99"/>
    <w:rsid w:val="00C168BF"/>
    <w:rPr>
      <w:rFonts w:cs="Times New Roman"/>
    </w:rPr>
  </w:style>
  <w:style w:type="character" w:styleId="LineNumber">
    <w:name w:val="line number"/>
    <w:basedOn w:val="DefaultParagraphFont"/>
    <w:uiPriority w:val="99"/>
    <w:semiHidden/>
    <w:rsid w:val="00C168BF"/>
    <w:rPr>
      <w:rFonts w:cs="Times New Roman"/>
    </w:rPr>
  </w:style>
  <w:style w:type="paragraph" w:customStyle="1" w:styleId="ListParagraph1">
    <w:name w:val="List Paragraph1"/>
    <w:basedOn w:val="Normal"/>
    <w:uiPriority w:val="99"/>
    <w:rsid w:val="00DC4BCD"/>
    <w:pPr>
      <w:ind w:left="720"/>
      <w:contextualSpacing/>
    </w:pPr>
    <w:rPr>
      <w:rFonts w:eastAsia="Times New Roman"/>
    </w:rPr>
  </w:style>
  <w:style w:type="character" w:customStyle="1" w:styleId="atn">
    <w:name w:val="atn"/>
    <w:basedOn w:val="DefaultParagraphFont"/>
    <w:uiPriority w:val="99"/>
    <w:rsid w:val="00DC4BCD"/>
    <w:rPr>
      <w:rFonts w:cs="Times New Roman"/>
    </w:rPr>
  </w:style>
  <w:style w:type="character" w:styleId="Strong">
    <w:name w:val="Strong"/>
    <w:basedOn w:val="DefaultParagraphFont"/>
    <w:uiPriority w:val="99"/>
    <w:qFormat/>
    <w:rsid w:val="00DC4BCD"/>
    <w:rPr>
      <w:rFonts w:cs="Times New Roman"/>
      <w:b/>
      <w:bCs/>
    </w:rPr>
  </w:style>
  <w:style w:type="character" w:customStyle="1" w:styleId="gt-icon-text1">
    <w:name w:val="gt-icon-text1"/>
    <w:basedOn w:val="DefaultParagraphFont"/>
    <w:uiPriority w:val="99"/>
    <w:rsid w:val="00DC4BCD"/>
    <w:rPr>
      <w:rFonts w:cs="Times New Roman"/>
    </w:rPr>
  </w:style>
  <w:style w:type="character" w:customStyle="1" w:styleId="gt-ft-text1">
    <w:name w:val="gt-ft-text1"/>
    <w:basedOn w:val="DefaultParagraphFont"/>
    <w:uiPriority w:val="99"/>
    <w:rsid w:val="00DC4BCD"/>
    <w:rPr>
      <w:rFonts w:cs="Times New Roman"/>
    </w:rPr>
  </w:style>
  <w:style w:type="character" w:customStyle="1" w:styleId="goog-submenu-arrow2">
    <w:name w:val="goog-submenu-arrow2"/>
    <w:basedOn w:val="DefaultParagraphFont"/>
    <w:uiPriority w:val="99"/>
    <w:rsid w:val="00DC4BCD"/>
    <w:rPr>
      <w:rFonts w:cs="Times New Roman"/>
    </w:rPr>
  </w:style>
  <w:style w:type="paragraph" w:customStyle="1" w:styleId="Default">
    <w:name w:val="Default"/>
    <w:uiPriority w:val="99"/>
    <w:rsid w:val="00DC4BCD"/>
    <w:pPr>
      <w:autoSpaceDE w:val="0"/>
      <w:autoSpaceDN w:val="0"/>
      <w:adjustRightInd w:val="0"/>
    </w:pPr>
    <w:rPr>
      <w:rFonts w:ascii="Avenir LT Std 55 Roman" w:eastAsia="Times New Roman" w:hAnsi="Avenir LT Std 55 Roman" w:cs="Avenir LT Std 55 Roman"/>
      <w:color w:val="000000"/>
      <w:sz w:val="24"/>
      <w:szCs w:val="24"/>
    </w:rPr>
  </w:style>
  <w:style w:type="paragraph" w:customStyle="1" w:styleId="Pa2">
    <w:name w:val="Pa2"/>
    <w:basedOn w:val="Default"/>
    <w:next w:val="Default"/>
    <w:uiPriority w:val="99"/>
    <w:rsid w:val="00DC4BCD"/>
    <w:pPr>
      <w:spacing w:line="201" w:lineRule="atLeast"/>
    </w:pPr>
    <w:rPr>
      <w:rFonts w:cs="Times New Roman"/>
      <w:color w:val="auto"/>
    </w:rPr>
  </w:style>
  <w:style w:type="character" w:customStyle="1" w:styleId="A6">
    <w:name w:val="A6"/>
    <w:uiPriority w:val="99"/>
    <w:rsid w:val="00DC4BCD"/>
    <w:rPr>
      <w:b/>
      <w:color w:val="000000"/>
      <w:sz w:val="22"/>
    </w:rPr>
  </w:style>
  <w:style w:type="paragraph" w:customStyle="1" w:styleId="Pa1">
    <w:name w:val="Pa1"/>
    <w:basedOn w:val="Default"/>
    <w:next w:val="Default"/>
    <w:uiPriority w:val="99"/>
    <w:rsid w:val="00DC4BCD"/>
    <w:pPr>
      <w:spacing w:line="201" w:lineRule="atLeast"/>
    </w:pPr>
    <w:rPr>
      <w:rFonts w:ascii="Adobe Caslon Pro" w:hAnsi="Adobe Caslon Pro" w:cs="Times New Roman"/>
      <w:color w:val="auto"/>
    </w:rPr>
  </w:style>
  <w:style w:type="character" w:customStyle="1" w:styleId="A4">
    <w:name w:val="A4"/>
    <w:uiPriority w:val="99"/>
    <w:rsid w:val="00DC4BCD"/>
    <w:rPr>
      <w:color w:val="000000"/>
      <w:sz w:val="18"/>
    </w:rPr>
  </w:style>
  <w:style w:type="character" w:styleId="Hyperlink">
    <w:name w:val="Hyperlink"/>
    <w:basedOn w:val="DefaultParagraphFont"/>
    <w:uiPriority w:val="99"/>
    <w:semiHidden/>
    <w:rsid w:val="00DC4BCD"/>
    <w:rPr>
      <w:rFonts w:ascii="Arial" w:hAnsi="Arial" w:cs="Arial"/>
      <w:color w:val="0000CC"/>
      <w:u w:val="single"/>
    </w:rPr>
  </w:style>
  <w:style w:type="table" w:styleId="TableGrid">
    <w:name w:val="Table Grid"/>
    <w:basedOn w:val="TableNormal"/>
    <w:uiPriority w:val="99"/>
    <w:rsid w:val="00DC4BCD"/>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DC4BCD"/>
    <w:rPr>
      <w:rFonts w:eastAsia="Times New Roman"/>
      <w:lang w:val="en-US" w:eastAsia="en-US"/>
    </w:rPr>
  </w:style>
  <w:style w:type="paragraph" w:styleId="BalloonText">
    <w:name w:val="Balloon Text"/>
    <w:basedOn w:val="Normal"/>
    <w:link w:val="BalloonTextChar"/>
    <w:uiPriority w:val="99"/>
    <w:semiHidden/>
    <w:rsid w:val="00DC4BCD"/>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locked/>
    <w:rsid w:val="00DC4BCD"/>
    <w:rPr>
      <w:rFonts w:ascii="Tahoma" w:hAnsi="Tahoma" w:cs="Tahoma"/>
      <w:sz w:val="16"/>
      <w:szCs w:val="16"/>
    </w:rPr>
  </w:style>
  <w:style w:type="character" w:styleId="CommentReference">
    <w:name w:val="annotation reference"/>
    <w:basedOn w:val="DefaultParagraphFont"/>
    <w:uiPriority w:val="99"/>
    <w:semiHidden/>
    <w:rsid w:val="00DC4BCD"/>
    <w:rPr>
      <w:rFonts w:cs="Times New Roman"/>
      <w:sz w:val="16"/>
      <w:szCs w:val="16"/>
    </w:rPr>
  </w:style>
  <w:style w:type="paragraph" w:styleId="CommentText">
    <w:name w:val="annotation text"/>
    <w:basedOn w:val="Normal"/>
    <w:link w:val="CommentTextChar"/>
    <w:uiPriority w:val="99"/>
    <w:semiHidden/>
    <w:rsid w:val="00DC4BCD"/>
    <w:rPr>
      <w:rFonts w:eastAsia="Times New Roman"/>
      <w:sz w:val="20"/>
      <w:szCs w:val="20"/>
    </w:rPr>
  </w:style>
  <w:style w:type="character" w:customStyle="1" w:styleId="CommentTextChar">
    <w:name w:val="Comment Text Char"/>
    <w:basedOn w:val="DefaultParagraphFont"/>
    <w:link w:val="CommentText"/>
    <w:uiPriority w:val="99"/>
    <w:semiHidden/>
    <w:locked/>
    <w:rsid w:val="00DC4BCD"/>
    <w:rPr>
      <w:rFonts w:ascii="Calibri" w:hAnsi="Calibri" w:cs="Times New Roman"/>
      <w:sz w:val="20"/>
      <w:szCs w:val="20"/>
    </w:rPr>
  </w:style>
  <w:style w:type="paragraph" w:styleId="CommentSubject">
    <w:name w:val="annotation subject"/>
    <w:basedOn w:val="CommentText"/>
    <w:next w:val="CommentText"/>
    <w:link w:val="CommentSubjectChar"/>
    <w:uiPriority w:val="99"/>
    <w:semiHidden/>
    <w:rsid w:val="00DC4BCD"/>
    <w:rPr>
      <w:b/>
      <w:bCs/>
    </w:rPr>
  </w:style>
  <w:style w:type="character" w:customStyle="1" w:styleId="CommentSubjectChar">
    <w:name w:val="Comment Subject Char"/>
    <w:basedOn w:val="CommentTextChar"/>
    <w:link w:val="CommentSubject"/>
    <w:uiPriority w:val="99"/>
    <w:semiHidden/>
    <w:locked/>
    <w:rsid w:val="00DC4BCD"/>
    <w:rPr>
      <w:b/>
      <w:bCs/>
    </w:rPr>
  </w:style>
  <w:style w:type="paragraph" w:styleId="Header">
    <w:name w:val="header"/>
    <w:basedOn w:val="Normal"/>
    <w:link w:val="HeaderChar"/>
    <w:uiPriority w:val="99"/>
    <w:rsid w:val="00C75CDD"/>
    <w:pPr>
      <w:tabs>
        <w:tab w:val="center" w:pos="4252"/>
        <w:tab w:val="right" w:pos="8504"/>
      </w:tabs>
    </w:pPr>
  </w:style>
  <w:style w:type="character" w:customStyle="1" w:styleId="HeaderChar">
    <w:name w:val="Header Char"/>
    <w:basedOn w:val="DefaultParagraphFont"/>
    <w:link w:val="Header"/>
    <w:uiPriority w:val="99"/>
    <w:semiHidden/>
    <w:locked/>
    <w:rsid w:val="002262A9"/>
    <w:rPr>
      <w:rFonts w:cs="Times New Roman"/>
      <w:lang w:val="en-US" w:eastAsia="en-US"/>
    </w:rPr>
  </w:style>
  <w:style w:type="character" w:styleId="PageNumber">
    <w:name w:val="page number"/>
    <w:basedOn w:val="DefaultParagraphFont"/>
    <w:uiPriority w:val="99"/>
    <w:rsid w:val="00C75CDD"/>
    <w:rPr>
      <w:rFonts w:cs="Times New Roman"/>
    </w:rPr>
  </w:style>
  <w:style w:type="paragraph" w:styleId="Footer">
    <w:name w:val="footer"/>
    <w:basedOn w:val="Normal"/>
    <w:link w:val="FooterChar"/>
    <w:uiPriority w:val="99"/>
    <w:rsid w:val="00C75CDD"/>
    <w:pPr>
      <w:tabs>
        <w:tab w:val="center" w:pos="4252"/>
        <w:tab w:val="right" w:pos="8504"/>
      </w:tabs>
    </w:pPr>
  </w:style>
  <w:style w:type="character" w:customStyle="1" w:styleId="FooterChar">
    <w:name w:val="Footer Char"/>
    <w:basedOn w:val="DefaultParagraphFont"/>
    <w:link w:val="Footer"/>
    <w:uiPriority w:val="99"/>
    <w:semiHidden/>
    <w:locked/>
    <w:rsid w:val="002262A9"/>
    <w:rPr>
      <w:rFonts w:cs="Times New Roman"/>
      <w:lang w:val="en-US" w:eastAsia="en-US"/>
    </w:rPr>
  </w:style>
  <w:style w:type="character" w:customStyle="1" w:styleId="A9">
    <w:name w:val="A9"/>
    <w:uiPriority w:val="99"/>
    <w:rsid w:val="00D03800"/>
    <w:rPr>
      <w:color w:val="000000"/>
      <w:sz w:val="12"/>
    </w:rPr>
  </w:style>
  <w:style w:type="character" w:customStyle="1" w:styleId="A2">
    <w:name w:val="A2"/>
    <w:uiPriority w:val="99"/>
    <w:rsid w:val="00D03800"/>
    <w:rPr>
      <w:i/>
      <w:color w:val="000000"/>
      <w:sz w:val="17"/>
    </w:rPr>
  </w:style>
  <w:style w:type="character" w:customStyle="1" w:styleId="A3">
    <w:name w:val="A3"/>
    <w:uiPriority w:val="99"/>
    <w:rsid w:val="00D03800"/>
    <w:rPr>
      <w:i/>
      <w:color w:val="000000"/>
      <w:sz w:val="10"/>
    </w:rPr>
  </w:style>
</w:styles>
</file>

<file path=word/webSettings.xml><?xml version="1.0" encoding="utf-8"?>
<w:webSettings xmlns:r="http://schemas.openxmlformats.org/officeDocument/2006/relationships" xmlns:w="http://schemas.openxmlformats.org/wordprocessingml/2006/main">
  <w:divs>
    <w:div w:id="1410427074">
      <w:marLeft w:val="0"/>
      <w:marRight w:val="0"/>
      <w:marTop w:val="0"/>
      <w:marBottom w:val="0"/>
      <w:divBdr>
        <w:top w:val="none" w:sz="0" w:space="0" w:color="auto"/>
        <w:left w:val="none" w:sz="0" w:space="0" w:color="auto"/>
        <w:bottom w:val="none" w:sz="0" w:space="0" w:color="auto"/>
        <w:right w:val="none" w:sz="0" w:space="0" w:color="auto"/>
      </w:divBdr>
      <w:divsChild>
        <w:div w:id="1410427073">
          <w:marLeft w:val="0"/>
          <w:marRight w:val="0"/>
          <w:marTop w:val="0"/>
          <w:marBottom w:val="0"/>
          <w:divBdr>
            <w:top w:val="none" w:sz="0" w:space="0" w:color="auto"/>
            <w:left w:val="none" w:sz="0" w:space="0" w:color="auto"/>
            <w:bottom w:val="none" w:sz="0" w:space="0" w:color="auto"/>
            <w:right w:val="none" w:sz="0" w:space="0" w:color="auto"/>
          </w:divBdr>
          <w:divsChild>
            <w:div w:id="1410427080">
              <w:marLeft w:val="0"/>
              <w:marRight w:val="0"/>
              <w:marTop w:val="0"/>
              <w:marBottom w:val="0"/>
              <w:divBdr>
                <w:top w:val="none" w:sz="0" w:space="0" w:color="auto"/>
                <w:left w:val="none" w:sz="0" w:space="0" w:color="auto"/>
                <w:bottom w:val="none" w:sz="0" w:space="0" w:color="auto"/>
                <w:right w:val="none" w:sz="0" w:space="0" w:color="auto"/>
              </w:divBdr>
              <w:divsChild>
                <w:div w:id="1410427077">
                  <w:marLeft w:val="0"/>
                  <w:marRight w:val="0"/>
                  <w:marTop w:val="0"/>
                  <w:marBottom w:val="0"/>
                  <w:divBdr>
                    <w:top w:val="none" w:sz="0" w:space="0" w:color="auto"/>
                    <w:left w:val="none" w:sz="0" w:space="0" w:color="auto"/>
                    <w:bottom w:val="none" w:sz="0" w:space="0" w:color="auto"/>
                    <w:right w:val="none" w:sz="0" w:space="0" w:color="auto"/>
                  </w:divBdr>
                  <w:divsChild>
                    <w:div w:id="1410427081">
                      <w:marLeft w:val="0"/>
                      <w:marRight w:val="0"/>
                      <w:marTop w:val="0"/>
                      <w:marBottom w:val="0"/>
                      <w:divBdr>
                        <w:top w:val="none" w:sz="0" w:space="0" w:color="auto"/>
                        <w:left w:val="none" w:sz="0" w:space="0" w:color="auto"/>
                        <w:bottom w:val="none" w:sz="0" w:space="0" w:color="auto"/>
                        <w:right w:val="none" w:sz="0" w:space="0" w:color="auto"/>
                      </w:divBdr>
                      <w:divsChild>
                        <w:div w:id="1410427076">
                          <w:marLeft w:val="0"/>
                          <w:marRight w:val="0"/>
                          <w:marTop w:val="0"/>
                          <w:marBottom w:val="0"/>
                          <w:divBdr>
                            <w:top w:val="none" w:sz="0" w:space="0" w:color="auto"/>
                            <w:left w:val="none" w:sz="0" w:space="0" w:color="auto"/>
                            <w:bottom w:val="none" w:sz="0" w:space="0" w:color="auto"/>
                            <w:right w:val="none" w:sz="0" w:space="0" w:color="auto"/>
                          </w:divBdr>
                          <w:divsChild>
                            <w:div w:id="1410427072">
                              <w:marLeft w:val="0"/>
                              <w:marRight w:val="0"/>
                              <w:marTop w:val="0"/>
                              <w:marBottom w:val="0"/>
                              <w:divBdr>
                                <w:top w:val="none" w:sz="0" w:space="0" w:color="auto"/>
                                <w:left w:val="none" w:sz="0" w:space="0" w:color="auto"/>
                                <w:bottom w:val="none" w:sz="0" w:space="0" w:color="auto"/>
                                <w:right w:val="none" w:sz="0" w:space="0" w:color="auto"/>
                              </w:divBdr>
                              <w:divsChild>
                                <w:div w:id="1410427075">
                                  <w:marLeft w:val="0"/>
                                  <w:marRight w:val="0"/>
                                  <w:marTop w:val="0"/>
                                  <w:marBottom w:val="0"/>
                                  <w:divBdr>
                                    <w:top w:val="none" w:sz="0" w:space="0" w:color="auto"/>
                                    <w:left w:val="none" w:sz="0" w:space="0" w:color="auto"/>
                                    <w:bottom w:val="none" w:sz="0" w:space="0" w:color="auto"/>
                                    <w:right w:val="none" w:sz="0" w:space="0" w:color="auto"/>
                                  </w:divBdr>
                                  <w:divsChild>
                                    <w:div w:id="1410427078">
                                      <w:marLeft w:val="0"/>
                                      <w:marRight w:val="0"/>
                                      <w:marTop w:val="0"/>
                                      <w:marBottom w:val="0"/>
                                      <w:divBdr>
                                        <w:top w:val="none" w:sz="0" w:space="0" w:color="auto"/>
                                        <w:left w:val="none" w:sz="0" w:space="0" w:color="auto"/>
                                        <w:bottom w:val="none" w:sz="0" w:space="0" w:color="auto"/>
                                        <w:right w:val="none" w:sz="0" w:space="0" w:color="auto"/>
                                      </w:divBdr>
                                    </w:div>
                                    <w:div w:id="141042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22Groen%20AK%22%5BAuthor%5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cbi.nlm.nih.gov/pubmed?term=%22Gaemers%20IC%22%5BAuthor%5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ncbi.nlm.nih.gov/pubmed/166800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17</Pages>
  <Words>6171</Words>
  <Characters>-32766</Characters>
  <Application>Microsoft Office Outlook</Application>
  <DocSecurity>0</DocSecurity>
  <Lines>0</Lines>
  <Paragraphs>0</Paragraphs>
  <ScaleCrop>false</ScaleCrop>
  <Company>Your Company Name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Revisão de Literatura</dc:title>
  <dc:subject/>
  <dc:creator>Your User Name</dc:creator>
  <cp:keywords/>
  <dc:description/>
  <cp:lastModifiedBy>0126281</cp:lastModifiedBy>
  <cp:revision>2</cp:revision>
  <cp:lastPrinted>2012-01-16T11:17:00Z</cp:lastPrinted>
  <dcterms:created xsi:type="dcterms:W3CDTF">2012-10-08T14:05:00Z</dcterms:created>
  <dcterms:modified xsi:type="dcterms:W3CDTF">2012-10-08T14:05:00Z</dcterms:modified>
</cp:coreProperties>
</file>