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B88" w:rsidRPr="00CB06FB" w:rsidRDefault="00014B88" w:rsidP="00014B88">
      <w:pPr>
        <w:pStyle w:val="Legenda"/>
        <w:keepNext/>
        <w:spacing w:line="360" w:lineRule="auto"/>
        <w:jc w:val="both"/>
        <w:rPr>
          <w:sz w:val="24"/>
          <w:szCs w:val="24"/>
        </w:rPr>
      </w:pPr>
      <w:r w:rsidRPr="00CB06FB">
        <w:rPr>
          <w:sz w:val="24"/>
          <w:szCs w:val="24"/>
        </w:rPr>
        <w:t>Tabela 2</w:t>
      </w:r>
      <w:r>
        <w:rPr>
          <w:sz w:val="24"/>
          <w:szCs w:val="24"/>
        </w:rPr>
        <w:t>.</w:t>
      </w:r>
      <w:r w:rsidRPr="00CB06FB">
        <w:rPr>
          <w:sz w:val="24"/>
          <w:szCs w:val="24"/>
        </w:rPr>
        <w:t xml:space="preserve"> </w:t>
      </w:r>
      <w:r w:rsidRPr="00046EF9">
        <w:rPr>
          <w:b w:val="0"/>
          <w:sz w:val="24"/>
          <w:szCs w:val="24"/>
        </w:rPr>
        <w:t>Parâmetros obtidos em cada modelo matemático para a modelagem da cinética de Frequência Cardíaca (</w:t>
      </w:r>
      <w:proofErr w:type="spellStart"/>
      <w:r w:rsidRPr="00046EF9">
        <w:rPr>
          <w:b w:val="0"/>
          <w:color w:val="000000"/>
          <w:kern w:val="0"/>
          <w:sz w:val="24"/>
          <w:szCs w:val="24"/>
          <w:lang w:eastAsia="pt-BR"/>
        </w:rPr>
        <w:t>τ</w:t>
      </w:r>
      <w:r w:rsidRPr="00046EF9">
        <w:rPr>
          <w:b w:val="0"/>
          <w:sz w:val="24"/>
          <w:szCs w:val="24"/>
        </w:rPr>
        <w:t>FC</w:t>
      </w:r>
      <w:proofErr w:type="spellEnd"/>
      <w:r w:rsidRPr="00046EF9">
        <w:rPr>
          <w:b w:val="0"/>
          <w:sz w:val="24"/>
          <w:szCs w:val="24"/>
        </w:rPr>
        <w:t>).</w:t>
      </w:r>
      <w:r w:rsidRPr="00CB06FB">
        <w:rPr>
          <w:sz w:val="24"/>
          <w:szCs w:val="24"/>
        </w:rPr>
        <w:t xml:space="preserve"> </w:t>
      </w:r>
    </w:p>
    <w:p w:rsidR="00014B88" w:rsidRPr="00CB06FB" w:rsidRDefault="00014B88" w:rsidP="00014B88">
      <w:pPr>
        <w:spacing w:line="360" w:lineRule="auto"/>
      </w:pPr>
    </w:p>
    <w:tbl>
      <w:tblPr>
        <w:tblStyle w:val="SombreamentoClaro"/>
        <w:tblW w:w="8719" w:type="dxa"/>
        <w:tblLook w:val="06A0"/>
      </w:tblPr>
      <w:tblGrid>
        <w:gridCol w:w="617"/>
        <w:gridCol w:w="617"/>
        <w:gridCol w:w="546"/>
        <w:gridCol w:w="544"/>
        <w:gridCol w:w="544"/>
        <w:gridCol w:w="476"/>
        <w:gridCol w:w="549"/>
        <w:gridCol w:w="253"/>
        <w:gridCol w:w="544"/>
        <w:gridCol w:w="544"/>
        <w:gridCol w:w="617"/>
        <w:gridCol w:w="617"/>
        <w:gridCol w:w="544"/>
        <w:gridCol w:w="476"/>
        <w:gridCol w:w="617"/>
        <w:gridCol w:w="614"/>
      </w:tblGrid>
      <w:tr w:rsidR="00014B88" w:rsidRPr="00A265CB" w:rsidTr="00737EF0">
        <w:trPr>
          <w:cnfStyle w:val="100000000000"/>
          <w:trHeight w:val="300"/>
        </w:trPr>
        <w:tc>
          <w:tcPr>
            <w:cnfStyle w:val="001000000000"/>
            <w:tcW w:w="353" w:type="pct"/>
            <w:noWrap/>
          </w:tcPr>
          <w:p w:rsidR="00014B88" w:rsidRPr="00A265CB" w:rsidRDefault="00014B88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A265CB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879" w:type="pct"/>
            <w:gridSpan w:val="6"/>
            <w:noWrap/>
          </w:tcPr>
          <w:p w:rsidR="00014B88" w:rsidRPr="00A265CB" w:rsidRDefault="00014B88" w:rsidP="00737EF0">
            <w:pPr>
              <w:widowControl/>
              <w:suppressAutoHyphens w:val="0"/>
              <w:spacing w:line="360" w:lineRule="auto"/>
              <w:jc w:val="center"/>
              <w:cnfStyle w:val="100000000000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265CB">
              <w:rPr>
                <w:color w:val="000000"/>
                <w:kern w:val="0"/>
                <w:sz w:val="20"/>
                <w:szCs w:val="20"/>
              </w:rPr>
              <w:t>Monoexponencial</w:t>
            </w:r>
          </w:p>
        </w:tc>
        <w:tc>
          <w:tcPr>
            <w:tcW w:w="145" w:type="pct"/>
            <w:noWrap/>
          </w:tcPr>
          <w:p w:rsidR="00014B88" w:rsidRPr="00A265CB" w:rsidRDefault="00014B88" w:rsidP="00737EF0">
            <w:pPr>
              <w:widowControl/>
              <w:suppressAutoHyphens w:val="0"/>
              <w:spacing w:line="360" w:lineRule="auto"/>
              <w:jc w:val="center"/>
              <w:cnfStyle w:val="100000000000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70" w:type="pct"/>
            <w:gridSpan w:val="7"/>
            <w:noWrap/>
          </w:tcPr>
          <w:p w:rsidR="00014B88" w:rsidRPr="00A265CB" w:rsidRDefault="00014B88" w:rsidP="00737EF0">
            <w:pPr>
              <w:widowControl/>
              <w:suppressAutoHyphens w:val="0"/>
              <w:spacing w:line="360" w:lineRule="auto"/>
              <w:jc w:val="center"/>
              <w:cnfStyle w:val="100000000000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265CB">
              <w:rPr>
                <w:color w:val="000000"/>
                <w:kern w:val="0"/>
                <w:sz w:val="20"/>
                <w:szCs w:val="20"/>
              </w:rPr>
              <w:t>Biexponencial</w:t>
            </w:r>
          </w:p>
        </w:tc>
        <w:tc>
          <w:tcPr>
            <w:tcW w:w="354" w:type="pct"/>
          </w:tcPr>
          <w:p w:rsidR="00014B88" w:rsidRPr="00F32F2B" w:rsidRDefault="00014B88" w:rsidP="00737EF0">
            <w:pPr>
              <w:widowControl/>
              <w:suppressAutoHyphens w:val="0"/>
              <w:spacing w:line="360" w:lineRule="auto"/>
              <w:jc w:val="center"/>
              <w:cnfStyle w:val="100000000000"/>
              <w:rPr>
                <w:b w:val="0"/>
                <w:bCs w:val="0"/>
                <w:i/>
                <w:color w:val="000000"/>
                <w:kern w:val="0"/>
                <w:sz w:val="20"/>
                <w:szCs w:val="20"/>
              </w:rPr>
            </w:pPr>
            <w:r w:rsidRPr="00F32F2B">
              <w:rPr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014B88" w:rsidRPr="00A265CB" w:rsidTr="00737EF0">
        <w:trPr>
          <w:trHeight w:val="300"/>
        </w:trPr>
        <w:tc>
          <w:tcPr>
            <w:cnfStyle w:val="001000000000"/>
            <w:tcW w:w="353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 </w:t>
            </w:r>
          </w:p>
        </w:tc>
        <w:tc>
          <w:tcPr>
            <w:tcW w:w="354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proofErr w:type="gramStart"/>
            <w:r w:rsidRPr="00046EF9">
              <w:rPr>
                <w:color w:val="000000"/>
                <w:kern w:val="0"/>
                <w:sz w:val="14"/>
                <w:szCs w:val="20"/>
              </w:rPr>
              <w:t>y</w:t>
            </w:r>
            <w:r w:rsidRPr="00046EF9">
              <w:rPr>
                <w:color w:val="000000"/>
                <w:kern w:val="0"/>
                <w:sz w:val="14"/>
                <w:szCs w:val="20"/>
                <w:vertAlign w:val="subscript"/>
              </w:rPr>
              <w:t>0</w:t>
            </w:r>
            <w:proofErr w:type="gramEnd"/>
          </w:p>
        </w:tc>
        <w:tc>
          <w:tcPr>
            <w:tcW w:w="313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α</w:t>
            </w:r>
          </w:p>
        </w:tc>
        <w:tc>
          <w:tcPr>
            <w:tcW w:w="312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τ(s)</w:t>
            </w:r>
          </w:p>
        </w:tc>
        <w:tc>
          <w:tcPr>
            <w:tcW w:w="312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proofErr w:type="gramStart"/>
            <w:r w:rsidRPr="002563CD">
              <w:rPr>
                <w:i/>
                <w:color w:val="000000"/>
                <w:kern w:val="0"/>
                <w:sz w:val="14"/>
                <w:szCs w:val="20"/>
              </w:rPr>
              <w:t>r</w:t>
            </w:r>
            <w:r w:rsidRPr="002563CD">
              <w:rPr>
                <w:color w:val="000000"/>
                <w:kern w:val="0"/>
                <w:sz w:val="14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73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EPE</w:t>
            </w:r>
          </w:p>
        </w:tc>
        <w:tc>
          <w:tcPr>
            <w:tcW w:w="315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QMR</w:t>
            </w:r>
          </w:p>
        </w:tc>
        <w:tc>
          <w:tcPr>
            <w:tcW w:w="145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 </w:t>
            </w:r>
          </w:p>
        </w:tc>
        <w:tc>
          <w:tcPr>
            <w:tcW w:w="312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α</w:t>
            </w:r>
            <w:proofErr w:type="gramStart"/>
            <w:r w:rsidRPr="002563CD">
              <w:rPr>
                <w:color w:val="000000"/>
                <w:kern w:val="0"/>
                <w:sz w:val="14"/>
                <w:szCs w:val="20"/>
                <w:vertAlign w:val="subscript"/>
              </w:rPr>
              <w:t>1</w:t>
            </w:r>
            <w:proofErr w:type="gramEnd"/>
          </w:p>
        </w:tc>
        <w:tc>
          <w:tcPr>
            <w:tcW w:w="312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τ</w:t>
            </w:r>
            <w:proofErr w:type="gramStart"/>
            <w:r w:rsidRPr="002563CD">
              <w:rPr>
                <w:color w:val="000000"/>
                <w:kern w:val="0"/>
                <w:sz w:val="14"/>
                <w:szCs w:val="20"/>
                <w:vertAlign w:val="subscript"/>
              </w:rPr>
              <w:t>1</w:t>
            </w:r>
            <w:proofErr w:type="gramEnd"/>
            <w:r w:rsidRPr="002563CD">
              <w:rPr>
                <w:color w:val="000000"/>
                <w:kern w:val="0"/>
                <w:sz w:val="14"/>
                <w:szCs w:val="20"/>
              </w:rPr>
              <w:t>(s)</w:t>
            </w:r>
          </w:p>
        </w:tc>
        <w:tc>
          <w:tcPr>
            <w:tcW w:w="354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α</w:t>
            </w:r>
            <w:proofErr w:type="gramStart"/>
            <w:r w:rsidRPr="002563CD">
              <w:rPr>
                <w:color w:val="000000"/>
                <w:kern w:val="0"/>
                <w:sz w:val="14"/>
                <w:szCs w:val="20"/>
                <w:vertAlign w:val="subscript"/>
              </w:rPr>
              <w:t>2</w:t>
            </w:r>
            <w:proofErr w:type="gramEnd"/>
          </w:p>
        </w:tc>
        <w:tc>
          <w:tcPr>
            <w:tcW w:w="354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τ</w:t>
            </w:r>
            <w:proofErr w:type="gramStart"/>
            <w:r w:rsidRPr="002563CD">
              <w:rPr>
                <w:color w:val="000000"/>
                <w:kern w:val="0"/>
                <w:sz w:val="14"/>
                <w:szCs w:val="20"/>
                <w:vertAlign w:val="subscript"/>
              </w:rPr>
              <w:t>2</w:t>
            </w:r>
            <w:proofErr w:type="gramEnd"/>
            <w:r w:rsidRPr="002563CD">
              <w:rPr>
                <w:color w:val="000000"/>
                <w:kern w:val="0"/>
                <w:sz w:val="14"/>
                <w:szCs w:val="20"/>
              </w:rPr>
              <w:t>(s)</w:t>
            </w:r>
          </w:p>
        </w:tc>
        <w:tc>
          <w:tcPr>
            <w:tcW w:w="312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proofErr w:type="gramStart"/>
            <w:r w:rsidRPr="002563CD">
              <w:rPr>
                <w:i/>
                <w:color w:val="000000"/>
                <w:kern w:val="0"/>
                <w:sz w:val="14"/>
                <w:szCs w:val="20"/>
              </w:rPr>
              <w:t>r</w:t>
            </w:r>
            <w:r w:rsidRPr="002563CD">
              <w:rPr>
                <w:color w:val="000000"/>
                <w:kern w:val="0"/>
                <w:sz w:val="14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73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EPE</w:t>
            </w:r>
          </w:p>
        </w:tc>
        <w:tc>
          <w:tcPr>
            <w:tcW w:w="354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QMR</w:t>
            </w:r>
          </w:p>
        </w:tc>
        <w:tc>
          <w:tcPr>
            <w:tcW w:w="354" w:type="pct"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</w:p>
        </w:tc>
      </w:tr>
      <w:tr w:rsidR="00014B88" w:rsidRPr="00A265CB" w:rsidTr="00737EF0">
        <w:trPr>
          <w:trHeight w:val="300"/>
        </w:trPr>
        <w:tc>
          <w:tcPr>
            <w:cnfStyle w:val="001000000000"/>
            <w:tcW w:w="353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Média</w:t>
            </w:r>
          </w:p>
        </w:tc>
        <w:tc>
          <w:tcPr>
            <w:tcW w:w="354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108,46</w:t>
            </w:r>
          </w:p>
        </w:tc>
        <w:tc>
          <w:tcPr>
            <w:tcW w:w="313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70,07</w:t>
            </w:r>
          </w:p>
        </w:tc>
        <w:tc>
          <w:tcPr>
            <w:tcW w:w="312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21,19</w:t>
            </w:r>
          </w:p>
        </w:tc>
        <w:tc>
          <w:tcPr>
            <w:tcW w:w="312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0,976</w:t>
            </w:r>
          </w:p>
        </w:tc>
        <w:tc>
          <w:tcPr>
            <w:tcW w:w="273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proofErr w:type="gramStart"/>
            <w:r w:rsidRPr="002563CD">
              <w:rPr>
                <w:color w:val="000000"/>
                <w:kern w:val="0"/>
                <w:sz w:val="14"/>
                <w:szCs w:val="20"/>
              </w:rPr>
              <w:t>3</w:t>
            </w:r>
            <w:proofErr w:type="gramEnd"/>
          </w:p>
        </w:tc>
        <w:tc>
          <w:tcPr>
            <w:tcW w:w="315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7,18</w:t>
            </w:r>
          </w:p>
        </w:tc>
        <w:tc>
          <w:tcPr>
            <w:tcW w:w="145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</w:p>
        </w:tc>
        <w:tc>
          <w:tcPr>
            <w:tcW w:w="312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64,76</w:t>
            </w:r>
          </w:p>
        </w:tc>
        <w:tc>
          <w:tcPr>
            <w:tcW w:w="312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17,08</w:t>
            </w:r>
          </w:p>
        </w:tc>
        <w:tc>
          <w:tcPr>
            <w:tcW w:w="354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116,26</w:t>
            </w:r>
          </w:p>
        </w:tc>
        <w:tc>
          <w:tcPr>
            <w:tcW w:w="354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552,42</w:t>
            </w:r>
          </w:p>
        </w:tc>
        <w:tc>
          <w:tcPr>
            <w:tcW w:w="312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0,677</w:t>
            </w:r>
          </w:p>
        </w:tc>
        <w:tc>
          <w:tcPr>
            <w:tcW w:w="273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11</w:t>
            </w:r>
          </w:p>
        </w:tc>
        <w:tc>
          <w:tcPr>
            <w:tcW w:w="354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187,90</w:t>
            </w:r>
          </w:p>
        </w:tc>
        <w:tc>
          <w:tcPr>
            <w:tcW w:w="354" w:type="pct"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0,0001</w:t>
            </w:r>
          </w:p>
        </w:tc>
      </w:tr>
      <w:tr w:rsidR="00014B88" w:rsidRPr="00A265CB" w:rsidTr="00737EF0">
        <w:trPr>
          <w:trHeight w:val="300"/>
        </w:trPr>
        <w:tc>
          <w:tcPr>
            <w:cnfStyle w:val="001000000000"/>
            <w:tcW w:w="353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DP</w:t>
            </w:r>
          </w:p>
        </w:tc>
        <w:tc>
          <w:tcPr>
            <w:tcW w:w="354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16,31</w:t>
            </w:r>
          </w:p>
        </w:tc>
        <w:tc>
          <w:tcPr>
            <w:tcW w:w="313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14,86</w:t>
            </w:r>
          </w:p>
        </w:tc>
        <w:tc>
          <w:tcPr>
            <w:tcW w:w="312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10,59</w:t>
            </w:r>
          </w:p>
        </w:tc>
        <w:tc>
          <w:tcPr>
            <w:tcW w:w="312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0,019</w:t>
            </w:r>
          </w:p>
        </w:tc>
        <w:tc>
          <w:tcPr>
            <w:tcW w:w="273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proofErr w:type="gramStart"/>
            <w:r w:rsidRPr="002563CD">
              <w:rPr>
                <w:color w:val="000000"/>
                <w:kern w:val="0"/>
                <w:sz w:val="14"/>
                <w:szCs w:val="20"/>
              </w:rPr>
              <w:t>1</w:t>
            </w:r>
            <w:proofErr w:type="gramEnd"/>
          </w:p>
        </w:tc>
        <w:tc>
          <w:tcPr>
            <w:tcW w:w="315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5,16</w:t>
            </w:r>
          </w:p>
        </w:tc>
        <w:tc>
          <w:tcPr>
            <w:tcW w:w="145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</w:p>
        </w:tc>
        <w:tc>
          <w:tcPr>
            <w:tcW w:w="312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15,65</w:t>
            </w:r>
          </w:p>
        </w:tc>
        <w:tc>
          <w:tcPr>
            <w:tcW w:w="312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8,87</w:t>
            </w:r>
          </w:p>
        </w:tc>
        <w:tc>
          <w:tcPr>
            <w:tcW w:w="354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16,45</w:t>
            </w:r>
          </w:p>
        </w:tc>
        <w:tc>
          <w:tcPr>
            <w:tcW w:w="354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261,65</w:t>
            </w:r>
          </w:p>
        </w:tc>
        <w:tc>
          <w:tcPr>
            <w:tcW w:w="312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0,309</w:t>
            </w:r>
          </w:p>
        </w:tc>
        <w:tc>
          <w:tcPr>
            <w:tcW w:w="273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proofErr w:type="gramStart"/>
            <w:r w:rsidRPr="002563CD">
              <w:rPr>
                <w:color w:val="000000"/>
                <w:kern w:val="0"/>
                <w:sz w:val="14"/>
                <w:szCs w:val="20"/>
              </w:rPr>
              <w:t>8</w:t>
            </w:r>
            <w:proofErr w:type="gramEnd"/>
          </w:p>
        </w:tc>
        <w:tc>
          <w:tcPr>
            <w:tcW w:w="354" w:type="pct"/>
            <w:noWrap/>
          </w:tcPr>
          <w:p w:rsidR="00014B88" w:rsidRPr="002563CD" w:rsidRDefault="00014B88" w:rsidP="00737EF0">
            <w:pPr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  <w:r w:rsidRPr="002563CD">
              <w:rPr>
                <w:color w:val="000000"/>
                <w:kern w:val="0"/>
                <w:sz w:val="14"/>
                <w:szCs w:val="20"/>
              </w:rPr>
              <w:t>204,34</w:t>
            </w:r>
          </w:p>
        </w:tc>
        <w:tc>
          <w:tcPr>
            <w:tcW w:w="354" w:type="pct"/>
          </w:tcPr>
          <w:p w:rsidR="00014B88" w:rsidRPr="002563CD" w:rsidRDefault="00014B88" w:rsidP="00737EF0">
            <w:pPr>
              <w:keepNext/>
              <w:widowControl/>
              <w:suppressAutoHyphens w:val="0"/>
              <w:spacing w:line="360" w:lineRule="auto"/>
              <w:jc w:val="center"/>
              <w:cnfStyle w:val="000000000000"/>
              <w:rPr>
                <w:color w:val="000000"/>
                <w:kern w:val="0"/>
                <w:sz w:val="14"/>
                <w:szCs w:val="20"/>
              </w:rPr>
            </w:pPr>
          </w:p>
        </w:tc>
      </w:tr>
    </w:tbl>
    <w:p w:rsidR="00014B88" w:rsidRPr="00CB06FB" w:rsidRDefault="00014B88" w:rsidP="00014B88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kern w:val="0"/>
        </w:rPr>
      </w:pPr>
      <w:r>
        <w:rPr>
          <w:kern w:val="0"/>
        </w:rPr>
        <w:t xml:space="preserve">Sendo: </w:t>
      </w:r>
      <w:r w:rsidRPr="00A265CB">
        <w:rPr>
          <w:sz w:val="20"/>
          <w:szCs w:val="20"/>
        </w:rPr>
        <w:t>Estimativa da FC no</w:t>
      </w:r>
      <w:r w:rsidRPr="00A265CB">
        <w:rPr>
          <w:rFonts w:eastAsia="Lucida Sans Unicode"/>
          <w:sz w:val="20"/>
          <w:szCs w:val="20"/>
        </w:rPr>
        <w:t xml:space="preserve"> </w:t>
      </w:r>
      <w:r w:rsidRPr="00A265CB">
        <w:rPr>
          <w:sz w:val="20"/>
          <w:szCs w:val="20"/>
        </w:rPr>
        <w:t>repouso (y</w:t>
      </w:r>
      <w:r w:rsidRPr="00A265CB">
        <w:rPr>
          <w:sz w:val="20"/>
          <w:szCs w:val="20"/>
          <w:vertAlign w:val="subscript"/>
        </w:rPr>
        <w:t>0</w:t>
      </w:r>
      <w:r w:rsidRPr="00A265CB">
        <w:rPr>
          <w:sz w:val="20"/>
          <w:szCs w:val="20"/>
        </w:rPr>
        <w:t xml:space="preserve">, </w:t>
      </w:r>
      <w:proofErr w:type="spellStart"/>
      <w:r w:rsidRPr="00A265CB">
        <w:rPr>
          <w:color w:val="000000"/>
          <w:kern w:val="0"/>
          <w:sz w:val="20"/>
          <w:szCs w:val="20"/>
          <w:lang w:eastAsia="pt-BR"/>
        </w:rPr>
        <w:t>bpm</w:t>
      </w:r>
      <w:proofErr w:type="spellEnd"/>
      <w:r w:rsidRPr="00A265CB">
        <w:rPr>
          <w:sz w:val="20"/>
          <w:szCs w:val="20"/>
        </w:rPr>
        <w:t>), amplitude final da FC (</w:t>
      </w:r>
      <w:r>
        <w:rPr>
          <w:color w:val="000000"/>
          <w:kern w:val="0"/>
          <w:sz w:val="20"/>
          <w:szCs w:val="20"/>
          <w:lang w:eastAsia="pt-BR"/>
        </w:rPr>
        <w:t>α,</w:t>
      </w:r>
      <w:r w:rsidRPr="00A265CB">
        <w:rPr>
          <w:color w:val="000000"/>
          <w:kern w:val="0"/>
          <w:sz w:val="20"/>
          <w:szCs w:val="20"/>
          <w:lang w:eastAsia="pt-BR"/>
        </w:rPr>
        <w:t xml:space="preserve"> </w:t>
      </w:r>
      <w:proofErr w:type="spellStart"/>
      <w:r w:rsidRPr="00A265CB">
        <w:rPr>
          <w:color w:val="000000"/>
          <w:kern w:val="0"/>
          <w:sz w:val="20"/>
          <w:szCs w:val="20"/>
          <w:lang w:eastAsia="pt-BR"/>
        </w:rPr>
        <w:t>bpm</w:t>
      </w:r>
      <w:proofErr w:type="spellEnd"/>
      <w:r>
        <w:rPr>
          <w:color w:val="000000"/>
          <w:kern w:val="0"/>
          <w:sz w:val="20"/>
          <w:szCs w:val="20"/>
          <w:lang w:eastAsia="pt-BR"/>
        </w:rPr>
        <w:t>)</w:t>
      </w:r>
      <w:r w:rsidRPr="00A265CB">
        <w:rPr>
          <w:color w:val="000000"/>
          <w:kern w:val="0"/>
          <w:sz w:val="20"/>
          <w:szCs w:val="20"/>
          <w:lang w:eastAsia="pt-BR"/>
        </w:rPr>
        <w:t xml:space="preserve"> e Constante matemática de tempo (</w:t>
      </w:r>
      <w:r>
        <w:rPr>
          <w:color w:val="000000"/>
          <w:kern w:val="0"/>
          <w:sz w:val="20"/>
          <w:szCs w:val="20"/>
          <w:lang w:eastAsia="pt-BR"/>
        </w:rPr>
        <w:t>τ</w:t>
      </w:r>
      <w:r w:rsidRPr="00A265CB">
        <w:rPr>
          <w:color w:val="000000"/>
          <w:kern w:val="0"/>
          <w:sz w:val="20"/>
          <w:szCs w:val="20"/>
          <w:lang w:eastAsia="pt-BR"/>
        </w:rPr>
        <w:t xml:space="preserve">, s) no modelo Monoexponencial; amplitude ao final </w:t>
      </w:r>
      <w:r>
        <w:rPr>
          <w:color w:val="000000"/>
          <w:kern w:val="0"/>
          <w:sz w:val="20"/>
          <w:szCs w:val="20"/>
          <w:lang w:eastAsia="pt-BR"/>
        </w:rPr>
        <w:t>da primeira constante de tempo (α</w:t>
      </w:r>
      <w:proofErr w:type="gramStart"/>
      <w:r>
        <w:rPr>
          <w:color w:val="000000"/>
          <w:kern w:val="0"/>
          <w:sz w:val="20"/>
          <w:szCs w:val="20"/>
          <w:vertAlign w:val="subscript"/>
          <w:lang w:eastAsia="pt-BR"/>
        </w:rPr>
        <w:t>1</w:t>
      </w:r>
      <w:proofErr w:type="gramEnd"/>
      <w:r>
        <w:rPr>
          <w:color w:val="000000"/>
          <w:kern w:val="0"/>
          <w:sz w:val="20"/>
          <w:szCs w:val="20"/>
          <w:lang w:eastAsia="pt-BR"/>
        </w:rPr>
        <w:t>,</w:t>
      </w:r>
      <w:r w:rsidRPr="00A265CB">
        <w:rPr>
          <w:color w:val="000000"/>
          <w:kern w:val="0"/>
          <w:sz w:val="20"/>
          <w:szCs w:val="20"/>
          <w:lang w:eastAsia="pt-BR"/>
        </w:rPr>
        <w:t xml:space="preserve"> </w:t>
      </w:r>
      <w:proofErr w:type="spellStart"/>
      <w:r w:rsidRPr="00A265CB">
        <w:rPr>
          <w:color w:val="000000"/>
          <w:kern w:val="0"/>
          <w:sz w:val="20"/>
          <w:szCs w:val="20"/>
          <w:lang w:eastAsia="pt-BR"/>
        </w:rPr>
        <w:t>bpm</w:t>
      </w:r>
      <w:proofErr w:type="spellEnd"/>
      <w:r>
        <w:rPr>
          <w:color w:val="000000"/>
          <w:kern w:val="0"/>
          <w:sz w:val="20"/>
          <w:szCs w:val="20"/>
          <w:lang w:eastAsia="pt-BR"/>
        </w:rPr>
        <w:t xml:space="preserve">), </w:t>
      </w:r>
      <w:r w:rsidRPr="00A265CB">
        <w:rPr>
          <w:color w:val="000000"/>
          <w:kern w:val="0"/>
          <w:sz w:val="20"/>
          <w:szCs w:val="20"/>
          <w:lang w:eastAsia="pt-BR"/>
        </w:rPr>
        <w:t>amplitude ao final da segunda constante de tempo (</w:t>
      </w:r>
      <w:r>
        <w:rPr>
          <w:color w:val="000000"/>
          <w:kern w:val="0"/>
          <w:sz w:val="20"/>
          <w:szCs w:val="20"/>
          <w:lang w:eastAsia="pt-BR"/>
        </w:rPr>
        <w:t>α</w:t>
      </w:r>
      <w:r>
        <w:rPr>
          <w:color w:val="000000"/>
          <w:kern w:val="0"/>
          <w:sz w:val="20"/>
          <w:szCs w:val="20"/>
          <w:vertAlign w:val="subscript"/>
          <w:lang w:eastAsia="pt-BR"/>
        </w:rPr>
        <w:t>2</w:t>
      </w:r>
      <w:r>
        <w:rPr>
          <w:color w:val="000000"/>
          <w:kern w:val="0"/>
          <w:sz w:val="20"/>
          <w:szCs w:val="20"/>
          <w:lang w:eastAsia="pt-BR"/>
        </w:rPr>
        <w:t xml:space="preserve">, </w:t>
      </w:r>
      <w:proofErr w:type="spellStart"/>
      <w:r w:rsidRPr="00A265CB">
        <w:rPr>
          <w:color w:val="000000"/>
          <w:kern w:val="0"/>
          <w:sz w:val="20"/>
          <w:szCs w:val="20"/>
          <w:lang w:eastAsia="pt-BR"/>
        </w:rPr>
        <w:t>bpm</w:t>
      </w:r>
      <w:proofErr w:type="spellEnd"/>
      <w:r>
        <w:rPr>
          <w:color w:val="000000"/>
          <w:kern w:val="0"/>
          <w:sz w:val="20"/>
          <w:szCs w:val="20"/>
          <w:lang w:eastAsia="pt-BR"/>
        </w:rPr>
        <w:t xml:space="preserve">), </w:t>
      </w:r>
      <w:r w:rsidRPr="00A265CB">
        <w:rPr>
          <w:color w:val="000000"/>
          <w:kern w:val="0"/>
          <w:sz w:val="20"/>
          <w:szCs w:val="20"/>
          <w:lang w:eastAsia="pt-BR"/>
        </w:rPr>
        <w:t xml:space="preserve"> primeira constante matemática de tempo (</w:t>
      </w:r>
      <w:r>
        <w:rPr>
          <w:color w:val="000000"/>
          <w:kern w:val="0"/>
          <w:sz w:val="20"/>
          <w:szCs w:val="20"/>
          <w:lang w:eastAsia="pt-BR"/>
        </w:rPr>
        <w:t>τ</w:t>
      </w:r>
      <w:r>
        <w:rPr>
          <w:color w:val="000000"/>
          <w:kern w:val="0"/>
          <w:sz w:val="20"/>
          <w:szCs w:val="20"/>
          <w:vertAlign w:val="subscript"/>
          <w:lang w:eastAsia="pt-BR"/>
        </w:rPr>
        <w:t>1</w:t>
      </w:r>
      <w:r>
        <w:rPr>
          <w:color w:val="000000"/>
          <w:kern w:val="0"/>
          <w:sz w:val="20"/>
          <w:szCs w:val="20"/>
          <w:lang w:eastAsia="pt-BR"/>
        </w:rPr>
        <w:t xml:space="preserve">), </w:t>
      </w:r>
      <w:r w:rsidRPr="00A265CB">
        <w:rPr>
          <w:color w:val="000000"/>
          <w:kern w:val="0"/>
          <w:sz w:val="20"/>
          <w:szCs w:val="20"/>
          <w:lang w:eastAsia="pt-BR"/>
        </w:rPr>
        <w:t>segunda constante matemática de tempo (</w:t>
      </w:r>
      <w:r>
        <w:rPr>
          <w:color w:val="000000"/>
          <w:kern w:val="0"/>
          <w:sz w:val="20"/>
          <w:szCs w:val="20"/>
          <w:lang w:eastAsia="pt-BR"/>
        </w:rPr>
        <w:t>τ</w:t>
      </w:r>
      <w:r>
        <w:rPr>
          <w:color w:val="000000"/>
          <w:kern w:val="0"/>
          <w:sz w:val="20"/>
          <w:szCs w:val="20"/>
          <w:vertAlign w:val="subscript"/>
          <w:lang w:eastAsia="pt-BR"/>
        </w:rPr>
        <w:t>2</w:t>
      </w:r>
      <w:r>
        <w:rPr>
          <w:color w:val="000000"/>
          <w:kern w:val="0"/>
          <w:sz w:val="20"/>
          <w:szCs w:val="20"/>
          <w:lang w:eastAsia="pt-BR"/>
        </w:rPr>
        <w:t xml:space="preserve">) </w:t>
      </w:r>
      <w:r w:rsidRPr="00A265CB">
        <w:rPr>
          <w:color w:val="000000"/>
          <w:kern w:val="0"/>
          <w:sz w:val="20"/>
          <w:szCs w:val="20"/>
          <w:lang w:eastAsia="pt-BR"/>
        </w:rPr>
        <w:t>no modelo Biexponencial</w:t>
      </w:r>
      <w:r>
        <w:rPr>
          <w:color w:val="000000"/>
          <w:kern w:val="0"/>
          <w:sz w:val="20"/>
          <w:szCs w:val="20"/>
          <w:lang w:eastAsia="pt-BR"/>
        </w:rPr>
        <w:t xml:space="preserve">; </w:t>
      </w:r>
      <w:r w:rsidRPr="00A265CB">
        <w:rPr>
          <w:sz w:val="20"/>
          <w:szCs w:val="20"/>
        </w:rPr>
        <w:t>Coeficiente de Determinação (</w:t>
      </w:r>
      <w:r w:rsidRPr="00A265CB">
        <w:rPr>
          <w:color w:val="000000"/>
          <w:kern w:val="0"/>
          <w:sz w:val="20"/>
          <w:szCs w:val="20"/>
          <w:lang w:eastAsia="pt-BR"/>
        </w:rPr>
        <w:t>r</w:t>
      </w:r>
      <w:r w:rsidRPr="00A265CB">
        <w:rPr>
          <w:color w:val="000000"/>
          <w:kern w:val="0"/>
          <w:sz w:val="20"/>
          <w:szCs w:val="20"/>
          <w:vertAlign w:val="superscript"/>
          <w:lang w:eastAsia="pt-BR"/>
        </w:rPr>
        <w:t>2</w:t>
      </w:r>
      <w:r w:rsidRPr="00A265CB">
        <w:rPr>
          <w:sz w:val="20"/>
          <w:szCs w:val="20"/>
        </w:rPr>
        <w:t>), Erro Padrão da Estimativa (EPE) e Quadrado Médio dos Resíduos (QMR) empregado na mod</w:t>
      </w:r>
      <w:r>
        <w:rPr>
          <w:sz w:val="20"/>
          <w:szCs w:val="20"/>
        </w:rPr>
        <w:t>elagem</w:t>
      </w:r>
      <w:r w:rsidRPr="00A265CB">
        <w:rPr>
          <w:sz w:val="20"/>
          <w:szCs w:val="20"/>
        </w:rPr>
        <w:t xml:space="preserve"> da cinética de FC, foram obtidos 52 pares de comparação.</w:t>
      </w:r>
    </w:p>
    <w:p w:rsidR="00014B88" w:rsidRPr="00CB06FB" w:rsidRDefault="00014B88" w:rsidP="00014B8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rPr>
          <w:kern w:val="0"/>
        </w:rPr>
      </w:pPr>
    </w:p>
    <w:p w:rsidR="00AC7CA5" w:rsidRDefault="00AC7CA5"/>
    <w:sectPr w:rsidR="00AC7CA5" w:rsidSect="00AC7C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014B88"/>
    <w:rsid w:val="000000CD"/>
    <w:rsid w:val="00014B88"/>
    <w:rsid w:val="00051102"/>
    <w:rsid w:val="00086901"/>
    <w:rsid w:val="000C1532"/>
    <w:rsid w:val="00112894"/>
    <w:rsid w:val="00131E29"/>
    <w:rsid w:val="00153972"/>
    <w:rsid w:val="001816F7"/>
    <w:rsid w:val="002D30D3"/>
    <w:rsid w:val="00316464"/>
    <w:rsid w:val="0032496C"/>
    <w:rsid w:val="00324B55"/>
    <w:rsid w:val="00416CDB"/>
    <w:rsid w:val="00454109"/>
    <w:rsid w:val="004B707C"/>
    <w:rsid w:val="004E57BC"/>
    <w:rsid w:val="00514A8C"/>
    <w:rsid w:val="00567F74"/>
    <w:rsid w:val="005C5DAF"/>
    <w:rsid w:val="00630EFD"/>
    <w:rsid w:val="00653608"/>
    <w:rsid w:val="00684D04"/>
    <w:rsid w:val="006E1DB9"/>
    <w:rsid w:val="006E38CD"/>
    <w:rsid w:val="006F4A93"/>
    <w:rsid w:val="00784310"/>
    <w:rsid w:val="007D4B92"/>
    <w:rsid w:val="007F2CF5"/>
    <w:rsid w:val="0083131A"/>
    <w:rsid w:val="008A23B9"/>
    <w:rsid w:val="008F1E3C"/>
    <w:rsid w:val="00955C5D"/>
    <w:rsid w:val="00972AD9"/>
    <w:rsid w:val="009778AE"/>
    <w:rsid w:val="009B5947"/>
    <w:rsid w:val="00A13B35"/>
    <w:rsid w:val="00A15997"/>
    <w:rsid w:val="00A30B0D"/>
    <w:rsid w:val="00A91A02"/>
    <w:rsid w:val="00AB5C91"/>
    <w:rsid w:val="00AC7CA5"/>
    <w:rsid w:val="00AD38A9"/>
    <w:rsid w:val="00AE417B"/>
    <w:rsid w:val="00AF4FB1"/>
    <w:rsid w:val="00B762D2"/>
    <w:rsid w:val="00BA2150"/>
    <w:rsid w:val="00C1674F"/>
    <w:rsid w:val="00C912FC"/>
    <w:rsid w:val="00C956A7"/>
    <w:rsid w:val="00D54F8D"/>
    <w:rsid w:val="00D64538"/>
    <w:rsid w:val="00D66ECE"/>
    <w:rsid w:val="00E81338"/>
    <w:rsid w:val="00E83D2E"/>
    <w:rsid w:val="00EE7EFC"/>
    <w:rsid w:val="00EF0737"/>
    <w:rsid w:val="00EF34BD"/>
    <w:rsid w:val="00FC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B8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014B88"/>
    <w:rPr>
      <w:b/>
      <w:bCs/>
      <w:sz w:val="20"/>
      <w:szCs w:val="20"/>
    </w:rPr>
  </w:style>
  <w:style w:type="table" w:styleId="SombreamentoClaro">
    <w:name w:val="Light Shading"/>
    <w:basedOn w:val="Tabelanormal"/>
    <w:uiPriority w:val="60"/>
    <w:rsid w:val="00014B88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0</DocSecurity>
  <Lines>6</Lines>
  <Paragraphs>1</Paragraphs>
  <ScaleCrop>false</ScaleCrop>
  <Company>Microsoft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Pompeu</dc:creator>
  <cp:lastModifiedBy>Fernando Pompeu</cp:lastModifiedBy>
  <cp:revision>1</cp:revision>
  <dcterms:created xsi:type="dcterms:W3CDTF">2013-11-20T21:09:00Z</dcterms:created>
  <dcterms:modified xsi:type="dcterms:W3CDTF">2013-11-20T21:10:00Z</dcterms:modified>
</cp:coreProperties>
</file>