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2811" w:rsidRPr="001D522F" w:rsidRDefault="00382811" w:rsidP="00382811">
      <w:pPr>
        <w:pStyle w:val="Normal1"/>
        <w:spacing w:after="0" w:line="240" w:lineRule="auto"/>
        <w:jc w:val="center"/>
        <w:rPr>
          <w:b/>
          <w:sz w:val="20"/>
          <w:szCs w:val="24"/>
        </w:rPr>
      </w:pPr>
      <w:r>
        <w:rPr>
          <w:b/>
          <w:sz w:val="20"/>
          <w:szCs w:val="24"/>
        </w:rPr>
        <w:t xml:space="preserve">TEMPO DE NÃO TRABALHO E LAZER DE TRABALHADORES TERCEIRIZADOS: ANÁLISE COMPARATIVA ENTRE GÊNEROS  </w:t>
      </w:r>
    </w:p>
    <w:p w:rsidR="00382811" w:rsidRDefault="00382811" w:rsidP="00644D60">
      <w:pPr>
        <w:jc w:val="center"/>
        <w:rPr>
          <w:b/>
        </w:rPr>
      </w:pPr>
    </w:p>
    <w:p w:rsidR="004B35DA" w:rsidRDefault="00644D60" w:rsidP="00644D60">
      <w:pPr>
        <w:jc w:val="center"/>
        <w:rPr>
          <w:b/>
        </w:rPr>
      </w:pPr>
      <w:r w:rsidRPr="00382811">
        <w:rPr>
          <w:b/>
        </w:rPr>
        <w:t xml:space="preserve">Carta Resposta </w:t>
      </w:r>
    </w:p>
    <w:p w:rsidR="00E2207B" w:rsidRPr="00382811" w:rsidRDefault="00E2207B" w:rsidP="00644D60">
      <w:pPr>
        <w:jc w:val="center"/>
        <w:rPr>
          <w:b/>
        </w:rPr>
      </w:pPr>
    </w:p>
    <w:p w:rsidR="00E2207B" w:rsidRDefault="00E2207B" w:rsidP="00DC5A30">
      <w:pPr>
        <w:ind w:firstLine="851"/>
      </w:pPr>
      <w:r>
        <w:t xml:space="preserve">Em primeiro lugar gostaríamos de agradecer as contribuições dos </w:t>
      </w:r>
      <w:proofErr w:type="spellStart"/>
      <w:r>
        <w:t>pareceristas</w:t>
      </w:r>
      <w:proofErr w:type="spellEnd"/>
      <w:r>
        <w:t xml:space="preserve"> que, por meio de come</w:t>
      </w:r>
      <w:r w:rsidR="00335D09">
        <w:t>ntários pertinentes, contribuíram</w:t>
      </w:r>
      <w:r>
        <w:t xml:space="preserve"> para </w:t>
      </w:r>
      <w:r w:rsidR="00335D09">
        <w:t xml:space="preserve">a melhoria e para uma </w:t>
      </w:r>
      <w:r>
        <w:t xml:space="preserve">elaboração </w:t>
      </w:r>
      <w:r w:rsidR="00335D09">
        <w:t xml:space="preserve">mais completa </w:t>
      </w:r>
      <w:r>
        <w:t xml:space="preserve">do </w:t>
      </w:r>
      <w:r w:rsidR="00335D09">
        <w:t xml:space="preserve">presente </w:t>
      </w:r>
      <w:r>
        <w:t xml:space="preserve">artigo. </w:t>
      </w:r>
      <w:r w:rsidR="00335D09">
        <w:t>Nesta carta resposta elencamos os pontos alterados</w:t>
      </w:r>
      <w:r w:rsidR="009322A6">
        <w:t xml:space="preserve"> no texto, de acordo com as recomendações dos pareceres, na ordem em que esses aparecem. Vale destacar que conforme recomendação dos editores, os pontos alterad</w:t>
      </w:r>
      <w:r w:rsidR="00C15C38">
        <w:t>o</w:t>
      </w:r>
      <w:r w:rsidR="009322A6">
        <w:t xml:space="preserve">s foram deixados em destaque no texto. </w:t>
      </w:r>
    </w:p>
    <w:p w:rsidR="009322A6" w:rsidRDefault="009322A6" w:rsidP="00DC5A30">
      <w:pPr>
        <w:ind w:firstLine="851"/>
        <w:rPr>
          <w:b/>
        </w:rPr>
      </w:pPr>
      <w:r>
        <w:t xml:space="preserve">Na </w:t>
      </w:r>
      <w:r w:rsidRPr="009322A6">
        <w:rPr>
          <w:i/>
        </w:rPr>
        <w:t>introdução</w:t>
      </w:r>
      <w:r>
        <w:t xml:space="preserve"> foi acrescentado um parágrafo que apresenta o conceito de </w:t>
      </w:r>
      <w:r>
        <w:rPr>
          <w:i/>
        </w:rPr>
        <w:t xml:space="preserve">precarização subjetiva </w:t>
      </w:r>
      <w:r>
        <w:t xml:space="preserve">discutido por </w:t>
      </w:r>
      <w:proofErr w:type="spellStart"/>
      <w:r>
        <w:t>Danièle</w:t>
      </w:r>
      <w:proofErr w:type="spellEnd"/>
      <w:r>
        <w:t xml:space="preserve"> </w:t>
      </w:r>
      <w:proofErr w:type="spellStart"/>
      <w:r>
        <w:t>Linhart</w:t>
      </w:r>
      <w:proofErr w:type="spellEnd"/>
      <w:r>
        <w:t xml:space="preserve">. </w:t>
      </w:r>
      <w:r w:rsidR="00C15C38">
        <w:t>O</w:t>
      </w:r>
      <w:r>
        <w:t xml:space="preserve"> objetivo </w:t>
      </w:r>
      <w:r w:rsidR="00C15C38">
        <w:t xml:space="preserve">foi </w:t>
      </w:r>
      <w:r>
        <w:t xml:space="preserve">de situar o conceito em meio ao debate do processo de reestruturação produtiva e consequente terceirização </w:t>
      </w:r>
      <w:r w:rsidR="00CF4D55">
        <w:t>da força de trabalho. Ao mesmo tempo, de antever o debate, ampliado a partir da revisão, da diferença do trabalho do vigilante servidor público para o vigilante terceirizado.</w:t>
      </w:r>
    </w:p>
    <w:p w:rsidR="008D1B90" w:rsidRDefault="002978AE" w:rsidP="00DC5A30">
      <w:pPr>
        <w:ind w:firstLine="851"/>
      </w:pPr>
      <w:r>
        <w:t>A</w:t>
      </w:r>
      <w:r w:rsidR="00335D09">
        <w:t xml:space="preserve"> redação </w:t>
      </w:r>
      <w:r>
        <w:t xml:space="preserve">do item </w:t>
      </w:r>
      <w:r w:rsidRPr="00637875">
        <w:rPr>
          <w:i/>
        </w:rPr>
        <w:t>materiais e métodos</w:t>
      </w:r>
      <w:r>
        <w:t xml:space="preserve"> foi inteira</w:t>
      </w:r>
      <w:r w:rsidR="008D1B90">
        <w:t>mente</w:t>
      </w:r>
      <w:r>
        <w:t xml:space="preserve"> reformulada e ampliada com a finalidade de ex</w:t>
      </w:r>
      <w:r w:rsidR="008D1B90">
        <w:t>plicitar</w:t>
      </w:r>
      <w:r w:rsidR="00C15C38">
        <w:t>,</w:t>
      </w:r>
      <w:r w:rsidR="008D1B90">
        <w:t xml:space="preserve"> de maneira adequada</w:t>
      </w:r>
      <w:r w:rsidR="00C15C38">
        <w:t>,</w:t>
      </w:r>
      <w:r w:rsidR="008D1B90">
        <w:t xml:space="preserve"> as diversas etapas da metodologia utilizada para a formulação deste trabalho. Vale destacar, que ao se estruturar a metodologia, nos deparamos com as limitações da aplicação </w:t>
      </w:r>
      <w:r w:rsidR="00EB441E">
        <w:t>d</w:t>
      </w:r>
      <w:r w:rsidR="008D1B90">
        <w:t xml:space="preserve">a técnica de pesquisa sobre os “usos do tempo”. As limitações se manifestaram ao próprio instrumento de pesquisa, que tem como prerrogativa fragmentar o tempo dos sujeitos em pequenas unidades de </w:t>
      </w:r>
      <w:r w:rsidR="00E12CBB">
        <w:t>análise. No</w:t>
      </w:r>
      <w:r w:rsidR="008D1B90">
        <w:t xml:space="preserve"> entanto, após uma primeira etapa de diários e </w:t>
      </w:r>
      <w:r w:rsidR="008D1B90" w:rsidRPr="000C031C">
        <w:t>entrevistas pilotos, percebemos</w:t>
      </w:r>
      <w:r w:rsidR="00D81DB8">
        <w:t xml:space="preserve"> l</w:t>
      </w:r>
      <w:r w:rsidR="008D1B90" w:rsidRPr="000C031C">
        <w:t>acunas na</w:t>
      </w:r>
      <w:r w:rsidR="008D1B90">
        <w:t xml:space="preserve"> compreensão </w:t>
      </w:r>
      <w:r w:rsidR="00D81DB8">
        <w:t xml:space="preserve">da própria dinâmica de vida dos voluntários da pesquisa, </w:t>
      </w:r>
      <w:r w:rsidR="008D1B90">
        <w:t xml:space="preserve">seja em relação à quantidade de horas trabalhadas, ou mesmo, nas atividades desenvolvidas no tempo de não trabalho e nas práticas de lazer. Dessa forma, manter a aplicação dos diários sobre os usos do tempo como fase inicial do trabalho de campo e condicionar as entrevistas semiestruturadas à análise desta etapa, originou processos enriquecedores. A elaboração de entrevistas com elementos singulares para cada vigilante possibilitou que esses </w:t>
      </w:r>
      <w:r w:rsidR="00C15C38">
        <w:t>se guarnecessem</w:t>
      </w:r>
      <w:r w:rsidR="008D1B90">
        <w:t xml:space="preserve"> de elementos antes não observados da sua própria dinâmica de vida, tanto dentro, quanto fora do trabalho, assim como, permitiu captar, ao confrontarmos os dados da análise dos usos do tempo com os das próprias entrevistas, as contradições e elementos de reforço da dinâmica de vida dos voluntários na pesquisa.  </w:t>
      </w:r>
    </w:p>
    <w:p w:rsidR="00BB3233" w:rsidRPr="00BB3233" w:rsidRDefault="00BB3233" w:rsidP="00DC5A30">
      <w:pPr>
        <w:ind w:firstLine="851"/>
      </w:pPr>
      <w:r>
        <w:t>Ampliamos</w:t>
      </w:r>
      <w:r>
        <w:rPr>
          <w:i/>
        </w:rPr>
        <w:t xml:space="preserve"> </w:t>
      </w:r>
      <w:r>
        <w:t xml:space="preserve">o ponto </w:t>
      </w:r>
      <w:r>
        <w:rPr>
          <w:i/>
        </w:rPr>
        <w:t xml:space="preserve">discussão e resultado, </w:t>
      </w:r>
      <w:r>
        <w:t>logo após a inserção da figura 1, com o debate sobre a divisão sexual do trabalho, no qual buscamos discutir</w:t>
      </w:r>
      <w:r w:rsidR="00DC5A30">
        <w:t xml:space="preserve"> </w:t>
      </w:r>
      <w:r w:rsidR="00AC5937">
        <w:t>a ideia de que a</w:t>
      </w:r>
      <w:r w:rsidR="00AC5937" w:rsidRPr="006C7EFF">
        <w:rPr>
          <w:highlight w:val="yellow"/>
        </w:rPr>
        <w:t xml:space="preserve"> </w:t>
      </w:r>
      <w:r w:rsidR="00AC5937" w:rsidRPr="00AC5937">
        <w:lastRenderedPageBreak/>
        <w:t xml:space="preserve">“plasticidade” conferida à divisão sexual do trabalho é o elemento que leva a incorporação das mulheres em postos de trabalho </w:t>
      </w:r>
      <w:bookmarkStart w:id="0" w:name="_GoBack"/>
      <w:bookmarkEnd w:id="0"/>
      <w:r w:rsidR="00AC5937" w:rsidRPr="00AC5937">
        <w:t>que antes não estavam presentes.</w:t>
      </w:r>
    </w:p>
    <w:p w:rsidR="006371C0" w:rsidRPr="00DD5B4F" w:rsidRDefault="00992DF6" w:rsidP="00DC5A30">
      <w:pPr>
        <w:ind w:firstLine="851"/>
        <w:rPr>
          <w:color w:val="000000"/>
        </w:rPr>
      </w:pPr>
      <w:r>
        <w:t>Por se tratar de uma pesquisa qualitativa</w:t>
      </w:r>
      <w:r w:rsidR="006323B0">
        <w:t xml:space="preserve"> </w:t>
      </w:r>
      <w:r>
        <w:t xml:space="preserve">não </w:t>
      </w:r>
      <w:r w:rsidR="00C15C38">
        <w:t>utilizamos</w:t>
      </w:r>
      <w:r w:rsidR="00B512D7">
        <w:t xml:space="preserve"> de uma amostragem pré-estabelecida, mas sim do critério de saturação das entrevistas, conforme explicitado na nova redação da metodologia. E</w:t>
      </w:r>
      <w:r w:rsidR="00C15C38">
        <w:t>ntretanto</w:t>
      </w:r>
      <w:r w:rsidR="00D94B83">
        <w:t>,</w:t>
      </w:r>
      <w:r w:rsidR="006323B0">
        <w:t xml:space="preserve"> </w:t>
      </w:r>
      <w:r w:rsidR="00B512D7">
        <w:rPr>
          <w:color w:val="000000"/>
        </w:rPr>
        <w:t>dada a relevância da informação d</w:t>
      </w:r>
      <w:r w:rsidR="00C15C38">
        <w:rPr>
          <w:color w:val="000000"/>
        </w:rPr>
        <w:t>o total de trabalhadores, a</w:t>
      </w:r>
      <w:r w:rsidR="00D94B83">
        <w:rPr>
          <w:color w:val="000000"/>
        </w:rPr>
        <w:t xml:space="preserve"> explicitamos </w:t>
      </w:r>
      <w:r w:rsidR="00C15C38" w:rsidRPr="00DD5B4F">
        <w:rPr>
          <w:color w:val="000000"/>
        </w:rPr>
        <w:t xml:space="preserve">no ponto intitulado </w:t>
      </w:r>
      <w:r w:rsidR="00C15C38" w:rsidRPr="00DD5B4F">
        <w:rPr>
          <w:i/>
          <w:color w:val="000000"/>
        </w:rPr>
        <w:t>caracterização dos vigilantes.</w:t>
      </w:r>
      <w:r w:rsidR="00C15C38" w:rsidRPr="00DD5B4F">
        <w:rPr>
          <w:color w:val="000000"/>
        </w:rPr>
        <w:t xml:space="preserve"> </w:t>
      </w:r>
      <w:r w:rsidR="00C15C38">
        <w:t>A</w:t>
      </w:r>
      <w:r w:rsidR="006323B0">
        <w:t xml:space="preserve"> U</w:t>
      </w:r>
      <w:r>
        <w:t>nicamp conta</w:t>
      </w:r>
      <w:r w:rsidR="006323B0">
        <w:t>va na época</w:t>
      </w:r>
      <w:r>
        <w:t xml:space="preserve"> </w:t>
      </w:r>
      <w:r w:rsidR="006323B0">
        <w:t xml:space="preserve">de execução do estudo </w:t>
      </w:r>
      <w:r>
        <w:t xml:space="preserve">com </w:t>
      </w:r>
      <w:r w:rsidRPr="00DD5B4F">
        <w:rPr>
          <w:color w:val="000000"/>
        </w:rPr>
        <w:t xml:space="preserve">174 </w:t>
      </w:r>
      <w:r w:rsidR="006323B0" w:rsidRPr="00DD5B4F">
        <w:rPr>
          <w:color w:val="000000"/>
        </w:rPr>
        <w:t>vigilantes t</w:t>
      </w:r>
      <w:r w:rsidRPr="00DD5B4F">
        <w:rPr>
          <w:color w:val="000000"/>
        </w:rPr>
        <w:t xml:space="preserve">erceirizados e 52 </w:t>
      </w:r>
      <w:r w:rsidR="006323B0" w:rsidRPr="00DD5B4F">
        <w:rPr>
          <w:color w:val="000000"/>
        </w:rPr>
        <w:t xml:space="preserve">vigilantes servidores públicos. </w:t>
      </w:r>
    </w:p>
    <w:p w:rsidR="00992DF6" w:rsidRPr="00DD5B4F" w:rsidRDefault="006371C0" w:rsidP="00DC5A30">
      <w:pPr>
        <w:ind w:firstLine="851"/>
        <w:rPr>
          <w:color w:val="000000"/>
        </w:rPr>
      </w:pPr>
      <w:r w:rsidRPr="00DD5B4F">
        <w:rPr>
          <w:color w:val="000000"/>
        </w:rPr>
        <w:t>Este ponto (</w:t>
      </w:r>
      <w:r w:rsidRPr="00DD5B4F">
        <w:rPr>
          <w:i/>
          <w:color w:val="000000"/>
        </w:rPr>
        <w:t>caracterização dos vigilantes</w:t>
      </w:r>
      <w:r w:rsidRPr="00DD5B4F">
        <w:rPr>
          <w:color w:val="000000"/>
        </w:rPr>
        <w:t xml:space="preserve">) foi acrescentado com a finalidade de </w:t>
      </w:r>
      <w:r w:rsidR="00C15C38">
        <w:rPr>
          <w:color w:val="000000"/>
        </w:rPr>
        <w:t>caracterizar o</w:t>
      </w:r>
      <w:r w:rsidRPr="00DD5B4F">
        <w:rPr>
          <w:color w:val="000000"/>
        </w:rPr>
        <w:t xml:space="preserve"> trabalho dos vigilantes terceirizados, facilitando assim a relação das condições de trabalho dessa categoria com os vigilantes servidores públicos, e, da mesma forma, da relação com outras categorias profissionais.  </w:t>
      </w:r>
    </w:p>
    <w:p w:rsidR="0008081C" w:rsidRPr="00DD5B4F" w:rsidRDefault="0008081C" w:rsidP="00DC5A30">
      <w:pPr>
        <w:ind w:firstLine="851"/>
        <w:rPr>
          <w:color w:val="000000"/>
        </w:rPr>
      </w:pPr>
      <w:r w:rsidRPr="00DD5B4F">
        <w:rPr>
          <w:color w:val="000000"/>
        </w:rPr>
        <w:t>Os tópicos</w:t>
      </w:r>
      <w:r w:rsidRPr="001770A0">
        <w:rPr>
          <w:rStyle w:val="apple-style-span"/>
          <w:color w:val="000000"/>
          <w:sz w:val="22"/>
        </w:rPr>
        <w:t xml:space="preserve"> </w:t>
      </w:r>
      <w:r w:rsidRPr="0008081C">
        <w:rPr>
          <w:rStyle w:val="apple-style-span"/>
          <w:i/>
          <w:color w:val="000000"/>
          <w:sz w:val="22"/>
        </w:rPr>
        <w:t>tempo de trabalho formal, trabalho não remunerado e manifestações</w:t>
      </w:r>
      <w:r>
        <w:rPr>
          <w:rStyle w:val="apple-style-span"/>
          <w:i/>
          <w:color w:val="000000"/>
          <w:sz w:val="22"/>
        </w:rPr>
        <w:t xml:space="preserve"> do lazer, </w:t>
      </w:r>
      <w:r>
        <w:rPr>
          <w:rStyle w:val="apple-style-span"/>
          <w:color w:val="000000"/>
          <w:sz w:val="22"/>
        </w:rPr>
        <w:t xml:space="preserve">passaram por algumas adequações de escrita e os últimos dois por incorporações de conteúdo. </w:t>
      </w:r>
    </w:p>
    <w:p w:rsidR="0008081C" w:rsidRPr="00DD5B4F" w:rsidRDefault="0008081C" w:rsidP="00DC5A30">
      <w:pPr>
        <w:pStyle w:val="DMCorpodoTexto"/>
        <w:ind w:firstLine="851"/>
        <w:rPr>
          <w:color w:val="000000"/>
        </w:rPr>
      </w:pPr>
      <w:r>
        <w:t xml:space="preserve">No ponto </w:t>
      </w:r>
      <w:r w:rsidRPr="0008081C">
        <w:rPr>
          <w:i/>
        </w:rPr>
        <w:t xml:space="preserve">trabalho </w:t>
      </w:r>
      <w:r>
        <w:rPr>
          <w:i/>
        </w:rPr>
        <w:t xml:space="preserve">não </w:t>
      </w:r>
      <w:r w:rsidRPr="0008081C">
        <w:rPr>
          <w:i/>
        </w:rPr>
        <w:t>remunerado</w:t>
      </w:r>
      <w:r>
        <w:t xml:space="preserve"> acrescent</w:t>
      </w:r>
      <w:r w:rsidR="00C15C38">
        <w:t>amos</w:t>
      </w:r>
      <w:r>
        <w:t xml:space="preserve"> trechos que demonstram a importância do uso casado das técnicas dos “usos do tempo” e de entrevistas semiestruturadas, além de uma delimitação mais apurada em torno do debate de gênero. </w:t>
      </w:r>
    </w:p>
    <w:p w:rsidR="00F745C4" w:rsidRPr="00DD5B4F" w:rsidRDefault="0008081C" w:rsidP="00DC5A30">
      <w:pPr>
        <w:ind w:firstLine="851"/>
        <w:rPr>
          <w:color w:val="000000"/>
        </w:rPr>
      </w:pPr>
      <w:r w:rsidRPr="00DD5B4F">
        <w:rPr>
          <w:color w:val="000000"/>
        </w:rPr>
        <w:t>Ainda e</w:t>
      </w:r>
      <w:r w:rsidR="006371C0" w:rsidRPr="00DD5B4F">
        <w:rPr>
          <w:color w:val="000000"/>
        </w:rPr>
        <w:t>m</w:t>
      </w:r>
      <w:r w:rsidR="00A90D2F" w:rsidRPr="00DD5B4F">
        <w:rPr>
          <w:color w:val="000000"/>
        </w:rPr>
        <w:t xml:space="preserve"> relação à di</w:t>
      </w:r>
      <w:r w:rsidRPr="00DD5B4F">
        <w:rPr>
          <w:color w:val="000000"/>
        </w:rPr>
        <w:t>scussão de gênero, a</w:t>
      </w:r>
      <w:r w:rsidR="00F745C4" w:rsidRPr="00DD5B4F">
        <w:rPr>
          <w:color w:val="000000"/>
        </w:rPr>
        <w:t xml:space="preserve">s considerações de Marcellino sobre o lazer feminino foram passadas do tópico </w:t>
      </w:r>
      <w:r w:rsidR="00F745C4" w:rsidRPr="00DD5B4F">
        <w:rPr>
          <w:i/>
          <w:color w:val="000000"/>
        </w:rPr>
        <w:t>“Trabalho não remunerado”</w:t>
      </w:r>
      <w:r w:rsidR="00F745C4" w:rsidRPr="00DD5B4F">
        <w:rPr>
          <w:color w:val="000000"/>
        </w:rPr>
        <w:t xml:space="preserve"> para o </w:t>
      </w:r>
      <w:r w:rsidR="00F745C4" w:rsidRPr="00DD5B4F">
        <w:rPr>
          <w:i/>
          <w:color w:val="000000"/>
        </w:rPr>
        <w:t>“Manifestações do lazer”</w:t>
      </w:r>
      <w:r w:rsidR="00F745C4" w:rsidRPr="00DD5B4F">
        <w:rPr>
          <w:color w:val="000000"/>
        </w:rPr>
        <w:t xml:space="preserve">. </w:t>
      </w:r>
    </w:p>
    <w:p w:rsidR="0008081C" w:rsidRPr="00DD5B4F" w:rsidRDefault="0008081C" w:rsidP="00DC5A30">
      <w:pPr>
        <w:ind w:firstLine="851"/>
        <w:rPr>
          <w:color w:val="000000"/>
        </w:rPr>
      </w:pPr>
      <w:r w:rsidRPr="00DD5B4F">
        <w:rPr>
          <w:color w:val="000000"/>
        </w:rPr>
        <w:t>Sobre esse último ponto</w:t>
      </w:r>
      <w:r w:rsidRPr="00DD5B4F">
        <w:rPr>
          <w:i/>
          <w:color w:val="000000"/>
        </w:rPr>
        <w:t xml:space="preserve"> (Manifestações do Lazer), </w:t>
      </w:r>
      <w:r w:rsidRPr="00DD5B4F">
        <w:rPr>
          <w:color w:val="000000"/>
        </w:rPr>
        <w:t>além de algumas alterações textuais</w:t>
      </w:r>
      <w:r w:rsidR="00C15C38">
        <w:rPr>
          <w:color w:val="000000"/>
        </w:rPr>
        <w:t>,</w:t>
      </w:r>
      <w:r w:rsidRPr="00DD5B4F">
        <w:rPr>
          <w:color w:val="000000"/>
        </w:rPr>
        <w:t xml:space="preserve"> já citadas, ampliamos a discussão sobre os impactos da terceirização para o trabalho das vigilantes do gênero feminino. </w:t>
      </w:r>
    </w:p>
    <w:p w:rsidR="00335D09" w:rsidRPr="00E12CBB" w:rsidRDefault="0008081C" w:rsidP="00DC5A30">
      <w:pPr>
        <w:ind w:firstLine="851"/>
        <w:rPr>
          <w:i/>
          <w:color w:val="000000"/>
        </w:rPr>
      </w:pPr>
      <w:r w:rsidRPr="00DD5B4F">
        <w:rPr>
          <w:color w:val="000000"/>
        </w:rPr>
        <w:t xml:space="preserve">As </w:t>
      </w:r>
      <w:r w:rsidR="00E15AEE" w:rsidRPr="00DD5B4F">
        <w:rPr>
          <w:color w:val="000000"/>
        </w:rPr>
        <w:t xml:space="preserve">únicas mudanças no trecho </w:t>
      </w:r>
      <w:r w:rsidRPr="00DD5B4F">
        <w:rPr>
          <w:i/>
          <w:color w:val="000000"/>
        </w:rPr>
        <w:t>Conclusões</w:t>
      </w:r>
      <w:r w:rsidR="00C15C38">
        <w:rPr>
          <w:i/>
          <w:color w:val="000000"/>
        </w:rPr>
        <w:t xml:space="preserve">   </w:t>
      </w:r>
      <w:r w:rsidR="00C15C38">
        <w:rPr>
          <w:color w:val="000000"/>
        </w:rPr>
        <w:t xml:space="preserve">se </w:t>
      </w:r>
      <w:r w:rsidR="00E15AEE" w:rsidRPr="00DD5B4F">
        <w:rPr>
          <w:color w:val="000000"/>
        </w:rPr>
        <w:t xml:space="preserve">centraram em adequação textual. </w:t>
      </w:r>
    </w:p>
    <w:p w:rsidR="00333565" w:rsidRDefault="00911710" w:rsidP="00DC5A30">
      <w:pPr>
        <w:ind w:firstLine="851"/>
      </w:pPr>
      <w:r>
        <w:t xml:space="preserve">Sem mais, </w:t>
      </w:r>
      <w:r w:rsidR="00B82EFD">
        <w:t>gostaríamos de destacar que os esforços de adequação aos pareceres buscaram seguir as normas para publicação e dir</w:t>
      </w:r>
      <w:r w:rsidR="00166477">
        <w:t xml:space="preserve">etrizes para </w:t>
      </w:r>
      <w:r w:rsidR="00753903">
        <w:t xml:space="preserve">autores da RBCM, entre os quais, </w:t>
      </w:r>
      <w:r w:rsidR="00B82EFD">
        <w:t>preza pela “</w:t>
      </w:r>
      <w:r w:rsidR="00B82EFD" w:rsidRPr="00B82EFD">
        <w:t>obj</w:t>
      </w:r>
      <w:r w:rsidR="00B82EFD">
        <w:t xml:space="preserve">etividade como princípio básico”. Por fim, </w:t>
      </w:r>
      <w:r>
        <w:t xml:space="preserve">reforçamos nosso agradecimento pelos pareceres e nos disponibilizamos para qualquer dúvida </w:t>
      </w:r>
      <w:r w:rsidR="00B87B94">
        <w:t>e/</w:t>
      </w:r>
      <w:r>
        <w:t xml:space="preserve">ou esclarecimento.  </w:t>
      </w:r>
    </w:p>
    <w:p w:rsidR="00E15AEE" w:rsidRDefault="00E15AEE" w:rsidP="00E15AEE">
      <w:pPr>
        <w:ind w:firstLine="851"/>
      </w:pPr>
    </w:p>
    <w:p w:rsidR="00E15AEE" w:rsidRDefault="00A97F9B" w:rsidP="00A97F9B">
      <w:pPr>
        <w:ind w:firstLine="851"/>
        <w:jc w:val="right"/>
      </w:pPr>
      <w:proofErr w:type="spellStart"/>
      <w:r>
        <w:t>Att</w:t>
      </w:r>
      <w:proofErr w:type="spellEnd"/>
      <w:r>
        <w:t xml:space="preserve">, </w:t>
      </w:r>
    </w:p>
    <w:sectPr w:rsidR="00E15AEE" w:rsidSect="00AB7176">
      <w:headerReference w:type="even" r:id="rId6"/>
      <w:headerReference w:type="default" r:id="rId7"/>
      <w:footerReference w:type="even" r:id="rId8"/>
      <w:footerReference w:type="default" r:id="rId9"/>
      <w:headerReference w:type="first" r:id="rId10"/>
      <w:footerReference w:type="first" r:id="rId11"/>
      <w:pgSz w:w="11907" w:h="16839" w:code="9"/>
      <w:pgMar w:top="1418" w:right="1418" w:bottom="1418" w:left="1418" w:header="709" w:footer="709"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07B2" w:rsidRDefault="00F807B2" w:rsidP="008D1B90">
      <w:pPr>
        <w:spacing w:line="240" w:lineRule="auto"/>
      </w:pPr>
      <w:r>
        <w:separator/>
      </w:r>
    </w:p>
  </w:endnote>
  <w:endnote w:type="continuationSeparator" w:id="0">
    <w:p w:rsidR="00F807B2" w:rsidRDefault="00F807B2" w:rsidP="008D1B9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6CE5" w:rsidRDefault="00D56CE5">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6CE5" w:rsidRDefault="00D56CE5">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6CE5" w:rsidRDefault="00D56CE5">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07B2" w:rsidRDefault="00F807B2" w:rsidP="008D1B90">
      <w:pPr>
        <w:spacing w:line="240" w:lineRule="auto"/>
      </w:pPr>
      <w:r>
        <w:separator/>
      </w:r>
    </w:p>
  </w:footnote>
  <w:footnote w:type="continuationSeparator" w:id="0">
    <w:p w:rsidR="00F807B2" w:rsidRDefault="00F807B2" w:rsidP="008D1B9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6CE5" w:rsidRDefault="00D56CE5">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6CE5" w:rsidRDefault="00D56CE5">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6CE5" w:rsidRDefault="00D56CE5">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08"/>
  <w:hyphenationZone w:val="425"/>
  <w:drawingGridHorizontalSpacing w:val="120"/>
  <w:drawingGridVerticalSpacing w:val="163"/>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4D60"/>
    <w:rsid w:val="000420B0"/>
    <w:rsid w:val="00067A85"/>
    <w:rsid w:val="0008081C"/>
    <w:rsid w:val="0008690E"/>
    <w:rsid w:val="00123B44"/>
    <w:rsid w:val="00163DA2"/>
    <w:rsid w:val="00166477"/>
    <w:rsid w:val="00222DB6"/>
    <w:rsid w:val="00277D96"/>
    <w:rsid w:val="00283A78"/>
    <w:rsid w:val="002978AE"/>
    <w:rsid w:val="002B7837"/>
    <w:rsid w:val="00302459"/>
    <w:rsid w:val="0032694E"/>
    <w:rsid w:val="00333565"/>
    <w:rsid w:val="00335D09"/>
    <w:rsid w:val="00345710"/>
    <w:rsid w:val="00382811"/>
    <w:rsid w:val="003B3E32"/>
    <w:rsid w:val="003F3487"/>
    <w:rsid w:val="00423462"/>
    <w:rsid w:val="00425AB1"/>
    <w:rsid w:val="00461273"/>
    <w:rsid w:val="004B35DA"/>
    <w:rsid w:val="00594285"/>
    <w:rsid w:val="006323B0"/>
    <w:rsid w:val="006371C0"/>
    <w:rsid w:val="00637875"/>
    <w:rsid w:val="00644D60"/>
    <w:rsid w:val="006A2176"/>
    <w:rsid w:val="00734EC8"/>
    <w:rsid w:val="00753903"/>
    <w:rsid w:val="007576BD"/>
    <w:rsid w:val="007660C3"/>
    <w:rsid w:val="007D54A9"/>
    <w:rsid w:val="008D1B90"/>
    <w:rsid w:val="00911710"/>
    <w:rsid w:val="0091776D"/>
    <w:rsid w:val="009178A6"/>
    <w:rsid w:val="009322A6"/>
    <w:rsid w:val="00992DF6"/>
    <w:rsid w:val="009F3FF0"/>
    <w:rsid w:val="00A02231"/>
    <w:rsid w:val="00A52D8B"/>
    <w:rsid w:val="00A62F2D"/>
    <w:rsid w:val="00A90D2F"/>
    <w:rsid w:val="00A97F9B"/>
    <w:rsid w:val="00AB7176"/>
    <w:rsid w:val="00AC5937"/>
    <w:rsid w:val="00B512D7"/>
    <w:rsid w:val="00B82EFD"/>
    <w:rsid w:val="00B87B94"/>
    <w:rsid w:val="00BA7C39"/>
    <w:rsid w:val="00BB3233"/>
    <w:rsid w:val="00BE4792"/>
    <w:rsid w:val="00C036AF"/>
    <w:rsid w:val="00C15C38"/>
    <w:rsid w:val="00CA75F9"/>
    <w:rsid w:val="00CC73C0"/>
    <w:rsid w:val="00CF279B"/>
    <w:rsid w:val="00CF4D55"/>
    <w:rsid w:val="00D56CE5"/>
    <w:rsid w:val="00D81DB8"/>
    <w:rsid w:val="00D94B83"/>
    <w:rsid w:val="00DC545E"/>
    <w:rsid w:val="00DC5A30"/>
    <w:rsid w:val="00DD5B4F"/>
    <w:rsid w:val="00DD6FF3"/>
    <w:rsid w:val="00E12CBB"/>
    <w:rsid w:val="00E15AEE"/>
    <w:rsid w:val="00E2207B"/>
    <w:rsid w:val="00EB441E"/>
    <w:rsid w:val="00EE533C"/>
    <w:rsid w:val="00F745C4"/>
    <w:rsid w:val="00F807B2"/>
    <w:rsid w:val="00F80A8D"/>
    <w:rsid w:val="00F93658"/>
    <w:rsid w:val="00FC183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3B44"/>
    <w:pPr>
      <w:spacing w:line="360" w:lineRule="auto"/>
      <w:jc w:val="both"/>
    </w:pPr>
    <w:rPr>
      <w:sz w:val="24"/>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MCorpodoTexto">
    <w:name w:val="DM_Corpo do Texto"/>
    <w:autoRedefine/>
    <w:qFormat/>
    <w:rsid w:val="00CF279B"/>
    <w:pPr>
      <w:spacing w:line="360" w:lineRule="auto"/>
      <w:ind w:firstLine="1134"/>
      <w:jc w:val="both"/>
    </w:pPr>
    <w:rPr>
      <w:sz w:val="24"/>
      <w:szCs w:val="22"/>
      <w:lang w:eastAsia="en-US"/>
    </w:rPr>
  </w:style>
  <w:style w:type="paragraph" w:customStyle="1" w:styleId="DMCitaoExtensa">
    <w:name w:val="DM_Citação Extensa"/>
    <w:next w:val="DMCorpodoTexto"/>
    <w:autoRedefine/>
    <w:qFormat/>
    <w:rsid w:val="003B3E32"/>
    <w:pPr>
      <w:ind w:left="2268"/>
      <w:jc w:val="both"/>
    </w:pPr>
    <w:rPr>
      <w:sz w:val="22"/>
      <w:szCs w:val="22"/>
      <w:lang w:eastAsia="en-US"/>
    </w:rPr>
  </w:style>
  <w:style w:type="paragraph" w:customStyle="1" w:styleId="DMReferncias">
    <w:name w:val="DM_Referências"/>
    <w:link w:val="DMRefernciasChar"/>
    <w:autoRedefine/>
    <w:qFormat/>
    <w:rsid w:val="00CF279B"/>
    <w:pPr>
      <w:jc w:val="both"/>
    </w:pPr>
    <w:rPr>
      <w:sz w:val="24"/>
      <w:szCs w:val="22"/>
      <w:lang w:eastAsia="en-US"/>
    </w:rPr>
  </w:style>
  <w:style w:type="character" w:customStyle="1" w:styleId="DMRefernciasChar">
    <w:name w:val="DM_Referências Char"/>
    <w:link w:val="DMReferncias"/>
    <w:rsid w:val="00CF279B"/>
    <w:rPr>
      <w:sz w:val="24"/>
      <w:szCs w:val="22"/>
      <w:lang w:val="pt-BR" w:eastAsia="en-US" w:bidi="ar-SA"/>
    </w:rPr>
  </w:style>
  <w:style w:type="paragraph" w:customStyle="1" w:styleId="DMRodap">
    <w:name w:val="DM_Rodapé"/>
    <w:autoRedefine/>
    <w:qFormat/>
    <w:rsid w:val="00CF279B"/>
    <w:pPr>
      <w:jc w:val="both"/>
    </w:pPr>
    <w:rPr>
      <w:szCs w:val="22"/>
      <w:lang w:eastAsia="en-US"/>
    </w:rPr>
  </w:style>
  <w:style w:type="paragraph" w:customStyle="1" w:styleId="DMSubttulo">
    <w:name w:val="DM_Subtítulo"/>
    <w:next w:val="DMCorpodoTexto"/>
    <w:autoRedefine/>
    <w:qFormat/>
    <w:rsid w:val="00CF279B"/>
    <w:pPr>
      <w:spacing w:line="360" w:lineRule="auto"/>
      <w:jc w:val="both"/>
    </w:pPr>
    <w:rPr>
      <w:b/>
      <w:sz w:val="24"/>
      <w:szCs w:val="22"/>
      <w:lang w:eastAsia="en-US"/>
    </w:rPr>
  </w:style>
  <w:style w:type="paragraph" w:customStyle="1" w:styleId="DMTTULO">
    <w:name w:val="DM_TÍTULO"/>
    <w:autoRedefine/>
    <w:qFormat/>
    <w:rsid w:val="00CF279B"/>
    <w:pPr>
      <w:spacing w:line="360" w:lineRule="auto"/>
      <w:jc w:val="both"/>
    </w:pPr>
    <w:rPr>
      <w:b/>
      <w:caps/>
      <w:sz w:val="28"/>
      <w:szCs w:val="22"/>
      <w:lang w:eastAsia="en-US"/>
    </w:rPr>
  </w:style>
  <w:style w:type="paragraph" w:customStyle="1" w:styleId="DMEntrevista">
    <w:name w:val="DM_Entrevista"/>
    <w:basedOn w:val="DMCitaoExtensa"/>
    <w:next w:val="DMCorpodoTexto"/>
    <w:qFormat/>
    <w:rsid w:val="002B7837"/>
    <w:rPr>
      <w:i/>
    </w:rPr>
  </w:style>
  <w:style w:type="paragraph" w:customStyle="1" w:styleId="Normal1">
    <w:name w:val="Normal1"/>
    <w:rsid w:val="00382811"/>
    <w:pPr>
      <w:spacing w:after="200" w:line="276" w:lineRule="auto"/>
    </w:pPr>
    <w:rPr>
      <w:rFonts w:eastAsia="Times New Roman"/>
      <w:color w:val="000000"/>
      <w:sz w:val="24"/>
    </w:rPr>
  </w:style>
  <w:style w:type="paragraph" w:styleId="Textodenotaderodap">
    <w:name w:val="footnote text"/>
    <w:basedOn w:val="Normal"/>
    <w:link w:val="TextodenotaderodapChar"/>
    <w:uiPriority w:val="99"/>
    <w:unhideWhenUsed/>
    <w:rsid w:val="008D1B90"/>
    <w:pPr>
      <w:spacing w:line="240" w:lineRule="auto"/>
    </w:pPr>
    <w:rPr>
      <w:sz w:val="20"/>
      <w:szCs w:val="20"/>
      <w:lang w:val="x-none" w:eastAsia="x-none"/>
    </w:rPr>
  </w:style>
  <w:style w:type="character" w:customStyle="1" w:styleId="TextodenotaderodapChar">
    <w:name w:val="Texto de nota de rodapé Char"/>
    <w:link w:val="Textodenotaderodap"/>
    <w:uiPriority w:val="99"/>
    <w:rsid w:val="008D1B90"/>
    <w:rPr>
      <w:sz w:val="20"/>
      <w:szCs w:val="20"/>
    </w:rPr>
  </w:style>
  <w:style w:type="character" w:styleId="Refdenotaderodap">
    <w:name w:val="footnote reference"/>
    <w:uiPriority w:val="99"/>
    <w:semiHidden/>
    <w:unhideWhenUsed/>
    <w:rsid w:val="008D1B90"/>
    <w:rPr>
      <w:vertAlign w:val="superscript"/>
    </w:rPr>
  </w:style>
  <w:style w:type="character" w:customStyle="1" w:styleId="apple-style-span">
    <w:name w:val="apple-style-span"/>
    <w:basedOn w:val="Fontepargpadro"/>
    <w:rsid w:val="00637875"/>
  </w:style>
  <w:style w:type="paragraph" w:styleId="Textodebalo">
    <w:name w:val="Balloon Text"/>
    <w:basedOn w:val="Normal"/>
    <w:link w:val="TextodebaloChar"/>
    <w:uiPriority w:val="99"/>
    <w:semiHidden/>
    <w:unhideWhenUsed/>
    <w:rsid w:val="00C15C38"/>
    <w:pPr>
      <w:spacing w:line="240" w:lineRule="auto"/>
    </w:pPr>
    <w:rPr>
      <w:rFonts w:ascii="Tahoma" w:hAnsi="Tahoma" w:cs="Tahoma"/>
      <w:sz w:val="16"/>
      <w:szCs w:val="16"/>
    </w:rPr>
  </w:style>
  <w:style w:type="character" w:customStyle="1" w:styleId="TextodebaloChar">
    <w:name w:val="Texto de balão Char"/>
    <w:link w:val="Textodebalo"/>
    <w:uiPriority w:val="99"/>
    <w:semiHidden/>
    <w:rsid w:val="00C15C38"/>
    <w:rPr>
      <w:rFonts w:ascii="Tahoma" w:hAnsi="Tahoma" w:cs="Tahoma"/>
      <w:sz w:val="16"/>
      <w:szCs w:val="16"/>
      <w:lang w:eastAsia="en-US"/>
    </w:rPr>
  </w:style>
  <w:style w:type="paragraph" w:styleId="Cabealho">
    <w:name w:val="header"/>
    <w:basedOn w:val="Normal"/>
    <w:link w:val="CabealhoChar"/>
    <w:uiPriority w:val="99"/>
    <w:unhideWhenUsed/>
    <w:rsid w:val="00D56CE5"/>
    <w:pPr>
      <w:tabs>
        <w:tab w:val="center" w:pos="4252"/>
        <w:tab w:val="right" w:pos="8504"/>
      </w:tabs>
    </w:pPr>
  </w:style>
  <w:style w:type="character" w:customStyle="1" w:styleId="CabealhoChar">
    <w:name w:val="Cabeçalho Char"/>
    <w:link w:val="Cabealho"/>
    <w:uiPriority w:val="99"/>
    <w:rsid w:val="00D56CE5"/>
    <w:rPr>
      <w:sz w:val="24"/>
      <w:szCs w:val="22"/>
      <w:lang w:eastAsia="en-US"/>
    </w:rPr>
  </w:style>
  <w:style w:type="paragraph" w:styleId="Rodap">
    <w:name w:val="footer"/>
    <w:basedOn w:val="Normal"/>
    <w:link w:val="RodapChar"/>
    <w:uiPriority w:val="99"/>
    <w:unhideWhenUsed/>
    <w:rsid w:val="00D56CE5"/>
    <w:pPr>
      <w:tabs>
        <w:tab w:val="center" w:pos="4252"/>
        <w:tab w:val="right" w:pos="8504"/>
      </w:tabs>
    </w:pPr>
  </w:style>
  <w:style w:type="character" w:customStyle="1" w:styleId="RodapChar">
    <w:name w:val="Rodapé Char"/>
    <w:link w:val="Rodap"/>
    <w:uiPriority w:val="99"/>
    <w:rsid w:val="00D56CE5"/>
    <w:rPr>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743</Words>
  <Characters>4017</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2016-09-28T02:10:00Z</dcterms:created>
  <dcterms:modified xsi:type="dcterms:W3CDTF">2016-09-28T02:12:00Z</dcterms:modified>
</cp:coreProperties>
</file>