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2A3" w:rsidRPr="00A95EA4" w:rsidRDefault="00072AE6" w:rsidP="00577F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EA4">
        <w:rPr>
          <w:rFonts w:ascii="Times New Roman" w:hAnsi="Times New Roman" w:cs="Times New Roman"/>
          <w:b/>
          <w:sz w:val="24"/>
          <w:szCs w:val="24"/>
        </w:rPr>
        <w:t>CARTA RESPO</w:t>
      </w:r>
      <w:bookmarkStart w:id="0" w:name="_GoBack"/>
      <w:bookmarkEnd w:id="0"/>
      <w:r w:rsidRPr="00A95EA4">
        <w:rPr>
          <w:rFonts w:ascii="Times New Roman" w:hAnsi="Times New Roman" w:cs="Times New Roman"/>
          <w:b/>
          <w:sz w:val="24"/>
          <w:szCs w:val="24"/>
        </w:rPr>
        <w:t>STA</w:t>
      </w:r>
    </w:p>
    <w:p w:rsidR="00A95EA4" w:rsidRPr="00A27791" w:rsidRDefault="00A95EA4" w:rsidP="00577F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2AE6" w:rsidRPr="00A27791" w:rsidRDefault="00072AE6" w:rsidP="00577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2AE6" w:rsidRPr="00A27791" w:rsidRDefault="00072AE6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791">
        <w:rPr>
          <w:rFonts w:ascii="Times New Roman" w:hAnsi="Times New Roman" w:cs="Times New Roman"/>
          <w:sz w:val="24"/>
          <w:szCs w:val="24"/>
        </w:rPr>
        <w:t xml:space="preserve">Foram realizadas correções para o título do artigo, abreviação e tradução. Estes têm, respectivamente, a seguinte redação: </w:t>
      </w:r>
      <w:r w:rsidRPr="00CC2F70">
        <w:rPr>
          <w:rFonts w:ascii="Times New Roman" w:hAnsi="Times New Roman" w:cs="Times New Roman"/>
          <w:color w:val="FF0000"/>
          <w:sz w:val="24"/>
          <w:szCs w:val="24"/>
        </w:rPr>
        <w:t>“MAPA DOS JOGOS TRADICIONAIS INFANTIS NO MUNICÍPIO DE CONDE-PB”; “MAPA DOS JOGOS INFANTIS NO MUNICÍPIO DE CONDE-PB”; “MAP OF TRADITIONAL GAMES FOR CHILDREN IN THE MUNICIPALITY OF CONDE-PB”</w:t>
      </w:r>
      <w:r w:rsidRPr="00A277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2AE6" w:rsidRPr="00A27791" w:rsidRDefault="00072AE6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791">
        <w:rPr>
          <w:rFonts w:ascii="Times New Roman" w:hAnsi="Times New Roman" w:cs="Times New Roman"/>
          <w:sz w:val="24"/>
          <w:szCs w:val="24"/>
        </w:rPr>
        <w:t>No início do resumo foram realizadas as seguintes alterações</w:t>
      </w:r>
      <w:r w:rsidR="00577FD2">
        <w:rPr>
          <w:rFonts w:ascii="Times New Roman" w:hAnsi="Times New Roman" w:cs="Times New Roman"/>
          <w:sz w:val="24"/>
          <w:szCs w:val="24"/>
        </w:rPr>
        <w:t xml:space="preserve"> em vermelho</w:t>
      </w:r>
      <w:r w:rsidRPr="00A27791">
        <w:rPr>
          <w:rFonts w:ascii="Times New Roman" w:hAnsi="Times New Roman" w:cs="Times New Roman"/>
          <w:sz w:val="24"/>
          <w:szCs w:val="24"/>
        </w:rPr>
        <w:t xml:space="preserve">: Esta pesquisa </w:t>
      </w:r>
      <w:r w:rsidRPr="00A27791">
        <w:rPr>
          <w:rFonts w:ascii="Times New Roman" w:hAnsi="Times New Roman" w:cs="Times New Roman"/>
          <w:color w:val="FF0000"/>
          <w:sz w:val="24"/>
          <w:szCs w:val="24"/>
        </w:rPr>
        <w:t>objetivou</w:t>
      </w:r>
      <w:r w:rsidRPr="00A27791">
        <w:rPr>
          <w:rFonts w:ascii="Times New Roman" w:hAnsi="Times New Roman" w:cs="Times New Roman"/>
          <w:sz w:val="24"/>
          <w:szCs w:val="24"/>
        </w:rPr>
        <w:t xml:space="preserve"> </w:t>
      </w:r>
      <w:r w:rsidRPr="00A27791">
        <w:rPr>
          <w:rFonts w:ascii="Times New Roman" w:hAnsi="Times New Roman" w:cs="Times New Roman"/>
          <w:color w:val="FF0000"/>
          <w:sz w:val="24"/>
          <w:szCs w:val="24"/>
        </w:rPr>
        <w:t xml:space="preserve">construir um mapa </w:t>
      </w:r>
      <w:r w:rsidRPr="00A27791">
        <w:rPr>
          <w:rFonts w:ascii="Times New Roman" w:hAnsi="Times New Roman" w:cs="Times New Roman"/>
          <w:sz w:val="24"/>
          <w:szCs w:val="24"/>
        </w:rPr>
        <w:t xml:space="preserve">dos jogos mais praticados por crianças e adolescentes </w:t>
      </w:r>
      <w:r w:rsidRPr="00A27791">
        <w:rPr>
          <w:rFonts w:ascii="Times New Roman" w:hAnsi="Times New Roman" w:cs="Times New Roman"/>
          <w:color w:val="FF0000"/>
          <w:sz w:val="24"/>
          <w:szCs w:val="24"/>
        </w:rPr>
        <w:t>no</w:t>
      </w:r>
      <w:r w:rsidRPr="00A27791">
        <w:rPr>
          <w:rFonts w:ascii="Times New Roman" w:hAnsi="Times New Roman" w:cs="Times New Roman"/>
          <w:sz w:val="24"/>
          <w:szCs w:val="24"/>
        </w:rPr>
        <w:t xml:space="preserve"> município </w:t>
      </w:r>
      <w:r w:rsidR="00A27791" w:rsidRPr="00A27791">
        <w:rPr>
          <w:rFonts w:ascii="Times New Roman" w:hAnsi="Times New Roman" w:cs="Times New Roman"/>
          <w:sz w:val="24"/>
          <w:szCs w:val="24"/>
        </w:rPr>
        <w:t>de</w:t>
      </w:r>
      <w:r w:rsidRPr="00A27791">
        <w:rPr>
          <w:rFonts w:ascii="Times New Roman" w:hAnsi="Times New Roman" w:cs="Times New Roman"/>
          <w:sz w:val="24"/>
          <w:szCs w:val="24"/>
        </w:rPr>
        <w:t xml:space="preserve"> Conde-PB e </w:t>
      </w:r>
      <w:r w:rsidRPr="00A27791">
        <w:rPr>
          <w:rFonts w:ascii="Times New Roman" w:hAnsi="Times New Roman" w:cs="Times New Roman"/>
          <w:color w:val="FF0000"/>
          <w:sz w:val="24"/>
          <w:szCs w:val="24"/>
        </w:rPr>
        <w:t>analisar</w:t>
      </w:r>
      <w:r w:rsidRPr="00A27791">
        <w:rPr>
          <w:rFonts w:ascii="Times New Roman" w:hAnsi="Times New Roman" w:cs="Times New Roman"/>
          <w:sz w:val="24"/>
          <w:szCs w:val="24"/>
        </w:rPr>
        <w:t xml:space="preserve"> as relações </w:t>
      </w:r>
      <w:r w:rsidRPr="00A27791">
        <w:rPr>
          <w:rFonts w:ascii="Times New Roman" w:hAnsi="Times New Roman" w:cs="Times New Roman"/>
          <w:color w:val="FF0000"/>
          <w:sz w:val="24"/>
          <w:szCs w:val="24"/>
        </w:rPr>
        <w:t xml:space="preserve">que os </w:t>
      </w:r>
      <w:r w:rsidRPr="00A27791">
        <w:rPr>
          <w:rFonts w:ascii="Times New Roman" w:hAnsi="Times New Roman" w:cs="Times New Roman"/>
          <w:sz w:val="24"/>
          <w:szCs w:val="24"/>
        </w:rPr>
        <w:t xml:space="preserve">praticantes realizam com os espaços públicos </w:t>
      </w:r>
      <w:r w:rsidRPr="00A27791">
        <w:rPr>
          <w:rFonts w:ascii="Times New Roman" w:hAnsi="Times New Roman" w:cs="Times New Roman"/>
          <w:color w:val="FF0000"/>
          <w:sz w:val="24"/>
          <w:szCs w:val="24"/>
        </w:rPr>
        <w:t>e com</w:t>
      </w:r>
      <w:r w:rsidRPr="00A27791">
        <w:rPr>
          <w:rFonts w:ascii="Times New Roman" w:hAnsi="Times New Roman" w:cs="Times New Roman"/>
          <w:sz w:val="24"/>
          <w:szCs w:val="24"/>
        </w:rPr>
        <w:t xml:space="preserve"> os materiais utilizados nas brincadeiras</w:t>
      </w:r>
    </w:p>
    <w:p w:rsidR="00072AE6" w:rsidRPr="00CC2F70" w:rsidRDefault="00072AE6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791">
        <w:rPr>
          <w:rFonts w:ascii="Times New Roman" w:hAnsi="Times New Roman" w:cs="Times New Roman"/>
          <w:sz w:val="24"/>
          <w:szCs w:val="24"/>
        </w:rPr>
        <w:t>Na linha 6 do resumo foi feita a seguinte correção</w:t>
      </w:r>
      <w:r w:rsidR="00A27791">
        <w:rPr>
          <w:rFonts w:ascii="Times New Roman" w:hAnsi="Times New Roman" w:cs="Times New Roman"/>
          <w:sz w:val="24"/>
          <w:szCs w:val="24"/>
        </w:rPr>
        <w:t xml:space="preserve"> em vermelho</w:t>
      </w:r>
      <w:r w:rsidRPr="00A27791">
        <w:rPr>
          <w:rFonts w:ascii="Times New Roman" w:hAnsi="Times New Roman" w:cs="Times New Roman"/>
          <w:sz w:val="24"/>
          <w:szCs w:val="24"/>
        </w:rPr>
        <w:t xml:space="preserve">: Estas comunidades foram escolhidas devido </w:t>
      </w:r>
      <w:r w:rsidRPr="00A27791">
        <w:rPr>
          <w:rFonts w:ascii="Times New Roman" w:hAnsi="Times New Roman" w:cs="Times New Roman"/>
          <w:color w:val="FF0000"/>
          <w:sz w:val="24"/>
          <w:szCs w:val="24"/>
        </w:rPr>
        <w:t xml:space="preserve">o acesso </w:t>
      </w:r>
      <w:r w:rsidRPr="00A27791">
        <w:rPr>
          <w:rFonts w:ascii="Times New Roman" w:hAnsi="Times New Roman" w:cs="Times New Roman"/>
          <w:sz w:val="24"/>
          <w:szCs w:val="24"/>
        </w:rPr>
        <w:t>as suas</w:t>
      </w:r>
      <w:r w:rsidRPr="00CC2F70">
        <w:rPr>
          <w:rFonts w:ascii="Times New Roman" w:hAnsi="Times New Roman" w:cs="Times New Roman"/>
          <w:sz w:val="24"/>
          <w:szCs w:val="24"/>
        </w:rPr>
        <w:t xml:space="preserve"> localidades</w:t>
      </w:r>
      <w:r w:rsidR="00A27791" w:rsidRPr="00CC2F70">
        <w:rPr>
          <w:rFonts w:ascii="Times New Roman" w:hAnsi="Times New Roman" w:cs="Times New Roman"/>
          <w:sz w:val="24"/>
          <w:szCs w:val="24"/>
        </w:rPr>
        <w:t xml:space="preserve"> [...]. </w:t>
      </w:r>
    </w:p>
    <w:p w:rsidR="00072AE6" w:rsidRPr="00CC2F70" w:rsidRDefault="00072AE6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F70">
        <w:rPr>
          <w:rFonts w:ascii="Times New Roman" w:hAnsi="Times New Roman" w:cs="Times New Roman"/>
          <w:sz w:val="24"/>
          <w:szCs w:val="24"/>
        </w:rPr>
        <w:t xml:space="preserve">Nas últimas linhas do resumo foi acrescentado o seguinte texto: [...] </w:t>
      </w:r>
      <w:r w:rsidRPr="00CC2F70">
        <w:rPr>
          <w:rFonts w:ascii="Times New Roman" w:hAnsi="Times New Roman" w:cs="Times New Roman"/>
          <w:color w:val="FF0000"/>
          <w:sz w:val="24"/>
          <w:szCs w:val="24"/>
        </w:rPr>
        <w:t xml:space="preserve">possuem significados para as crianças porque são continuamente transformados em espaços de socialização. Assim também os materiais que são reutilizados para realizar jogos, a exemplo das cordas, no cabo de guerra e dos papelões nas brincadeiras de casinha. A partir dos resultados encontrados foi construído um mapa, em que se destaca a relação das características rurais do entrono com a produção de jogos pelas crianças, como parte do cotidiano cultural. Estes jogos mapeados se apresentam como propriedade da cultura lúdica local e constituinte do patrimônio cultural universal que é repassado e atualizado de geração a geração, em diferentes comunidades. </w:t>
      </w:r>
    </w:p>
    <w:p w:rsidR="00072AE6" w:rsidRPr="00CC2F70" w:rsidRDefault="00072AE6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F70">
        <w:rPr>
          <w:rFonts w:ascii="Times New Roman" w:hAnsi="Times New Roman" w:cs="Times New Roman"/>
          <w:sz w:val="24"/>
          <w:szCs w:val="24"/>
        </w:rPr>
        <w:t xml:space="preserve">Foi acrescentada a seguinte palavra-chave: </w:t>
      </w:r>
      <w:r w:rsidRPr="00CC2F70">
        <w:rPr>
          <w:rFonts w:ascii="Times New Roman" w:hAnsi="Times New Roman" w:cs="Times New Roman"/>
          <w:color w:val="FF0000"/>
          <w:sz w:val="24"/>
          <w:szCs w:val="24"/>
        </w:rPr>
        <w:t>Cultura</w:t>
      </w:r>
    </w:p>
    <w:p w:rsidR="00072AE6" w:rsidRPr="00367681" w:rsidRDefault="00003972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F70">
        <w:rPr>
          <w:rFonts w:ascii="Times New Roman" w:hAnsi="Times New Roman" w:cs="Times New Roman"/>
          <w:sz w:val="24"/>
          <w:szCs w:val="24"/>
        </w:rPr>
        <w:t>No primeiro</w:t>
      </w:r>
      <w:r w:rsidR="00072AE6" w:rsidRPr="00CC2F70">
        <w:rPr>
          <w:rFonts w:ascii="Times New Roman" w:hAnsi="Times New Roman" w:cs="Times New Roman"/>
          <w:sz w:val="24"/>
          <w:szCs w:val="24"/>
        </w:rPr>
        <w:t xml:space="preserve"> </w:t>
      </w:r>
      <w:r w:rsidRPr="00CC2F70">
        <w:rPr>
          <w:rFonts w:ascii="Times New Roman" w:hAnsi="Times New Roman" w:cs="Times New Roman"/>
          <w:sz w:val="24"/>
          <w:szCs w:val="24"/>
        </w:rPr>
        <w:t>parágrafo</w:t>
      </w:r>
      <w:r w:rsidR="00072AE6" w:rsidRPr="00CC2F70">
        <w:rPr>
          <w:rFonts w:ascii="Times New Roman" w:hAnsi="Times New Roman" w:cs="Times New Roman"/>
          <w:sz w:val="24"/>
          <w:szCs w:val="24"/>
        </w:rPr>
        <w:t xml:space="preserve"> da página 2,</w:t>
      </w:r>
      <w:r w:rsidRPr="00CC2F70">
        <w:rPr>
          <w:rFonts w:ascii="Times New Roman" w:hAnsi="Times New Roman" w:cs="Times New Roman"/>
          <w:sz w:val="24"/>
          <w:szCs w:val="24"/>
        </w:rPr>
        <w:t xml:space="preserve"> foram </w:t>
      </w:r>
      <w:r w:rsidR="00072AE6" w:rsidRPr="00CC2F70">
        <w:rPr>
          <w:rFonts w:ascii="Times New Roman" w:hAnsi="Times New Roman" w:cs="Times New Roman"/>
          <w:sz w:val="24"/>
          <w:szCs w:val="24"/>
        </w:rPr>
        <w:t xml:space="preserve">realizadas as seguintes alterações: </w:t>
      </w:r>
      <w:r w:rsidR="00072AE6" w:rsidRPr="00CC2F70">
        <w:rPr>
          <w:rFonts w:ascii="Times New Roman" w:hAnsi="Times New Roman" w:cs="Times New Roman"/>
          <w:color w:val="FF0000"/>
          <w:sz w:val="24"/>
          <w:szCs w:val="24"/>
        </w:rPr>
        <w:t>Esse mapeamento de jogos faz parte de um dos programas de investigação da Pedagogia da Corporeidade</w:t>
      </w:r>
      <w:r w:rsidR="00072AE6" w:rsidRPr="00CC2F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1, 2, 3, 4</w:t>
      </w:r>
      <w:r w:rsidR="00072AE6" w:rsidRPr="00CC2F70">
        <w:rPr>
          <w:rFonts w:ascii="Times New Roman" w:hAnsi="Times New Roman" w:cs="Times New Roman"/>
          <w:color w:val="FF0000"/>
          <w:sz w:val="24"/>
          <w:szCs w:val="24"/>
        </w:rPr>
        <w:t>. Uma teoria pedagógica que postula: antes de ensinar jogos é preciso primeiro levantar quais os já existentes em cada região, identificando neles a produção de sentido emocional, energética e lógica, conforme Gomes-da-Silva</w:t>
      </w:r>
      <w:r w:rsidR="00072AE6" w:rsidRPr="00CC2F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5</w:t>
      </w:r>
      <w:r w:rsidR="00072AE6" w:rsidRPr="00CC2F70">
        <w:rPr>
          <w:rFonts w:ascii="Times New Roman" w:hAnsi="Times New Roman" w:cs="Times New Roman"/>
          <w:color w:val="FF0000"/>
          <w:sz w:val="24"/>
          <w:szCs w:val="24"/>
        </w:rPr>
        <w:t xml:space="preserve">. O jogo é investigado como prática de linguagem, portanto, a análise não se restringe a sua estrutura e funcionamento, mas no modo como eles ocorrem, suas correlações com o contexto </w:t>
      </w:r>
      <w:proofErr w:type="spellStart"/>
      <w:r w:rsidR="00072AE6" w:rsidRPr="00CC2F70">
        <w:rPr>
          <w:rFonts w:ascii="Times New Roman" w:hAnsi="Times New Roman" w:cs="Times New Roman"/>
          <w:color w:val="FF0000"/>
          <w:sz w:val="24"/>
          <w:szCs w:val="24"/>
        </w:rPr>
        <w:t>biocultural</w:t>
      </w:r>
      <w:proofErr w:type="spellEnd"/>
      <w:r w:rsidR="00072AE6" w:rsidRPr="00CC2F70">
        <w:rPr>
          <w:rFonts w:ascii="Times New Roman" w:hAnsi="Times New Roman" w:cs="Times New Roman"/>
          <w:color w:val="FF0000"/>
          <w:sz w:val="24"/>
          <w:szCs w:val="24"/>
        </w:rPr>
        <w:t xml:space="preserve"> e com a organização social. Essas investigações terminaram por centrar-se nos jogos tradicionais</w:t>
      </w:r>
      <w:r w:rsidR="00072AE6" w:rsidRPr="00CC2F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6,7,8</w:t>
      </w:r>
      <w:r w:rsidR="00072AE6" w:rsidRPr="00CC2F70">
        <w:rPr>
          <w:rFonts w:ascii="Times New Roman" w:hAnsi="Times New Roman" w:cs="Times New Roman"/>
          <w:color w:val="FF0000"/>
          <w:sz w:val="24"/>
          <w:szCs w:val="24"/>
        </w:rPr>
        <w:t xml:space="preserve">, compreendendo-os como a cultura lúdica de um povo, aquela que </w:t>
      </w:r>
      <w:r w:rsidR="00072AE6" w:rsidRPr="00367681">
        <w:rPr>
          <w:rFonts w:ascii="Times New Roman" w:hAnsi="Times New Roman" w:cs="Times New Roman"/>
          <w:color w:val="FF0000"/>
          <w:sz w:val="24"/>
          <w:szCs w:val="24"/>
        </w:rPr>
        <w:t>é cultivada, transmitida e atualizada anonimamente em cada geração.</w:t>
      </w:r>
    </w:p>
    <w:p w:rsidR="00072AE6" w:rsidRPr="00367681" w:rsidRDefault="00003972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681">
        <w:rPr>
          <w:rFonts w:ascii="Times New Roman" w:hAnsi="Times New Roman" w:cs="Times New Roman"/>
          <w:sz w:val="24"/>
          <w:szCs w:val="24"/>
        </w:rPr>
        <w:t xml:space="preserve">No segundo parágrafo da página 2, foram realizadas as seguintes alterações: </w:t>
      </w:r>
      <w:r w:rsidR="00072AE6" w:rsidRPr="00367681">
        <w:rPr>
          <w:rFonts w:ascii="Times New Roman" w:hAnsi="Times New Roman" w:cs="Times New Roman"/>
          <w:color w:val="FF0000"/>
          <w:sz w:val="24"/>
          <w:szCs w:val="24"/>
        </w:rPr>
        <w:t xml:space="preserve">O brincar é uma das características mais marcante das crianças. São elas que se dispõem deliberadamente a fazer em brinquedo quase tudo que está à sua volta, </w:t>
      </w:r>
      <w:r w:rsidRPr="00367681">
        <w:rPr>
          <w:rFonts w:ascii="Times New Roman" w:hAnsi="Times New Roman" w:cs="Times New Roman"/>
          <w:sz w:val="24"/>
          <w:szCs w:val="24"/>
        </w:rPr>
        <w:t xml:space="preserve">[...] </w:t>
      </w:r>
      <w:r w:rsidR="00072AE6" w:rsidRPr="00367681">
        <w:rPr>
          <w:rFonts w:ascii="Times New Roman" w:hAnsi="Times New Roman" w:cs="Times New Roman"/>
          <w:color w:val="FF0000"/>
          <w:sz w:val="24"/>
          <w:szCs w:val="24"/>
        </w:rPr>
        <w:t>ou restos de materiais da construção civil</w:t>
      </w:r>
      <w:r w:rsidR="00072AE6" w:rsidRPr="00367681">
        <w:rPr>
          <w:rFonts w:ascii="Times New Roman" w:hAnsi="Times New Roman" w:cs="Times New Roman"/>
          <w:sz w:val="24"/>
          <w:szCs w:val="24"/>
        </w:rPr>
        <w:t xml:space="preserve">. </w:t>
      </w:r>
      <w:r w:rsidRPr="00367681">
        <w:rPr>
          <w:rFonts w:ascii="Times New Roman" w:hAnsi="Times New Roman" w:cs="Times New Roman"/>
          <w:sz w:val="24"/>
          <w:szCs w:val="24"/>
        </w:rPr>
        <w:t>[...]</w:t>
      </w:r>
      <w:r w:rsidR="00072AE6" w:rsidRPr="00367681">
        <w:rPr>
          <w:rFonts w:ascii="Times New Roman" w:hAnsi="Times New Roman" w:cs="Times New Roman"/>
          <w:sz w:val="24"/>
          <w:szCs w:val="24"/>
        </w:rPr>
        <w:t xml:space="preserve"> </w:t>
      </w:r>
      <w:r w:rsidR="00072AE6" w:rsidRPr="00367681">
        <w:rPr>
          <w:rFonts w:ascii="Times New Roman" w:hAnsi="Times New Roman" w:cs="Times New Roman"/>
          <w:color w:val="FF0000"/>
          <w:sz w:val="24"/>
          <w:szCs w:val="24"/>
        </w:rPr>
        <w:t>seu “brinquedo”, podendo ser uma tampa de panela, transformada em direção de carro, ela entra num mundo entre a imaginação e a realidade. Nesse instante da brincadeira, a criança cria uma terceira área, o brincar</w:t>
      </w:r>
      <w:r w:rsidR="00072AE6" w:rsidRPr="00367681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9</w:t>
      </w:r>
      <w:r w:rsidR="00072AE6" w:rsidRPr="00367681">
        <w:rPr>
          <w:rFonts w:ascii="Times New Roman" w:hAnsi="Times New Roman" w:cs="Times New Roman"/>
          <w:color w:val="FF0000"/>
          <w:sz w:val="24"/>
          <w:szCs w:val="24"/>
        </w:rPr>
        <w:t>. Daí surge, nessa espécie de mundo paralelo, o brincante, aquele que se torna um com o brinquedo e passa a habitar o tempo-espaço de outro modo</w:t>
      </w:r>
      <w:r w:rsidR="00072AE6" w:rsidRPr="00367681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3</w:t>
      </w:r>
      <w:r w:rsidR="00072AE6" w:rsidRPr="0036768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003972" w:rsidRPr="00577FD2" w:rsidRDefault="00003972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FD2">
        <w:rPr>
          <w:rFonts w:ascii="Times New Roman" w:hAnsi="Times New Roman" w:cs="Times New Roman"/>
          <w:sz w:val="24"/>
          <w:szCs w:val="24"/>
        </w:rPr>
        <w:t xml:space="preserve">No terceiro parágrafo da página 2 foram realizadas as seguintes correções: [...] </w:t>
      </w:r>
      <w:r w:rsidRPr="00CC2F70">
        <w:rPr>
          <w:rFonts w:ascii="Times New Roman" w:hAnsi="Times New Roman" w:cs="Times New Roman"/>
          <w:color w:val="FF0000"/>
          <w:sz w:val="24"/>
          <w:szCs w:val="24"/>
        </w:rPr>
        <w:t>prazerosa com produção de sentidos para aqueles que jogam</w:t>
      </w:r>
      <w:r w:rsidRPr="00CC2F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12</w:t>
      </w:r>
      <w:r w:rsidRPr="00CC2F70">
        <w:rPr>
          <w:rFonts w:ascii="Times New Roman" w:hAnsi="Times New Roman" w:cs="Times New Roman"/>
          <w:color w:val="FF0000"/>
          <w:sz w:val="24"/>
          <w:szCs w:val="24"/>
        </w:rPr>
        <w:t>. Visto que a realidade do lugar e dos materiais terminam por transformar-se em campo de jogo, que é a própria instalação desse mundo paralelo.</w:t>
      </w:r>
    </w:p>
    <w:p w:rsidR="00003972" w:rsidRPr="00577FD2" w:rsidRDefault="00003972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</w:rPr>
        <w:lastRenderedPageBreak/>
        <w:t xml:space="preserve">No quarto parágrafo da página 2, foram realizadas as seguintes alterações: </w:t>
      </w:r>
      <w:r w:rsidRPr="00CC2F70">
        <w:rPr>
          <w:rFonts w:ascii="Times New Roman" w:hAnsi="Times New Roman" w:cs="Times New Roman"/>
          <w:color w:val="FF0000"/>
          <w:sz w:val="24"/>
          <w:szCs w:val="24"/>
        </w:rPr>
        <w:t>Pela Pedagogia da Corporeidade</w:t>
      </w:r>
      <w:r w:rsidRPr="00CC2F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13</w:t>
      </w:r>
      <w:r w:rsidRPr="00CC2F70">
        <w:rPr>
          <w:rFonts w:ascii="Times New Roman" w:hAnsi="Times New Roman" w:cs="Times New Roman"/>
          <w:color w:val="FF0000"/>
          <w:sz w:val="24"/>
          <w:szCs w:val="24"/>
        </w:rPr>
        <w:t>, jogo e brincadeira são sinônimos, porque independente do formato (individual ou coletivo, com regras simples ou complexas), ambos são instalações do brincar</w:t>
      </w:r>
      <w:r w:rsidRPr="00CC2F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3</w:t>
      </w:r>
      <w:r w:rsidRPr="00CC2F70">
        <w:rPr>
          <w:rFonts w:ascii="Times New Roman" w:hAnsi="Times New Roman" w:cs="Times New Roman"/>
          <w:color w:val="FF0000"/>
          <w:sz w:val="24"/>
          <w:szCs w:val="24"/>
        </w:rPr>
        <w:t xml:space="preserve">. E as diferenciações feitas no senso comum por exemplo, que no jogo há regras e na brincadeira não, são inconsistentes. Há regras no brincar de casinha, por exemplo, pois as regras sociais são rigorosamente obedecidas: a mãe cuida do filhinho, dá comidinha na boca e coloca para dormir. Ou brincar de escolinha, em que a professora é quem manda sentar, fazer a tarefa e fala com voz grave e testa franzida. Sem regras não há mundo paralelo. Ou ainda, afirmações de que apenas na brincadeira houvesse o exercício da imaginação, como se num jogo esportivo, por exemplo, assumir a função de goleiro no futebol, não fosse um papel a ser representado.  </w:t>
      </w:r>
      <w:r w:rsidRPr="00CC2F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:rsidR="006D2E30" w:rsidRPr="00577FD2" w:rsidRDefault="00003972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</w:rPr>
        <w:t xml:space="preserve">No </w:t>
      </w:r>
      <w:r w:rsidR="006D2E30" w:rsidRPr="00577FD2">
        <w:rPr>
          <w:rFonts w:ascii="Times New Roman" w:hAnsi="Times New Roman" w:cs="Times New Roman"/>
          <w:sz w:val="24"/>
          <w:szCs w:val="24"/>
        </w:rPr>
        <w:t>quinto</w:t>
      </w:r>
      <w:r w:rsidRPr="00577FD2">
        <w:rPr>
          <w:rFonts w:ascii="Times New Roman" w:hAnsi="Times New Roman" w:cs="Times New Roman"/>
          <w:sz w:val="24"/>
          <w:szCs w:val="24"/>
        </w:rPr>
        <w:t xml:space="preserve"> parágrafo da página 2, foram realizadas as seguintes alterações: </w:t>
      </w:r>
      <w:r w:rsidRPr="00CC2F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Além do mais nenhum dos autores clássicos (Huizinga</w:t>
      </w:r>
      <w:r w:rsidRPr="00CC2F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10</w:t>
      </w:r>
      <w:r w:rsidRPr="00CC2F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; Caillois</w:t>
      </w:r>
      <w:r w:rsidRPr="00CC2F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14</w:t>
      </w:r>
      <w:r w:rsidRPr="00CC2F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; Benjamin</w:t>
      </w:r>
      <w:r w:rsidRPr="00CC2F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15</w:t>
      </w:r>
      <w:r w:rsidRPr="00CC2F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; Piaget</w:t>
      </w:r>
      <w:r w:rsidRPr="00CC2F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16</w:t>
      </w:r>
      <w:r w:rsidRPr="00CC2F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 Vigostsky</w:t>
      </w:r>
      <w:r w:rsidRPr="00CC2F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17</w:t>
      </w:r>
      <w:r w:rsidRPr="00CC2F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; Parlebas</w:t>
      </w:r>
      <w:r w:rsidRPr="00CC2F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18</w:t>
      </w:r>
      <w:r w:rsidRPr="00CC2F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), que estudaram o jogo, fazem essa diferenciação entre o jogo e a brincadeira. O fenômeno da brincadeira ou do jogo, nos </w:t>
      </w:r>
      <w:proofErr w:type="gramStart"/>
      <w:r w:rsidRPr="00CC2F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são sinônimos</w:t>
      </w:r>
      <w:proofErr w:type="gramEnd"/>
      <w:r w:rsidRPr="00CC2F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porque são criações de mundos paralelos pelos quais aprendemos a cultura, ao tempo que a recriamos. Concordamos com Benjamin</w:t>
      </w:r>
      <w:r w:rsidRPr="00CC2F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vertAlign w:val="superscript"/>
        </w:rPr>
        <w:t>15</w:t>
      </w:r>
      <w:r w:rsidRPr="00CC2F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quando reflete que “todo hábito entra na vida como brincadeira, e mesmo em suas formas mais enrijecidas sobrevive um restinho de jogo até o final” (p.75). Por isso, Gomes-da-Silva</w:t>
      </w:r>
      <w:r w:rsidRPr="00CC2F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5</w:t>
      </w:r>
      <w:r w:rsidRPr="00CC2F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 analisando a face simbólica do jogo como uma prática social de codificação, afirma:</w:t>
      </w:r>
      <w:r w:rsidR="006D2E30" w:rsidRPr="00CC2F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A brincadeira é uma estratégia de controle exercida sobre a </w:t>
      </w:r>
      <w:r w:rsidR="006D2E30"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conduta e os sentimentos humanos, rumo a uma direção muito específica. É no jogo e pelo jogo que as emoções são moldadas [...]</w:t>
      </w:r>
      <w:r w:rsidR="00CC2F70"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  <w:r w:rsidR="006D2E30"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É uma estratégia de autocontrole [...] que se instala profundamente [...] retransmitindo padrões sociais (p.100)</w:t>
      </w:r>
      <w:r w:rsidR="006D2E30"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vertAlign w:val="superscript"/>
        </w:rPr>
        <w:t>5</w:t>
      </w:r>
      <w:r w:rsidR="006D2E30"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03972" w:rsidRPr="004F6736" w:rsidRDefault="006D2E30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>Nas p</w:t>
      </w:r>
      <w:r w:rsidR="00577FD2"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>rimeiras linhas do primeiro pará</w:t>
      </w: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grafo da página 3, foram realizadas as seguintes alterações: 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O jogo é uma atividade desafiadora, nele o jogador é solicitado a recorrer a diferentes saberes, tais como, habilidades motoras, “leitura” de jogo, conhecimento de regras, tomada de decisão, antecipação de jogadas. O </w:t>
      </w:r>
      <w:r w:rsidRPr="004F6736">
        <w:rPr>
          <w:rFonts w:ascii="Times New Roman" w:hAnsi="Times New Roman" w:cs="Times New Roman"/>
          <w:color w:val="FF0000"/>
          <w:sz w:val="24"/>
          <w:szCs w:val="24"/>
        </w:rPr>
        <w:t>contínuo ato de jogar, de experimentar novas formas de jogar e de permanecer jogando [...]</w:t>
      </w:r>
      <w:r w:rsidR="007D0070" w:rsidRPr="004F6736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072AE6" w:rsidRPr="004F6736" w:rsidRDefault="006D2E30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F6736">
        <w:rPr>
          <w:rFonts w:ascii="Times New Roman" w:hAnsi="Times New Roman" w:cs="Times New Roman"/>
          <w:sz w:val="24"/>
          <w:szCs w:val="24"/>
        </w:rPr>
        <w:t xml:space="preserve">Nas primeiras linhas do segundo parágrafo da página 3, foram realizadas as seguintes alterações: </w:t>
      </w:r>
      <w:r w:rsidRPr="004F6736">
        <w:rPr>
          <w:rFonts w:ascii="Times New Roman" w:hAnsi="Times New Roman" w:cs="Times New Roman"/>
          <w:color w:val="FF0000"/>
          <w:sz w:val="24"/>
          <w:szCs w:val="24"/>
        </w:rPr>
        <w:t>O jogo tanto é um espaço de interação entre os participantes e o meio, conforme Parlebas</w:t>
      </w:r>
      <w:r w:rsidRPr="004F6736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18</w:t>
      </w:r>
      <w:r w:rsidRPr="004F6736">
        <w:rPr>
          <w:rFonts w:ascii="Times New Roman" w:hAnsi="Times New Roman" w:cs="Times New Roman"/>
          <w:color w:val="FF0000"/>
          <w:sz w:val="24"/>
          <w:szCs w:val="24"/>
        </w:rPr>
        <w:t>, quanto é um espaço de criação e de experiência cultural</w:t>
      </w:r>
      <w:r w:rsidRPr="004F6736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9</w:t>
      </w:r>
      <w:r w:rsidRPr="004F6736">
        <w:rPr>
          <w:rFonts w:ascii="Times New Roman" w:hAnsi="Times New Roman" w:cs="Times New Roman"/>
          <w:color w:val="FF0000"/>
          <w:sz w:val="24"/>
          <w:szCs w:val="24"/>
        </w:rPr>
        <w:t>, devido a convivência e a aprendizagem social vividas.</w:t>
      </w:r>
    </w:p>
    <w:p w:rsidR="006D2E30" w:rsidRPr="00577FD2" w:rsidRDefault="006D2E30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 quarto parágrafo da página 3 foi acrescentada a seguinte redação: [...] 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por sua reinvenção nas distintas regiões. Contudo, há no jogo tradicional uma função permanente: a ocupação dos espaços públicos disponíveis como forma de lazer. Os estudos de </w:t>
      </w:r>
      <w:proofErr w:type="spellStart"/>
      <w:r w:rsidRPr="007D0070">
        <w:rPr>
          <w:rFonts w:ascii="Times New Roman" w:hAnsi="Times New Roman" w:cs="Times New Roman"/>
          <w:color w:val="FF0000"/>
          <w:sz w:val="24"/>
          <w:szCs w:val="24"/>
        </w:rPr>
        <w:t>Marcellino</w:t>
      </w:r>
      <w:proofErr w:type="spellEnd"/>
      <w:r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 confirmam</w:t>
      </w:r>
      <w:r w:rsidRPr="007D00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21, 22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577FD2"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77FD2" w:rsidRPr="00577FD2">
        <w:rPr>
          <w:rFonts w:ascii="Times New Roman" w:hAnsi="Times New Roman" w:cs="Times New Roman"/>
          <w:sz w:val="24"/>
          <w:szCs w:val="24"/>
        </w:rPr>
        <w:t xml:space="preserve">[...]. </w:t>
      </w:r>
    </w:p>
    <w:p w:rsidR="006D2E30" w:rsidRPr="00577FD2" w:rsidRDefault="006D2E30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>No quinto parágrafo da página 3 foram realizadas as seguintes alterações: [...]</w:t>
      </w:r>
      <w:r w:rsidR="00CC2F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>primeiro interessava-nos pesquisar o jogo tradicional na zona rural, compreendendo as dificuldades e as exigências da vida no campo; segundo, porque esse município, caracterizado como essencialmente rural, faz parte da Região Metropolitana de João Pessoa, capital da Paraíba; terceiro, porque nas diferentes comunidades constituintes desse município, as crianças ainda brincam livremente pelas ruas, praças e rios. Nesse sentido, nos propomos a compreender o cotidiano das comunidades do Conde em relação aos jogos produzidos pelos sujeitos da própria comunidade, evidenciando neles a riqueza cultural vivida por crianças e adolescentes em seu tempo livre.</w:t>
      </w:r>
    </w:p>
    <w:p w:rsidR="00C3077B" w:rsidRPr="00577FD2" w:rsidRDefault="00C3077B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O pr</w:t>
      </w:r>
      <w:r w:rsidR="007D0070">
        <w:rPr>
          <w:rFonts w:ascii="Times New Roman" w:hAnsi="Times New Roman" w:cs="Times New Roman"/>
          <w:sz w:val="24"/>
          <w:szCs w:val="24"/>
          <w:shd w:val="clear" w:color="auto" w:fill="FFFFFF"/>
        </w:rPr>
        <w:t>imeiro parágrafo da página 4 teve a seguinte correção</w:t>
      </w: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O artigo se justifica pela pouca investigação nesse tipo de mapeamento, com honrosas exceções, a exemplo da pesquisa sobre os jogos tradicionais na região sul do Brasil, como manifestação pulsante e silenciada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vertAlign w:val="superscript"/>
        </w:rPr>
        <w:t>23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 Bem como os estudos que temos realizado no estado da Paraíba, com os jogos tradicionais praticados nas ruas e praças da cidade de João Pessoa/PB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vertAlign w:val="superscript"/>
        </w:rPr>
        <w:t>6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 na orla marítima urbana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vertAlign w:val="superscript"/>
        </w:rPr>
        <w:t>1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 na região ribeirinha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vertAlign w:val="superscript"/>
        </w:rPr>
        <w:t>24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 na cidade de Lucena/PB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vertAlign w:val="superscript"/>
        </w:rPr>
        <w:t>25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 no litoral sul da Paraíba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vertAlign w:val="superscript"/>
        </w:rPr>
        <w:t>26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e nas feiras livres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vertAlign w:val="superscript"/>
        </w:rPr>
        <w:t>27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</w:p>
    <w:p w:rsidR="006D2E30" w:rsidRPr="00577FD2" w:rsidRDefault="00C3077B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eastAsia="Calibri" w:hAnsi="Times New Roman" w:cs="Times New Roman"/>
          <w:sz w:val="24"/>
          <w:szCs w:val="24"/>
        </w:rPr>
        <w:t xml:space="preserve">No segundo parágrafo da página 4 foram realizadas as seguintes correções: </w:t>
      </w:r>
      <w:r w:rsidRPr="00187106">
        <w:rPr>
          <w:rFonts w:ascii="Times New Roman" w:eastAsia="Calibri" w:hAnsi="Times New Roman" w:cs="Times New Roman"/>
          <w:color w:val="FF0000"/>
          <w:sz w:val="24"/>
          <w:szCs w:val="24"/>
        </w:rPr>
        <w:t>De acordo com o IBGE</w:t>
      </w:r>
      <w:r w:rsidRPr="00187106">
        <w:rPr>
          <w:rFonts w:ascii="Times New Roman" w:eastAsia="Calibri" w:hAnsi="Times New Roman" w:cs="Times New Roman"/>
          <w:color w:val="FF0000"/>
          <w:sz w:val="24"/>
          <w:szCs w:val="24"/>
          <w:vertAlign w:val="superscript"/>
        </w:rPr>
        <w:t>28</w:t>
      </w:r>
      <w:r w:rsidRPr="00187106">
        <w:rPr>
          <w:rFonts w:ascii="Times New Roman" w:eastAsia="Calibri" w:hAnsi="Times New Roman" w:cs="Times New Roman"/>
          <w:color w:val="FF0000"/>
          <w:sz w:val="24"/>
          <w:szCs w:val="24"/>
        </w:rPr>
        <w:t>, a população de residentes no Conde resulta numa totalidade de 24.380 habitantes.</w:t>
      </w:r>
    </w:p>
    <w:p w:rsidR="00C3077B" w:rsidRPr="00577FD2" w:rsidRDefault="00C3077B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>No terceiro parágrafo da página 4 foram realizadas</w:t>
      </w:r>
      <w:r w:rsidR="007D00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seguintes alterações: </w:t>
      </w:r>
      <w:r w:rsidR="004F27E0" w:rsidRPr="004F27E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Utilizamos o método de observação direta, uma semana em horário diurno em dias letivos e finais de semana, visitando cada distrito do Conde, para fazer o levantamento dos espaços mais frequentados pelas crianças.</w:t>
      </w:r>
      <w:r w:rsidR="004F27E0" w:rsidRPr="004F27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D00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[...] </w:t>
      </w:r>
      <w:r w:rsidRPr="007D007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podemos considerar que 12 apresentam maiores características rurais com muitas áreas verdes, plantio em sítios e granjas, presença de rios e ruas de terra de difícil tráfego. Apenas uma das comunidades, a mais próxima do centro, possuía aspectos mais urbanos com ruas pavimentadas, iluminação pública e tráfego de automóveis. 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>As estradas de acesso a essas comunidades, na época da pesquisa, eram de difícil deslocamento, devido às condições do terreno.</w:t>
      </w:r>
    </w:p>
    <w:p w:rsidR="00C3077B" w:rsidRPr="00577FD2" w:rsidRDefault="00C3077B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Nas últimas linhas do quarto parágrafo da página 4 foram realizadas as seguintes alterações: 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Estas comunidades já eram de conhecimento de um dos pesquisadores que trabalhava numa das escolas da região e por meio dele identificamos nessas comunidades uma variedade de crianças brincando cm diferentes jogos. </w:t>
      </w:r>
    </w:p>
    <w:p w:rsidR="00C3077B" w:rsidRPr="004F27E0" w:rsidRDefault="00C3077B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 quinto parágrafo da página 4 foram realizadas as seguintes alterações: </w:t>
      </w:r>
      <w:r w:rsidRPr="007D0070">
        <w:rPr>
          <w:rFonts w:ascii="Times New Roman" w:eastAsia="Calibri" w:hAnsi="Times New Roman" w:cs="Times New Roman"/>
          <w:color w:val="FF0000"/>
          <w:sz w:val="24"/>
          <w:szCs w:val="24"/>
        </w:rPr>
        <w:t>A</w:t>
      </w:r>
      <w:r w:rsidRPr="007D007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pós escolhidos os locais de observação, os pesquisadores permaneciam ali registrando </w:t>
      </w:r>
      <w:r w:rsidRPr="004F27E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os jogos que ocorriam. Um dos pesquisadores conhecia melhor a região, por trabalhar diariamente no município.</w:t>
      </w:r>
    </w:p>
    <w:p w:rsidR="004F27E0" w:rsidRPr="004F27E0" w:rsidRDefault="004F27E0" w:rsidP="004F27E0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27E0">
        <w:rPr>
          <w:rFonts w:ascii="Times New Roman" w:eastAsia="Times New Roman" w:hAnsi="Times New Roman" w:cs="Times New Roman"/>
          <w:sz w:val="24"/>
          <w:szCs w:val="24"/>
          <w:lang w:eastAsia="pt-BR"/>
        </w:rPr>
        <w:t>No primeiro parágrafo da página 5 foram realizadas as seguintes alterações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Pr="004F27E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De acordo com Aguirre e Mello Filho</w:t>
      </w:r>
      <w:r w:rsidRPr="004F27E0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29</w:t>
      </w:r>
      <w:r w:rsidRPr="004F27E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, o conhecimento da superfície terrestre pode ser expresso a partir de mapas e cartas. De acordo com os autores, mapas e cartas se diferenciam quanto as suas escalas. O primeiro tem uma menor precisão, apresentando uma representação plana do espaço e é utilizado para fins ilustrativos, temáticos e culturais. As cartas são caracterizadas por sua precisão na avaliação e localização geográfica de distâncias, áreas e direções, por exemplo. Tendo essa uma representação plana em grande ou média escala. </w:t>
      </w:r>
    </w:p>
    <w:p w:rsidR="00C3077B" w:rsidRPr="00577FD2" w:rsidRDefault="00C3077B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>O segundo</w:t>
      </w:r>
      <w:r w:rsidR="004F27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parágrafo da página 5 passou a ter a </w:t>
      </w: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seguinte redação: 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>Assim diante dos objetivos da pesquisa desenvolvemos um mapa das regiões visitadas, por este se apresentar como um precioso instrumento de comunicação, facilitando a compreensão da realidade geográfico-cultural de cada comunidade</w:t>
      </w:r>
      <w:r w:rsidRPr="007D00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30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>. Este mapa tem a finalidade ilustrativa de informar a cultura lúdica de cada comunidade visitada pelos pesquisadores, explicitando a cultura de movimento daquele povo, seu modo de viver, especialmente do público infantil.</w:t>
      </w:r>
    </w:p>
    <w:p w:rsidR="005B1314" w:rsidRDefault="005B1314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>O último parágrafo da página 6 teve as seguintes alterações: [...]</w:t>
      </w:r>
      <w:r w:rsidR="007D00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F673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equipada ou um parque com quadras esportivas. Os lugares das brincadeiras escolhidos pelas crianças para brincar eram os mais diversos possíveis, como podemos constatar no quadro abaixo:</w:t>
      </w: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4007A" w:rsidRDefault="0024007A" w:rsidP="0024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4007A" w:rsidRDefault="0024007A" w:rsidP="0024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pt-BR"/>
        </w:rPr>
        <w:lastRenderedPageBreak/>
        <w:drawing>
          <wp:inline distT="0" distB="0" distL="0" distR="0" wp14:anchorId="64D4BFB4" wp14:editId="50CB52DA">
            <wp:extent cx="4904105" cy="2463800"/>
            <wp:effectExtent l="0" t="0" r="0" b="0"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105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07A" w:rsidRPr="0024007A" w:rsidRDefault="0024007A" w:rsidP="0024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A5ACC" w:rsidRPr="00577FD2" w:rsidRDefault="00F07547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primeiro parágrafo da página 7 teve a seguinte correção: 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Em se tratando de uma região de zona rural, marcada pelas dificuldades e pela ausência de incentivo a prática de lazer, </w:t>
      </w:r>
      <w:r w:rsidRPr="00577FD2">
        <w:rPr>
          <w:rFonts w:ascii="Times New Roman" w:hAnsi="Times New Roman" w:cs="Times New Roman"/>
          <w:sz w:val="24"/>
          <w:szCs w:val="24"/>
        </w:rPr>
        <w:t xml:space="preserve">[...]. </w:t>
      </w:r>
    </w:p>
    <w:p w:rsidR="007A5ACC" w:rsidRPr="007D0070" w:rsidRDefault="00F07547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>O segundo parágrafo da página teve as seguintes correções:</w:t>
      </w:r>
      <w:r w:rsidR="007D00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A partir das observações no período da coleta, constatamos a preferência das crianças pelas brincadeiras livres, visto que a maioria delas brincava sem a presença do adulto ou de um árbitro externo. T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>ratava-se uma brincadeira em que as crianças utilizavam o que tinham ao seu dispor para poderem brincar.</w:t>
      </w:r>
      <w:r w:rsidRPr="00577FD2">
        <w:rPr>
          <w:rFonts w:ascii="Times New Roman" w:hAnsi="Times New Roman" w:cs="Times New Roman"/>
          <w:sz w:val="24"/>
          <w:szCs w:val="24"/>
        </w:rPr>
        <w:t xml:space="preserve"> [...]. 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>Observamos que o lazer das crianças no Conde/PB caracterizava-se por uma liberdade de brincar, elas se reuniam nos mais diversos espaços, organizavam os materiais do jogo, bem como definiam durante a prática, as regras e a duração das atividades. Ou seja, as crianças, ao terem liberdade para brincar pelas ruas, terrenos e demais espaços, criavam diferentes brincadeiras.</w:t>
      </w:r>
    </w:p>
    <w:p w:rsidR="007A5ACC" w:rsidRPr="00577FD2" w:rsidRDefault="00F07547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terceiro parágrafo da página 8 teve as seguintes alterações: [...] 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por exemplo, desenvolve a imaginação e aprende a dialogar, respeitando a vez do outro entrar no carro e ser empurrado. As crianças que brincam de pular corda, aprendem a compartilhar um mesmo objeto, a respeitar as regras e </w:t>
      </w:r>
      <w:r w:rsidR="007D0070" w:rsidRPr="007D0070">
        <w:rPr>
          <w:rFonts w:ascii="Times New Roman" w:hAnsi="Times New Roman" w:cs="Times New Roman"/>
          <w:color w:val="FF0000"/>
          <w:sz w:val="24"/>
          <w:szCs w:val="24"/>
        </w:rPr>
        <w:t>auto avaliar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 sua capacidade física. As que brincam de puxar carrinho, põem a mão no chão, limpam o espaço, constroem pistas com obstáculos, e numa composição imaginária dialogam com pedras e areia disponíveis no terreno</w:t>
      </w:r>
      <w:r w:rsidRPr="007D00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35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7A5ACC" w:rsidRPr="00577FD2" w:rsidRDefault="00F07547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últimas linhas do quarto parágrafo da página 8 tiveram as seguintes alterações: [...] 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pelas crianças para o lazer, ele passou por uma transformação </w:t>
      </w:r>
      <w:proofErr w:type="spellStart"/>
      <w:r w:rsidRPr="007D0070">
        <w:rPr>
          <w:rFonts w:ascii="Times New Roman" w:hAnsi="Times New Roman" w:cs="Times New Roman"/>
          <w:color w:val="FF0000"/>
          <w:sz w:val="24"/>
          <w:szCs w:val="24"/>
        </w:rPr>
        <w:t>sígnica</w:t>
      </w:r>
      <w:proofErr w:type="spellEnd"/>
      <w:r w:rsidRPr="007D0070">
        <w:rPr>
          <w:rFonts w:ascii="Times New Roman" w:hAnsi="Times New Roman" w:cs="Times New Roman"/>
          <w:color w:val="FF0000"/>
          <w:sz w:val="24"/>
          <w:szCs w:val="24"/>
        </w:rPr>
        <w:t>, deixou de ser de utilidade pragmática para a ser espaço propício ao brincar.</w:t>
      </w:r>
    </w:p>
    <w:p w:rsidR="007A5ACC" w:rsidRPr="00577FD2" w:rsidRDefault="00F07547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 primeiro parágrafo da página 9 houveram as seguintes alterações: 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Foi na diversidade de atuação e de socialização, vividas nos jogos tradicionais, que destacamos algumas características. Uma delas é que muitas das brincadeiras observadas resultavam da construção de brinquedos, seja transformando </w:t>
      </w:r>
      <w:r w:rsidR="00367681">
        <w:rPr>
          <w:rFonts w:ascii="Times New Roman" w:hAnsi="Times New Roman" w:cs="Times New Roman"/>
          <w:color w:val="FF0000"/>
          <w:sz w:val="24"/>
          <w:szCs w:val="24"/>
        </w:rPr>
        <w:t>restos de materiais, como por exemplo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>, a construção do campinho de pregos, seja reutilizando</w:t>
      </w:r>
      <w:r w:rsidR="00367681">
        <w:rPr>
          <w:rFonts w:ascii="Times New Roman" w:hAnsi="Times New Roman" w:cs="Times New Roman"/>
          <w:color w:val="FF0000"/>
          <w:sz w:val="24"/>
          <w:szCs w:val="24"/>
        </w:rPr>
        <w:t xml:space="preserve"> materiais e objetos, como por exemplo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, a corrida de pneus. O jogo de </w:t>
      </w:r>
      <w:proofErr w:type="spellStart"/>
      <w:r w:rsidRPr="007D0070">
        <w:rPr>
          <w:rFonts w:ascii="Times New Roman" w:hAnsi="Times New Roman" w:cs="Times New Roman"/>
          <w:color w:val="FF0000"/>
          <w:sz w:val="24"/>
          <w:szCs w:val="24"/>
        </w:rPr>
        <w:t>travinha</w:t>
      </w:r>
      <w:proofErr w:type="spellEnd"/>
      <w:r w:rsidRPr="007D0070">
        <w:rPr>
          <w:rFonts w:ascii="Times New Roman" w:hAnsi="Times New Roman" w:cs="Times New Roman"/>
          <w:color w:val="FF0000"/>
          <w:sz w:val="24"/>
          <w:szCs w:val="24"/>
        </w:rPr>
        <w:t>, um dos mais presentes nas comunidades, consistia n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uma adaptação do futebol. É jogado com pequenas traves ou "gols", de variados tamanhos, vividos nas ruas, terrenos baldios, becos e praias. São dois ou mais jogadores em cada lado, cujo objetivo é fazer o gol no campo do adversário, geralmente sem goleiros. Todos atacam e defendem, sem um posicionamento fixo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vertAlign w:val="superscript"/>
        </w:rPr>
        <w:t>15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</w:p>
    <w:p w:rsidR="00090FA1" w:rsidRPr="00577FD2" w:rsidRDefault="00577FD2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No terceiro </w:t>
      </w:r>
      <w:r w:rsidR="00090FA1"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parágrafo da página 9 foram realizadas as seguintes alterações: </w:t>
      </w:r>
      <w:r w:rsidR="00090FA1"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Esses restos de materiais foram </w:t>
      </w:r>
      <w:proofErr w:type="spellStart"/>
      <w:r w:rsidR="00090FA1" w:rsidRPr="007D0070">
        <w:rPr>
          <w:rFonts w:ascii="Times New Roman" w:hAnsi="Times New Roman" w:cs="Times New Roman"/>
          <w:color w:val="FF0000"/>
          <w:sz w:val="24"/>
          <w:szCs w:val="24"/>
        </w:rPr>
        <w:t>ressignificados</w:t>
      </w:r>
      <w:proofErr w:type="spellEnd"/>
      <w:r w:rsidR="00090FA1"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 pelas crianças, saíram do uso comum, utilitário, e foram transformados em brinquedos. Daí nosso conceito de brinquedo como tudo aquilo que nos permite brincar. Como os brinquedos, em sua maioria, eram construídos de borracha, madeira, couro, tecido e metal, eles estabelecem um contraponto com os brinquedos exclusivamente de plásticos. 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>Estes não têm</w:t>
      </w:r>
      <w:r w:rsidR="00090FA1"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 odor, não tem parasitas, não é vivo nem morto, por isso mesmo, não evoca o passado. A rua, o chão batido, a terra, próprio das brincadeiras no Conde, são lugares inadequados ao funcionamento dos brinquedos atuais</w:t>
      </w:r>
      <w:r w:rsidR="00090FA1" w:rsidRPr="007D00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19</w:t>
      </w:r>
      <w:r w:rsidR="00090FA1" w:rsidRPr="007D0070">
        <w:rPr>
          <w:rFonts w:ascii="Times New Roman" w:hAnsi="Times New Roman" w:cs="Times New Roman"/>
          <w:color w:val="FF0000"/>
          <w:sz w:val="24"/>
          <w:szCs w:val="24"/>
        </w:rPr>
        <w:t>. Contudo, suspeitamos que são nesses espaços e manuseando estes materiais vivos que a imaginação desenvolve-se</w:t>
      </w:r>
      <w:r w:rsidR="00090FA1" w:rsidRPr="007D00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35</w:t>
      </w:r>
      <w:r w:rsidR="00090FA1"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7A5ACC" w:rsidRPr="00577FD2" w:rsidRDefault="00090FA1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>No início do quarto parágrafo da página 9 foi acrescentada a seguinte redação: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É na construção do próprio brinquedo que as crianças se inserem na cadeia da cultura. 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A exemplo do 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>futebol de pregos, construído num pedaço retangular de madeira, desenhado com caneta estereográfica e com jogadores representados pelos pregos, que a criança, como afirma Gomes-da-Silva</w:t>
      </w:r>
      <w:r w:rsidRPr="007D0070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 xml:space="preserve">37 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(p.68), passa a </w:t>
      </w:r>
      <w:r w:rsidRPr="00577FD2">
        <w:rPr>
          <w:rFonts w:ascii="Times New Roman" w:hAnsi="Times New Roman" w:cs="Times New Roman"/>
          <w:sz w:val="24"/>
          <w:szCs w:val="24"/>
        </w:rPr>
        <w:t xml:space="preserve">[...]. </w:t>
      </w:r>
    </w:p>
    <w:p w:rsidR="007A5ACC" w:rsidRPr="00577FD2" w:rsidRDefault="00577FD2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>A continuação do último</w:t>
      </w:r>
      <w:r w:rsidR="007D00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parágrafo da página 9, finalizado</w:t>
      </w: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já na pá</w:t>
      </w:r>
      <w:r w:rsidR="00090FA1"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gina 10, houveram as seguintes correções: [...] </w:t>
      </w:r>
      <w:r w:rsidR="00090FA1" w:rsidRPr="007D0070">
        <w:rPr>
          <w:rFonts w:ascii="Times New Roman" w:hAnsi="Times New Roman" w:cs="Times New Roman"/>
          <w:color w:val="FF0000"/>
          <w:sz w:val="24"/>
          <w:szCs w:val="24"/>
        </w:rPr>
        <w:t>até porque alguns dos materiais necessários não são vendidos em supermercados. As crianças coletam folhas de coqueiro para retirar-lhes os palitos. E fazem a “rabiola” reutilizando sacolas plásticas, cortadas em pequenas tiras. A linha, que é fabricada, era trazida da casa de cada um. Estes materiais não estruturados</w:t>
      </w:r>
      <w:r w:rsidR="007D0070"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D0070">
        <w:rPr>
          <w:rFonts w:ascii="Times New Roman" w:hAnsi="Times New Roman" w:cs="Times New Roman"/>
          <w:sz w:val="24"/>
          <w:szCs w:val="24"/>
        </w:rPr>
        <w:t xml:space="preserve">[...]. </w:t>
      </w:r>
    </w:p>
    <w:p w:rsidR="007A5ACC" w:rsidRPr="00577FD2" w:rsidRDefault="00090FA1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linhas iniciais do segundo parágrafo da página 10 tiveram as seguintes correções: 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>As transformações são inúmeras, por exemplo, as cordas que estavam sem utilidade, destinadas ao lixo, foram usadas na brincadeira de pular corda e na do “cabo de guerra”.</w:t>
      </w:r>
    </w:p>
    <w:p w:rsidR="00090FA1" w:rsidRPr="00577FD2" w:rsidRDefault="00090FA1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terceiro parágrafo da página 10 teve a seguintes alterações: 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Lembramos que todos os materiais foram </w:t>
      </w:r>
      <w:proofErr w:type="spellStart"/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ressignificados</w:t>
      </w:r>
      <w:proofErr w:type="spellEnd"/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como brinquedos, porém, nem todos foram construídos, como por exemplo, os pneus (corrida de carro), as cordas (cabo de guerra), as sandálias, pedras e cocos, utilizados para demarcar o “gol”. Como construção de brinquedos tivemos as caixas de papelão, os pedaços de madeira, as latas de leite e as folhas de coqueiro. Essa distinção entre o brinquedo </w:t>
      </w:r>
      <w:proofErr w:type="spellStart"/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ressignificado</w:t>
      </w:r>
      <w:proofErr w:type="spellEnd"/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e o construído não diminui a criação, imaginação e brincadeira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vertAlign w:val="superscript"/>
        </w:rPr>
        <w:t>42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</w:p>
    <w:p w:rsidR="007A5ACC" w:rsidRPr="00577FD2" w:rsidRDefault="007D0070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Na</w:t>
      </w:r>
      <w:r w:rsidR="00090FA1"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últimas linhas do segundo parágrafo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 página 11 houveram</w:t>
      </w:r>
      <w:r w:rsidR="00090FA1"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seguintes alterações: </w:t>
      </w:r>
      <w:r w:rsidR="002E7625" w:rsidRPr="007D0070">
        <w:rPr>
          <w:rFonts w:ascii="Times New Roman" w:hAnsi="Times New Roman" w:cs="Times New Roman"/>
          <w:color w:val="FF0000"/>
          <w:sz w:val="24"/>
          <w:szCs w:val="24"/>
        </w:rPr>
        <w:t>reutilizados, possibilitando uma forma do viver brincante da infância.</w:t>
      </w:r>
    </w:p>
    <w:p w:rsidR="007A5ACC" w:rsidRPr="00CC2F70" w:rsidRDefault="002E7625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quarto parágrafo da página 11 teve as seguintes alterações: [...] 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den</w:t>
      </w:r>
      <w:r w:rsidR="00577FD2"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ominamos de “atitude brincante”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vertAlign w:val="superscript"/>
        </w:rPr>
        <w:t>13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 caracteriza-se pela vontade de jogar, fazendo do entorno um tempo/espaço lúdico. Não foi por falta de materiais ou de espaços adequados que impediu as crianças de brincarem. Essa resiliência lúdica é que constitui cada um de nós, seja criança ou adulto, porque somos homo ludens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vertAlign w:val="superscript"/>
        </w:rPr>
        <w:t>10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 A brincadeira é uma construção sociocultural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vertAlign w:val="superscript"/>
        </w:rPr>
        <w:t>45</w:t>
      </w:r>
      <w:r w:rsidRPr="007D007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 dada nas relações criadas entre os brincantes e destes com o espaço físico-social. É uma construção humana de aprendizagem, satisfação e alegria.</w:t>
      </w:r>
    </w:p>
    <w:p w:rsidR="00577FD2" w:rsidRPr="00CC2F70" w:rsidRDefault="00CC2F70" w:rsidP="00577FD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F70">
        <w:rPr>
          <w:rFonts w:ascii="Times New Roman" w:hAnsi="Times New Roman" w:cs="Times New Roman"/>
          <w:sz w:val="24"/>
          <w:szCs w:val="24"/>
          <w:shd w:val="clear" w:color="auto" w:fill="FFFFFF"/>
        </w:rPr>
        <w:t>Nas R</w:t>
      </w:r>
      <w:r w:rsidR="00A27791" w:rsidRPr="00CC2F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eferências foram acrescentados os seguintes textos: </w:t>
      </w:r>
    </w:p>
    <w:p w:rsidR="00577FD2" w:rsidRPr="007D0070" w:rsidRDefault="00A27791" w:rsidP="00577FD2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1. Soares LES, Gomes-da-Silva PN. O mar e o risco: análise semiótica dos jogos praticados em praias do litoral paraibano. </w:t>
      </w:r>
      <w:proofErr w:type="spellStart"/>
      <w:r w:rsidRPr="007D0070">
        <w:rPr>
          <w:rFonts w:ascii="Times New Roman" w:hAnsi="Times New Roman" w:cs="Times New Roman"/>
          <w:color w:val="FF0000"/>
          <w:sz w:val="24"/>
          <w:szCs w:val="24"/>
        </w:rPr>
        <w:t>Licere</w:t>
      </w:r>
      <w:proofErr w:type="spellEnd"/>
      <w:r w:rsidRPr="007D0070">
        <w:rPr>
          <w:rFonts w:ascii="Times New Roman" w:hAnsi="Times New Roman" w:cs="Times New Roman"/>
          <w:color w:val="FF0000"/>
          <w:sz w:val="24"/>
          <w:szCs w:val="24"/>
        </w:rPr>
        <w:t>, 2017; 20 (3): 188-213.</w:t>
      </w:r>
    </w:p>
    <w:p w:rsidR="00577FD2" w:rsidRPr="007D0070" w:rsidRDefault="00A27791" w:rsidP="00577FD2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  <w:r w:rsidRPr="002E762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2. </w:t>
      </w:r>
      <w:proofErr w:type="spellStart"/>
      <w:r w:rsidRPr="002E7625">
        <w:rPr>
          <w:rFonts w:ascii="Times New Roman" w:eastAsia="Calibri" w:hAnsi="Times New Roman" w:cs="Times New Roman"/>
          <w:color w:val="FF0000"/>
          <w:sz w:val="24"/>
          <w:szCs w:val="24"/>
        </w:rPr>
        <w:t>Antério</w:t>
      </w:r>
      <w:proofErr w:type="spellEnd"/>
      <w:r w:rsidRPr="002E762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D, Gomes-da-Silva PN. Relação sociocultural dos brinquedos artesanais vendidos em feiras livres. Educação e Realidade. 2012; 37(3): 923-41.</w:t>
      </w:r>
      <w:r w:rsidR="00CC2F70" w:rsidRPr="007D007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2E7625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 xml:space="preserve">3. Sousa Cruz RW, </w:t>
      </w:r>
      <w:r w:rsidRPr="002E7625">
        <w:rPr>
          <w:rFonts w:ascii="Times New Roman" w:eastAsia="Calibri" w:hAnsi="Times New Roman" w:cs="Times New Roman"/>
          <w:color w:val="FF0000"/>
          <w:sz w:val="24"/>
          <w:szCs w:val="24"/>
        </w:rPr>
        <w:t>Gomes-da-Silva PN</w:t>
      </w:r>
      <w:r w:rsidRPr="002E7625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 xml:space="preserve">, Gomes-da-Silva E. Jogos livres na educação infantil: uma abordagem semiótica. </w:t>
      </w:r>
      <w:proofErr w:type="spellStart"/>
      <w:r w:rsidRPr="002E7625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>Kinesis</w:t>
      </w:r>
      <w:proofErr w:type="spellEnd"/>
      <w:r w:rsidRPr="002E7625">
        <w:rPr>
          <w:rFonts w:ascii="Times New Roman" w:hAnsi="Times New Roman" w:cs="Times New Roman"/>
          <w:color w:val="FF0000"/>
          <w:sz w:val="24"/>
          <w:szCs w:val="24"/>
          <w:lang w:eastAsia="pt-BR"/>
        </w:rPr>
        <w:t>. 2015; 33(2): 78-98.</w:t>
      </w:r>
    </w:p>
    <w:p w:rsidR="00577FD2" w:rsidRPr="007D0070" w:rsidRDefault="00A27791" w:rsidP="00577FD2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7625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4. Bezerra, AS.; Macedo, D.S.; Vieira, T.I.; Gomes-da-Silva, P.N. O brincar na infância e o professor de educação física. </w:t>
      </w:r>
      <w:proofErr w:type="spellStart"/>
      <w:r w:rsidRPr="002E7625">
        <w:rPr>
          <w:rFonts w:ascii="Times New Roman" w:hAnsi="Times New Roman" w:cs="Times New Roman"/>
          <w:color w:val="FF0000"/>
          <w:sz w:val="24"/>
          <w:szCs w:val="24"/>
        </w:rPr>
        <w:t>Licere</w:t>
      </w:r>
      <w:proofErr w:type="spellEnd"/>
      <w:r w:rsidRPr="002E7625">
        <w:rPr>
          <w:rFonts w:ascii="Times New Roman" w:hAnsi="Times New Roman" w:cs="Times New Roman"/>
          <w:color w:val="FF0000"/>
          <w:sz w:val="24"/>
          <w:szCs w:val="24"/>
        </w:rPr>
        <w:t>. 2014; 17 (1): 1-16.</w:t>
      </w:r>
    </w:p>
    <w:p w:rsidR="00577FD2" w:rsidRPr="007D0070" w:rsidRDefault="00A27791" w:rsidP="00577FD2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0070">
        <w:rPr>
          <w:rFonts w:ascii="Times New Roman" w:hAnsi="Times New Roman" w:cs="Times New Roman"/>
          <w:color w:val="FF0000"/>
          <w:sz w:val="24"/>
          <w:szCs w:val="24"/>
        </w:rPr>
        <w:t>5. Gomes-da-Silva PN. Semiótica dos jogos infantis. João Pessoa: Editora UFPB; 2015.</w:t>
      </w:r>
    </w:p>
    <w:p w:rsidR="00577FD2" w:rsidRPr="007D0070" w:rsidRDefault="00A27791" w:rsidP="00577FD2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9. Winnicott D. O brincar e a realidade. RJ: Imago, 1975” – “14. </w:t>
      </w:r>
      <w:proofErr w:type="spellStart"/>
      <w:r w:rsidRPr="007D0070">
        <w:rPr>
          <w:rFonts w:ascii="Times New Roman" w:hAnsi="Times New Roman" w:cs="Times New Roman"/>
          <w:color w:val="FF0000"/>
          <w:sz w:val="24"/>
          <w:szCs w:val="24"/>
        </w:rPr>
        <w:t>Caillois</w:t>
      </w:r>
      <w:proofErr w:type="spellEnd"/>
      <w:r w:rsidRPr="007D0070">
        <w:rPr>
          <w:rFonts w:ascii="Times New Roman" w:hAnsi="Times New Roman" w:cs="Times New Roman"/>
          <w:color w:val="FF0000"/>
          <w:sz w:val="24"/>
          <w:szCs w:val="24"/>
        </w:rPr>
        <w:t>, R. Os jogos e os homens: a máscara e a vertigem. Lisboa, Cotovia; 1990.</w:t>
      </w:r>
    </w:p>
    <w:p w:rsidR="00CC2F70" w:rsidRPr="007D0070" w:rsidRDefault="00A27791" w:rsidP="00577FD2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7625">
        <w:rPr>
          <w:rFonts w:ascii="Times New Roman" w:hAnsi="Times New Roman" w:cs="Times New Roman"/>
          <w:color w:val="FF0000"/>
          <w:sz w:val="24"/>
          <w:szCs w:val="24"/>
        </w:rPr>
        <w:t xml:space="preserve">15. Benjamin W. Reflexões: a criança, o brinquedo, a educação. São Paulo: </w:t>
      </w:r>
      <w:proofErr w:type="spellStart"/>
      <w:r w:rsidRPr="002E7625">
        <w:rPr>
          <w:rFonts w:ascii="Times New Roman" w:hAnsi="Times New Roman" w:cs="Times New Roman"/>
          <w:color w:val="FF0000"/>
          <w:sz w:val="24"/>
          <w:szCs w:val="24"/>
        </w:rPr>
        <w:t>Summus</w:t>
      </w:r>
      <w:proofErr w:type="spellEnd"/>
      <w:r w:rsidRPr="002E7625">
        <w:rPr>
          <w:rFonts w:ascii="Times New Roman" w:hAnsi="Times New Roman" w:cs="Times New Roman"/>
          <w:color w:val="FF0000"/>
          <w:sz w:val="24"/>
          <w:szCs w:val="24"/>
        </w:rPr>
        <w:t>; 1984.</w:t>
      </w:r>
    </w:p>
    <w:p w:rsidR="00CC2F70" w:rsidRPr="007D0070" w:rsidRDefault="00A27791" w:rsidP="00577FD2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7625">
        <w:rPr>
          <w:rFonts w:ascii="Times New Roman" w:hAnsi="Times New Roman" w:cs="Times New Roman"/>
          <w:color w:val="FF0000"/>
          <w:sz w:val="24"/>
          <w:szCs w:val="24"/>
        </w:rPr>
        <w:t xml:space="preserve">16. Piaget, J. A formação do símbolo na criança. SP: Mestre </w:t>
      </w:r>
      <w:proofErr w:type="spellStart"/>
      <w:r w:rsidRPr="002E7625">
        <w:rPr>
          <w:rFonts w:ascii="Times New Roman" w:hAnsi="Times New Roman" w:cs="Times New Roman"/>
          <w:color w:val="FF0000"/>
          <w:sz w:val="24"/>
          <w:szCs w:val="24"/>
        </w:rPr>
        <w:t>Jou</w:t>
      </w:r>
      <w:proofErr w:type="spellEnd"/>
      <w:r w:rsidRPr="002E7625">
        <w:rPr>
          <w:rFonts w:ascii="Times New Roman" w:hAnsi="Times New Roman" w:cs="Times New Roman"/>
          <w:color w:val="FF0000"/>
          <w:sz w:val="24"/>
          <w:szCs w:val="24"/>
        </w:rPr>
        <w:t>; 1977.</w:t>
      </w:r>
    </w:p>
    <w:p w:rsidR="00CC2F70" w:rsidRPr="007D0070" w:rsidRDefault="00A27791" w:rsidP="00577FD2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7625">
        <w:rPr>
          <w:rFonts w:ascii="Times New Roman" w:hAnsi="Times New Roman" w:cs="Times New Roman"/>
          <w:color w:val="FF0000"/>
          <w:sz w:val="24"/>
          <w:szCs w:val="24"/>
        </w:rPr>
        <w:t xml:space="preserve">17. </w:t>
      </w:r>
      <w:proofErr w:type="spellStart"/>
      <w:r w:rsidRPr="002E7625">
        <w:rPr>
          <w:rFonts w:ascii="Times New Roman" w:hAnsi="Times New Roman" w:cs="Times New Roman"/>
          <w:color w:val="FF0000"/>
          <w:sz w:val="24"/>
          <w:szCs w:val="24"/>
        </w:rPr>
        <w:t>Vigotsky</w:t>
      </w:r>
      <w:proofErr w:type="spellEnd"/>
      <w:r w:rsidRPr="002E7625">
        <w:rPr>
          <w:rFonts w:ascii="Times New Roman" w:hAnsi="Times New Roman" w:cs="Times New Roman"/>
          <w:color w:val="FF0000"/>
          <w:sz w:val="24"/>
          <w:szCs w:val="24"/>
        </w:rPr>
        <w:t>, LS. A formação social da mente. 5.ed. SP: Martins Fontes;1994.</w:t>
      </w:r>
    </w:p>
    <w:p w:rsidR="00CC2F70" w:rsidRPr="007D0070" w:rsidRDefault="00A27791" w:rsidP="00577FD2">
      <w:pPr>
        <w:pStyle w:val="PargrafodaLista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7D0070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pt-BR"/>
        </w:rPr>
        <w:t xml:space="preserve">23. Marin EC, Ribas JFM, </w:t>
      </w:r>
      <w:proofErr w:type="spellStart"/>
      <w:r w:rsidRPr="007D0070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pt-BR"/>
        </w:rPr>
        <w:t>Parlebas</w:t>
      </w:r>
      <w:proofErr w:type="spellEnd"/>
      <w:r w:rsidRPr="007D0070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pt-BR"/>
        </w:rPr>
        <w:t xml:space="preserve"> P, Stein, F, </w:t>
      </w:r>
      <w:proofErr w:type="spellStart"/>
      <w:r w:rsidRPr="007D0070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pt-BR"/>
        </w:rPr>
        <w:t>Crestani</w:t>
      </w:r>
      <w:proofErr w:type="spellEnd"/>
      <w:r w:rsidRPr="007D0070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pt-BR"/>
        </w:rPr>
        <w:t xml:space="preserve"> AV.</w:t>
      </w:r>
      <w:r w:rsidRPr="007D007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Jogos tradicionais no estado do Rio Grande do Sul: manifestação pulsante e silenciada. Movimento. 2012; 18 (3):73-94.</w:t>
      </w:r>
    </w:p>
    <w:p w:rsidR="00CC2F70" w:rsidRPr="007D0070" w:rsidRDefault="00A27791" w:rsidP="00577FD2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7625">
        <w:rPr>
          <w:rFonts w:ascii="Times New Roman" w:hAnsi="Times New Roman" w:cs="Times New Roman"/>
          <w:color w:val="FF0000"/>
          <w:sz w:val="24"/>
          <w:szCs w:val="24"/>
        </w:rPr>
        <w:t>24. Silva AJ. Brincadeiras populares nas comunidades ribeirinhas de João Pessoa/PB. [Monografia]. João Pessoa. Universidade Federal da Paraíba; 2014.</w:t>
      </w:r>
      <w:r w:rsidR="00CC2F70"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E7625">
        <w:rPr>
          <w:rFonts w:ascii="Times New Roman" w:hAnsi="Times New Roman" w:cs="Times New Roman"/>
          <w:color w:val="FF0000"/>
          <w:sz w:val="24"/>
          <w:szCs w:val="24"/>
        </w:rPr>
        <w:t>25. Carvalho GMP. Cartografia do lúdico: jogos praticados na cidade de Lucena-PB. [Monografia]. João Pessoa. Univer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>sidade Federal da Paraíba; 2016</w:t>
      </w:r>
      <w:r w:rsidR="00CC2F70"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CC2F70" w:rsidRPr="007D0070" w:rsidRDefault="00A27791" w:rsidP="00577FD2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7625">
        <w:rPr>
          <w:rFonts w:ascii="Times New Roman" w:hAnsi="Times New Roman" w:cs="Times New Roman"/>
          <w:color w:val="FF0000"/>
          <w:sz w:val="24"/>
          <w:szCs w:val="24"/>
        </w:rPr>
        <w:t xml:space="preserve">26. Pacheco, TH. Mapeamento dos jogos tradicionais praticados na </w:t>
      </w:r>
      <w:proofErr w:type="spellStart"/>
      <w:r w:rsidRPr="002E7625">
        <w:rPr>
          <w:rFonts w:ascii="Times New Roman" w:hAnsi="Times New Roman" w:cs="Times New Roman"/>
          <w:color w:val="FF0000"/>
          <w:sz w:val="24"/>
          <w:szCs w:val="24"/>
        </w:rPr>
        <w:t>microregião</w:t>
      </w:r>
      <w:proofErr w:type="spellEnd"/>
      <w:r w:rsidRPr="002E7625">
        <w:rPr>
          <w:rFonts w:ascii="Times New Roman" w:hAnsi="Times New Roman" w:cs="Times New Roman"/>
          <w:color w:val="FF0000"/>
          <w:sz w:val="24"/>
          <w:szCs w:val="24"/>
        </w:rPr>
        <w:t xml:space="preserve"> do litoral sul da Paraíba. [Monografia]. João Pessoa. Univer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>sidade Federal da Paraíba; 2016</w:t>
      </w:r>
      <w:r w:rsidR="00CC2F70"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CC2F70" w:rsidRPr="007D0070" w:rsidRDefault="00A27791" w:rsidP="00577FD2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0070">
        <w:rPr>
          <w:rFonts w:ascii="Times New Roman" w:hAnsi="Times New Roman" w:cs="Times New Roman"/>
          <w:color w:val="FF0000"/>
          <w:sz w:val="24"/>
          <w:szCs w:val="24"/>
        </w:rPr>
        <w:t>28. IBGE. Instituto Brasileiro de Geografia e Estatística. Censo Demográfic</w:t>
      </w:r>
      <w:r w:rsidR="00CC2F70" w:rsidRPr="007D0070">
        <w:rPr>
          <w:rFonts w:ascii="Times New Roman" w:hAnsi="Times New Roman" w:cs="Times New Roman"/>
          <w:color w:val="FF0000"/>
          <w:sz w:val="24"/>
          <w:szCs w:val="24"/>
        </w:rPr>
        <w:t>o: Município do Conde-PB; 2016.</w:t>
      </w:r>
    </w:p>
    <w:p w:rsidR="00CC2F70" w:rsidRPr="007D0070" w:rsidRDefault="00A27791" w:rsidP="00577FD2">
      <w:pPr>
        <w:pStyle w:val="PargrafodaLista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7D007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35. </w:t>
      </w:r>
      <w:proofErr w:type="spellStart"/>
      <w:r w:rsidRPr="007D0070">
        <w:rPr>
          <w:rFonts w:ascii="Times New Roman" w:eastAsia="Calibri" w:hAnsi="Times New Roman" w:cs="Times New Roman"/>
          <w:color w:val="FF0000"/>
          <w:sz w:val="24"/>
          <w:szCs w:val="24"/>
        </w:rPr>
        <w:t>Piorski</w:t>
      </w:r>
      <w:proofErr w:type="spellEnd"/>
      <w:r w:rsidRPr="007D007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, G. Brinquedos do chão: a natureza, o imaginário e o brincar. SP: </w:t>
      </w:r>
      <w:proofErr w:type="spellStart"/>
      <w:r w:rsidRPr="007D0070">
        <w:rPr>
          <w:rFonts w:ascii="Times New Roman" w:eastAsia="Calibri" w:hAnsi="Times New Roman" w:cs="Times New Roman"/>
          <w:color w:val="FF0000"/>
          <w:sz w:val="24"/>
          <w:szCs w:val="24"/>
        </w:rPr>
        <w:t>Peirópolis</w:t>
      </w:r>
      <w:proofErr w:type="spellEnd"/>
      <w:r w:rsidRPr="007D0070">
        <w:rPr>
          <w:rFonts w:ascii="Times New Roman" w:eastAsia="Calibri" w:hAnsi="Times New Roman" w:cs="Times New Roman"/>
          <w:color w:val="FF0000"/>
          <w:sz w:val="24"/>
          <w:szCs w:val="24"/>
        </w:rPr>
        <w:t>; 2016.</w:t>
      </w:r>
    </w:p>
    <w:p w:rsidR="007A5ACC" w:rsidRPr="007D0070" w:rsidRDefault="00A27791" w:rsidP="00CC2F70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0070">
        <w:rPr>
          <w:rFonts w:ascii="Times New Roman" w:hAnsi="Times New Roman" w:cs="Times New Roman"/>
          <w:color w:val="FF0000"/>
          <w:sz w:val="24"/>
          <w:szCs w:val="24"/>
        </w:rPr>
        <w:t xml:space="preserve">42. Oliveira MVF </w:t>
      </w:r>
      <w:r w:rsidRPr="007D0070">
        <w:rPr>
          <w:rFonts w:ascii="Times New Roman" w:hAnsi="Times New Roman" w:cs="Times New Roman"/>
          <w:i/>
          <w:color w:val="FF0000"/>
          <w:sz w:val="24"/>
          <w:szCs w:val="24"/>
        </w:rPr>
        <w:t>et al</w:t>
      </w:r>
      <w:r w:rsidRPr="007D0070">
        <w:rPr>
          <w:rFonts w:ascii="Times New Roman" w:hAnsi="Times New Roman" w:cs="Times New Roman"/>
          <w:color w:val="FF0000"/>
          <w:sz w:val="24"/>
          <w:szCs w:val="24"/>
        </w:rPr>
        <w:t>. Imagens lúdicas: um olhar sobre as tradições infantis. RN: Editora IFRN; 2010.</w:t>
      </w:r>
    </w:p>
    <w:p w:rsidR="007A5ACC" w:rsidRPr="00A27791" w:rsidRDefault="007A5ACC" w:rsidP="00577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CC" w:rsidRPr="00A27791" w:rsidRDefault="007A5ACC" w:rsidP="00577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CC" w:rsidRPr="00A27791" w:rsidRDefault="007A5ACC" w:rsidP="00577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CC" w:rsidRPr="00A27791" w:rsidRDefault="007A5ACC" w:rsidP="00577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CC" w:rsidRPr="00A27791" w:rsidRDefault="007A5ACC" w:rsidP="00577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CC" w:rsidRPr="00A27791" w:rsidRDefault="007A5ACC" w:rsidP="00577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5ACC" w:rsidRPr="00A277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95712"/>
    <w:multiLevelType w:val="hybridMultilevel"/>
    <w:tmpl w:val="3A9E2A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E6"/>
    <w:rsid w:val="00003972"/>
    <w:rsid w:val="00072AE6"/>
    <w:rsid w:val="00090FA1"/>
    <w:rsid w:val="00187106"/>
    <w:rsid w:val="0024007A"/>
    <w:rsid w:val="002E7625"/>
    <w:rsid w:val="00367681"/>
    <w:rsid w:val="004F27E0"/>
    <w:rsid w:val="004F6736"/>
    <w:rsid w:val="00577FD2"/>
    <w:rsid w:val="005B1314"/>
    <w:rsid w:val="006D2E30"/>
    <w:rsid w:val="007A5ACC"/>
    <w:rsid w:val="007D0070"/>
    <w:rsid w:val="00A27791"/>
    <w:rsid w:val="00A95EA4"/>
    <w:rsid w:val="00C3077B"/>
    <w:rsid w:val="00CC2F70"/>
    <w:rsid w:val="00F07547"/>
    <w:rsid w:val="00FE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209F3-6FB6-44AD-8709-D232EB6C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3972"/>
    <w:pPr>
      <w:ind w:left="720"/>
      <w:contextualSpacing/>
    </w:pPr>
  </w:style>
  <w:style w:type="table" w:styleId="Tabelacomgrade">
    <w:name w:val="Table Grid"/>
    <w:basedOn w:val="Tabelanormal"/>
    <w:uiPriority w:val="59"/>
    <w:rsid w:val="007A5ACC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4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6</Pages>
  <Words>2850</Words>
  <Characters>15393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Leys Eduardo</dc:creator>
  <cp:keywords/>
  <dc:description/>
  <cp:lastModifiedBy>Leys Eduardo</cp:lastModifiedBy>
  <cp:revision>7</cp:revision>
  <dcterms:created xsi:type="dcterms:W3CDTF">2017-11-09T11:09:00Z</dcterms:created>
  <dcterms:modified xsi:type="dcterms:W3CDTF">2017-11-09T16:06:00Z</dcterms:modified>
</cp:coreProperties>
</file>