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7F" w:rsidRPr="00D6780C" w:rsidRDefault="00924D7F" w:rsidP="00924D7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67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Prezado Prof. Dr. José </w:t>
      </w:r>
      <w:proofErr w:type="spellStart"/>
      <w:r w:rsidRPr="00D67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Angelo</w:t>
      </w:r>
      <w:proofErr w:type="spellEnd"/>
      <w:r w:rsidRPr="00D67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Divino</w:t>
      </w:r>
    </w:p>
    <w:p w:rsidR="00924D7F" w:rsidRPr="00D6780C" w:rsidRDefault="00924D7F" w:rsidP="00924D7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7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Editor da Revista Brasileira de Economia de Empresas (RBEE)</w:t>
      </w:r>
    </w:p>
    <w:p w:rsidR="00924D7F" w:rsidRPr="00D6780C" w:rsidRDefault="00924D7F" w:rsidP="00924D7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24D7F" w:rsidRPr="00D6780C" w:rsidRDefault="00924D7F" w:rsidP="00924D7F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D6780C">
        <w:rPr>
          <w:color w:val="000000" w:themeColor="text1"/>
        </w:rPr>
        <w:t xml:space="preserve">Gostaríamos de agradecer ao avaliador pelos valiosos comentários e sugestões que em muito contribuíram para melhorar a qualidade do manuscrito. A seguir, são descritas as observações do avaliador (em </w:t>
      </w:r>
      <w:r w:rsidR="00D25A7E">
        <w:rPr>
          <w:color w:val="000000" w:themeColor="text1"/>
        </w:rPr>
        <w:t>itálico</w:t>
      </w:r>
      <w:r w:rsidRPr="00D6780C">
        <w:rPr>
          <w:color w:val="000000" w:themeColor="text1"/>
        </w:rPr>
        <w:t>) com as respectivas respostas, assim como os locais em que as modificações foram realizadas no texto.</w:t>
      </w:r>
    </w:p>
    <w:p w:rsidR="00924D7F" w:rsidRPr="00D6780C" w:rsidRDefault="00924D7F" w:rsidP="00820330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D7F" w:rsidRPr="00D6780C" w:rsidRDefault="00924D7F" w:rsidP="00820330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215A" w:rsidRPr="00D25A7E" w:rsidRDefault="00924D7F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1)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Quanto à revisão da literatura (seção 2)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Por se tratar de um trabalho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essencialmente empírico, creio que a seção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de revisão da literatura deveria priorizar os principais estudos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relacionados ao tema que tiveram o mesmo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caráter, ao invés de enfatizar 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controvérsia existente entre as vertentes teóricas. Em duas passagens do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artigo, o(s) </w:t>
      </w:r>
      <w:proofErr w:type="gramStart"/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autor(</w:t>
      </w:r>
      <w:proofErr w:type="gramEnd"/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es) deixa(m) subentendido a existência de uma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literatura empírica sobre o tema (“Há poucos estudos empíricos acerca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de países emergentes, como é o caso do Brasil” - Seção de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introdução, primeiro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parágrafo da pág. 2; e “Trabalhos recentes têm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buscado usar técnicas econométricas para verificar qual variável,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investimento ou poupança, melhor prevê a outra” – Seção 6, primeiro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parágrafo da pág. 15), embora não faça(m) referência explícita a algum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estudo.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Acredito que a mudança sugerida ajudaria a identificar as lacunas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existentes na literatura empírica, o que não me pareceu </w:t>
      </w:r>
      <w:proofErr w:type="gramStart"/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claro</w:t>
      </w:r>
      <w:proofErr w:type="gramEnd"/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a partir da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leitura do artigo.</w:t>
      </w:r>
    </w:p>
    <w:p w:rsidR="00D617E1" w:rsidRPr="00D6780C" w:rsidRDefault="00D617E1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617E1" w:rsidRPr="00D6780C" w:rsidRDefault="00924D7F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i</w:t>
      </w:r>
      <w:r w:rsidR="00D617E1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ncluímos na</w:t>
      </w:r>
      <w:r w:rsidR="001906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D617E1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D617E1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</w:t>
      </w:r>
      <w:r w:rsidR="001906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ções</w:t>
      </w:r>
      <w:r w:rsidR="00D617E1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r w:rsidR="001906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</w:t>
      </w:r>
      <w:r w:rsidR="00D617E1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trodução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 w:rsidR="001906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 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“2. Revisão de Literatura” </w:t>
      </w:r>
      <w:r w:rsidR="00452D83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(páginas 2 a 4)</w:t>
      </w:r>
      <w:r w:rsidR="001906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resumos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906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 importantes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estudos empíricos sobre o tema, e</w:t>
      </w:r>
      <w:r w:rsidR="001906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buscamos minimizar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</w:t>
      </w:r>
      <w:r w:rsidR="001906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ênfase sobre 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controvérsia existente entre as vertentes teóricas (ortodoxos </w:t>
      </w:r>
      <w:r w:rsidRPr="00D6780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versus 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heterodoxos).</w:t>
      </w:r>
    </w:p>
    <w:p w:rsidR="00D617E1" w:rsidRPr="00D25A7E" w:rsidRDefault="0074215A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452D83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2) Quanto à apresentação dos dados e à análise econométrica (seções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4 e 5)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</w:r>
      <w:proofErr w:type="gramStart"/>
      <w:r w:rsidR="00452D83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proofErr w:type="gramEnd"/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2.1) A seção 4 apresentou os gráficos da poupança nacional bruta e do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investimento bruto em valores reais (deflacionadas pelo IGP-DI). A meu ver,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deveriam ser apresentados os gráficos das razões poupança/PIB e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investimento/PIB, que foram as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séries efetivamente utilizadas na análise.</w:t>
      </w:r>
    </w:p>
    <w:p w:rsidR="00D617E1" w:rsidRPr="00D6780C" w:rsidRDefault="00D617E1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452D83" w:rsidRPr="00D6780C" w:rsidRDefault="00924D7F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515B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 antigas Figuras 1 e 2 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foram substituídas pela atual Figura 1 do artigo (página </w:t>
      </w:r>
      <w:r w:rsidR="003177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13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D617E1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levando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-se</w:t>
      </w:r>
      <w:r w:rsidR="00D617E1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em consideração as variáveis 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r w:rsidR="00D617E1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oupança/PIB e 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r w:rsidR="00D617E1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nvestimento/PIB.</w:t>
      </w:r>
      <w:r w:rsidR="00452D83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52D83" w:rsidRPr="00D6780C" w:rsidRDefault="00452D83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820330" w:rsidRPr="00D25A7E" w:rsidRDefault="00452D83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2.2) A tabela 1 (seção 5) apresentou </w:t>
      </w:r>
      <w:proofErr w:type="gramStart"/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os resultados do teste de raiz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unitária</w:t>
      </w:r>
      <w:proofErr w:type="gramEnd"/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 concluindo pela estacionaridade das séries poupança/PIB e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investimento/PIB em nível. Contudo, há que se observar que a série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investimento/PIB não se mostrou estacionária (ou seja, não há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rejeição da hipótese nula) quando a equação do teste incluiu o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parâmetro determinístico da tendência, que pode ser relevante na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descrição daquela série (digo pode porque os gráficos das séries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efetivamente utilizadas não foram apresentados).</w:t>
      </w:r>
    </w:p>
    <w:p w:rsidR="00820330" w:rsidRPr="00D6780C" w:rsidRDefault="00820330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452D83" w:rsidRPr="00D6780C" w:rsidRDefault="00452D83" w:rsidP="00452D83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conforme já respondido no questionamento (2.1) anterior, 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as antigas Figuras 1 e 2 foram substituídas pela atual Figura 1 do artigo (página </w:t>
      </w:r>
      <w:r w:rsidR="003177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13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C72ED2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levando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-se</w:t>
      </w:r>
      <w:r w:rsidR="00C72ED2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em consideração as variáveis 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r w:rsidR="00C72ED2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oupança/PIB e </w:t>
      </w:r>
      <w:r w:rsidR="00C72E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r w:rsidR="00C72ED2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nvestimento/PIB</w:t>
      </w:r>
      <w:proofErr w:type="gramStart"/>
      <w:r w:rsidR="00C72ED2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</w:p>
    <w:p w:rsidR="007E228A" w:rsidRDefault="00452D83" w:rsidP="00452D83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Os resultados do teste de Saikkonenn-Lutkepohl (2002) corroboram os resultados da análise </w:t>
      </w:r>
      <w:r w:rsidR="00D32425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da </w:t>
      </w:r>
      <w:r w:rsidR="003177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Figura 1</w:t>
      </w:r>
      <w:r w:rsidR="00D32425"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ao indicar que a série investimento/PIB é estacionária em nível, em um modelo com constante apenas.</w:t>
      </w:r>
      <w:r w:rsidR="007E22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Não é possível determinar um padrão determinístico da tendência apenas pela análise gráfica.</w:t>
      </w:r>
    </w:p>
    <w:p w:rsidR="007E228A" w:rsidRDefault="007E228A" w:rsidP="00452D83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617E1" w:rsidRPr="00D25A7E" w:rsidRDefault="00D32425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2.3) Ainda com relação à tabela 1, sugiro que, além dos resultados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considerando uma mudança estrutural do tipo racional, também sejam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reportados os resultados do </w:t>
      </w:r>
      <w:proofErr w:type="gramStart"/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teste de raiz unitária com modelagens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alternativas</w:t>
      </w:r>
      <w:proofErr w:type="gramEnd"/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para a quebra (shift dummy, mudança exponencial), o que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permitirá um resultado mais confiável quanto à determinação da ordem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de integração de cada série. Em geral, a decisão sobre a forma mais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adequada para a modelagem da quebra em cada série é tomada com base na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análise dos resíduos das equações estimadas nos testes.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617E1" w:rsidRPr="00D6780C" w:rsidRDefault="00D617E1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25A7E" w:rsidRDefault="00D25A7E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concordamos com a opinião do parecerista anônimo. A Tabela 1 (página 1</w:t>
      </w:r>
      <w:r w:rsidR="00060D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reporta agora os resultados do Teste de </w:t>
      </w:r>
      <w:r w:rsidRPr="00AD2648">
        <w:rPr>
          <w:rFonts w:ascii="Times New Roman" w:hAnsi="Times New Roman" w:cs="Times New Roman"/>
          <w:sz w:val="24"/>
          <w:szCs w:val="24"/>
        </w:rPr>
        <w:t>Saikkonen e Lütkepohl (2002)</w:t>
      </w:r>
      <w:r>
        <w:rPr>
          <w:rFonts w:ascii="Times New Roman" w:hAnsi="Times New Roman" w:cs="Times New Roman"/>
          <w:sz w:val="24"/>
          <w:szCs w:val="24"/>
        </w:rPr>
        <w:t>, considerando-se os três tipos de quebra (</w:t>
      </w:r>
      <w:r w:rsidRPr="00D25A7E">
        <w:rPr>
          <w:rFonts w:ascii="Times New Roman" w:hAnsi="Times New Roman" w:cs="Times New Roman"/>
          <w:i/>
          <w:sz w:val="24"/>
          <w:szCs w:val="24"/>
        </w:rPr>
        <w:t>rational shift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5A7E">
        <w:rPr>
          <w:rFonts w:ascii="Times New Roman" w:hAnsi="Times New Roman" w:cs="Times New Roman"/>
          <w:i/>
          <w:sz w:val="24"/>
          <w:szCs w:val="24"/>
        </w:rPr>
        <w:t>shift dummy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D25A7E">
        <w:rPr>
          <w:rFonts w:ascii="Times New Roman" w:hAnsi="Times New Roman" w:cs="Times New Roman"/>
          <w:i/>
          <w:sz w:val="24"/>
          <w:szCs w:val="24"/>
        </w:rPr>
        <w:t>exponential shift</w:t>
      </w:r>
      <w:r>
        <w:rPr>
          <w:rFonts w:ascii="Times New Roman" w:hAnsi="Times New Roman" w:cs="Times New Roman"/>
          <w:sz w:val="24"/>
          <w:szCs w:val="24"/>
        </w:rPr>
        <w:t>). Os resultados obtidos sugerem se tratar de séries estacionárias em nível, ou seja, as series analisadas são I(0).</w:t>
      </w:r>
    </w:p>
    <w:p w:rsidR="00D25A7E" w:rsidRDefault="00D25A7E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617E1" w:rsidRPr="00D25A7E" w:rsidRDefault="004F4EC8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2.4) Os resultados obtidos nas análises de impulso-resposta e da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decomposição da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variância do erro de previsão podem ser mais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explorados. Por exemplo, a figura 4 (seção 5) sugere que a resposta da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taxa de poupança a um choque inesperado na taxa de investimento é mais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significativa ao longo dos períodos do que o contrário. Do mesmo modo, 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tabela 5 (seção 5) sugere maior dependência da taxa de poupança em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215A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relação à taxa de investimento do que o contrário.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617E1" w:rsidRDefault="00D617E1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4F4EC8" w:rsidRDefault="00DC6B53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concordamos com a opinião do parecerista anônimo.</w:t>
      </w:r>
      <w:r w:rsidR="00956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alterações foram feitas, de acordo com os dois primeiros parágrafos da página 14.</w:t>
      </w:r>
    </w:p>
    <w:p w:rsidR="004F4EC8" w:rsidRDefault="004F4EC8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C6B53" w:rsidRDefault="00DC6B53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74215A" w:rsidRPr="00D25A7E" w:rsidRDefault="0074215A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proofErr w:type="gramStart"/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2.5)</w:t>
      </w:r>
      <w:proofErr w:type="gramEnd"/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A fim de poder relacionar os resultados encontrados no trabalho com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sugestões de política econômica, aconselho os autores a estenderem a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análise na direção dos testes empíricos de exogeneidade fraca e super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exogeneidade para cada uma das variáveis. O primeiro conceito está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relacionado à eficiência das estimativas que tratam uma ou mais</w:t>
      </w:r>
      <w:r w:rsidR="00820330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variáveis como condicionadas. Já o conceito de super exogeneidade permite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atestar se uma ou mais variáveis podem ser utilizadas como instrumentos de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política. A referência teórica fundamental dos distintos conceitos de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exogeneidade está no artigo de Engle,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Hendry e Richard (Exogeneity.</w:t>
      </w:r>
      <w:r w:rsidR="00D617E1"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Econometrica</w:t>
      </w:r>
      <w:proofErr w:type="spellEnd"/>
      <w:r w:rsidRPr="00D25A7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 vol. 51(2), 1983).</w:t>
      </w:r>
    </w:p>
    <w:p w:rsidR="00820330" w:rsidRPr="00D6780C" w:rsidRDefault="00820330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B308A3" w:rsidRDefault="00B308A3" w:rsidP="0008600D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80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lastRenderedPageBreak/>
        <w:t>Resposta</w:t>
      </w:r>
      <w:r w:rsidRPr="00D678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86953">
        <w:rPr>
          <w:rFonts w:ascii="Times New Roman" w:hAnsi="Times New Roman" w:cs="Times New Roman"/>
          <w:sz w:val="24"/>
          <w:szCs w:val="24"/>
        </w:rPr>
        <w:t xml:space="preserve"> Tabela 4 </w:t>
      </w:r>
      <w:r>
        <w:rPr>
          <w:rFonts w:ascii="Times New Roman" w:hAnsi="Times New Roman" w:cs="Times New Roman"/>
          <w:sz w:val="24"/>
          <w:szCs w:val="24"/>
        </w:rPr>
        <w:t>reporta</w:t>
      </w:r>
      <w:r w:rsidRPr="00586953">
        <w:rPr>
          <w:rFonts w:ascii="Times New Roman" w:hAnsi="Times New Roman" w:cs="Times New Roman"/>
          <w:sz w:val="24"/>
          <w:szCs w:val="24"/>
        </w:rPr>
        <w:t xml:space="preserve"> os resultados da análise obtidos através do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86953">
        <w:rPr>
          <w:rFonts w:ascii="Times New Roman" w:hAnsi="Times New Roman" w:cs="Times New Roman"/>
          <w:sz w:val="24"/>
          <w:szCs w:val="24"/>
        </w:rPr>
        <w:t xml:space="preserve">este de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86953">
        <w:rPr>
          <w:rFonts w:ascii="Times New Roman" w:hAnsi="Times New Roman" w:cs="Times New Roman"/>
          <w:sz w:val="24"/>
          <w:szCs w:val="24"/>
        </w:rPr>
        <w:t>ausalidade de Granger</w:t>
      </w:r>
      <w:r>
        <w:rPr>
          <w:rFonts w:ascii="Times New Roman" w:hAnsi="Times New Roman" w:cs="Times New Roman"/>
          <w:sz w:val="24"/>
          <w:szCs w:val="24"/>
        </w:rPr>
        <w:t xml:space="preserve">/Teste de Wald para Exogeneidade por </w:t>
      </w:r>
      <w:proofErr w:type="gramStart"/>
      <w:r>
        <w:rPr>
          <w:rFonts w:ascii="Times New Roman" w:hAnsi="Times New Roman" w:cs="Times New Roman"/>
          <w:sz w:val="24"/>
          <w:szCs w:val="24"/>
        </w:rPr>
        <w:t>Blocos</w:t>
      </w:r>
      <w:r w:rsidRPr="00586953">
        <w:rPr>
          <w:rFonts w:ascii="Times New Roman" w:hAnsi="Times New Roman" w:cs="Times New Roman"/>
          <w:sz w:val="24"/>
          <w:szCs w:val="24"/>
        </w:rPr>
        <w:t xml:space="preserve"> aplicado aos dados brasileiros</w:t>
      </w:r>
      <w:r>
        <w:rPr>
          <w:rFonts w:ascii="Times New Roman" w:hAnsi="Times New Roman" w:cs="Times New Roman"/>
          <w:sz w:val="24"/>
          <w:szCs w:val="24"/>
        </w:rPr>
        <w:t>, permitindo identificar quais as variáveis que são fortemente exógenas</w:t>
      </w:r>
      <w:proofErr w:type="gramEnd"/>
      <w:r w:rsidRPr="005869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Assim como no Teste de Causalidade de Granger a hipótese nula é de não causalidade, a hipótese nula do Teste de Wald para Exogeneidade por Blocos é que a variável excluída não influencia o </w:t>
      </w:r>
      <w:r w:rsidRPr="003424B1">
        <w:rPr>
          <w:rFonts w:ascii="Times New Roman" w:hAnsi="Times New Roman" w:cs="Times New Roman"/>
          <w:sz w:val="24"/>
          <w:szCs w:val="24"/>
        </w:rPr>
        <w:t>modelo (ENDERS, 2010).</w:t>
      </w:r>
      <w:r>
        <w:rPr>
          <w:rFonts w:ascii="Times New Roman" w:hAnsi="Times New Roman" w:cs="Times New Roman"/>
          <w:sz w:val="24"/>
          <w:szCs w:val="24"/>
        </w:rPr>
        <w:t xml:space="preserve"> Em outras palavras, esse teste permite verificar também se algumas das variáveis incluídas no modelo como endógenas poderiam ser consideradas exógenas.</w:t>
      </w:r>
    </w:p>
    <w:p w:rsidR="00B308A3" w:rsidRPr="003F0E5C" w:rsidRDefault="00B308A3" w:rsidP="000860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Observa-se</w:t>
      </w:r>
      <w:r w:rsidRPr="00586953">
        <w:rPr>
          <w:rFonts w:ascii="Times New Roman" w:hAnsi="Times New Roman" w:cs="Times New Roman"/>
          <w:sz w:val="24"/>
          <w:szCs w:val="24"/>
        </w:rPr>
        <w:t xml:space="preserve"> uma </w:t>
      </w:r>
      <w:r>
        <w:rPr>
          <w:rFonts w:ascii="Times New Roman" w:hAnsi="Times New Roman" w:cs="Times New Roman"/>
          <w:sz w:val="24"/>
          <w:szCs w:val="24"/>
        </w:rPr>
        <w:t>relação</w:t>
      </w:r>
      <w:r w:rsidRPr="00586953">
        <w:rPr>
          <w:rFonts w:ascii="Times New Roman" w:hAnsi="Times New Roman" w:cs="Times New Roman"/>
          <w:sz w:val="24"/>
          <w:szCs w:val="24"/>
        </w:rPr>
        <w:t xml:space="preserve"> de bicausalidade de Granger</w:t>
      </w:r>
      <w:r>
        <w:rPr>
          <w:rFonts w:ascii="Times New Roman" w:hAnsi="Times New Roman" w:cs="Times New Roman"/>
          <w:sz w:val="24"/>
          <w:szCs w:val="24"/>
        </w:rPr>
        <w:t xml:space="preserve">, ao nível de significância de 1%, entre poupança e investimento para a economia brasileira, </w:t>
      </w:r>
      <w:r w:rsidRPr="00E332D8">
        <w:rPr>
          <w:rFonts w:ascii="Times New Roman" w:hAnsi="Times New Roman" w:cs="Times New Roman"/>
          <w:sz w:val="24"/>
          <w:szCs w:val="24"/>
        </w:rPr>
        <w:t xml:space="preserve">sugerindo </w:t>
      </w:r>
      <w:r>
        <w:rPr>
          <w:rFonts w:ascii="Times New Roman" w:hAnsi="Times New Roman" w:cs="Times New Roman"/>
          <w:sz w:val="24"/>
          <w:szCs w:val="24"/>
        </w:rPr>
        <w:t xml:space="preserve">não apenas </w:t>
      </w:r>
      <w:r w:rsidRPr="00E332D8">
        <w:rPr>
          <w:rFonts w:ascii="Times New Roman" w:hAnsi="Times New Roman" w:cs="Times New Roman"/>
          <w:sz w:val="24"/>
          <w:szCs w:val="24"/>
        </w:rPr>
        <w:t>que as decisões de política econômica em relação a essas duas variáveis devem ser tomadas conjuntamente</w:t>
      </w:r>
      <w:r>
        <w:rPr>
          <w:rFonts w:ascii="Times New Roman" w:hAnsi="Times New Roman" w:cs="Times New Roman"/>
          <w:sz w:val="24"/>
          <w:szCs w:val="24"/>
        </w:rPr>
        <w:t xml:space="preserve">, como </w:t>
      </w:r>
      <w:r w:rsidRPr="006A504B">
        <w:rPr>
          <w:rFonts w:ascii="Times New Roman" w:hAnsi="Times New Roman" w:cs="Times New Roman"/>
          <w:color w:val="000000" w:themeColor="text1"/>
          <w:sz w:val="24"/>
          <w:szCs w:val="24"/>
        </w:rPr>
        <w:t>também evidências da validade do enigma de Feldstein-Horioka. Note que nenhuma das variáveis pode ser considerada exógena no sistema.</w:t>
      </w:r>
    </w:p>
    <w:p w:rsidR="00820330" w:rsidRPr="00D6780C" w:rsidRDefault="00820330" w:rsidP="00D617E1">
      <w:pPr>
        <w:pStyle w:val="Pr-formataoHTML"/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sectPr w:rsidR="00820330" w:rsidRPr="00D6780C" w:rsidSect="007359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D667B"/>
    <w:multiLevelType w:val="hybridMultilevel"/>
    <w:tmpl w:val="1C6829D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904D3"/>
    <w:multiLevelType w:val="hybridMultilevel"/>
    <w:tmpl w:val="1DF816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4215A"/>
    <w:rsid w:val="00060D92"/>
    <w:rsid w:val="0008600D"/>
    <w:rsid w:val="00190693"/>
    <w:rsid w:val="00251406"/>
    <w:rsid w:val="002E7BF7"/>
    <w:rsid w:val="00317719"/>
    <w:rsid w:val="00391477"/>
    <w:rsid w:val="00452D83"/>
    <w:rsid w:val="004D2639"/>
    <w:rsid w:val="004F4EC8"/>
    <w:rsid w:val="00515B90"/>
    <w:rsid w:val="00642886"/>
    <w:rsid w:val="00660EDC"/>
    <w:rsid w:val="00735933"/>
    <w:rsid w:val="0074215A"/>
    <w:rsid w:val="00787ACF"/>
    <w:rsid w:val="007E228A"/>
    <w:rsid w:val="00820330"/>
    <w:rsid w:val="00924D7F"/>
    <w:rsid w:val="0095665E"/>
    <w:rsid w:val="00956C42"/>
    <w:rsid w:val="00B308A3"/>
    <w:rsid w:val="00C05D40"/>
    <w:rsid w:val="00C64BEB"/>
    <w:rsid w:val="00C72ED2"/>
    <w:rsid w:val="00D25A7E"/>
    <w:rsid w:val="00D32425"/>
    <w:rsid w:val="00D617E1"/>
    <w:rsid w:val="00D6780C"/>
    <w:rsid w:val="00DC6B53"/>
    <w:rsid w:val="00E22949"/>
    <w:rsid w:val="00E4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9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7421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4215A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NormalWeb">
    <w:name w:val="Normal (Web)"/>
    <w:basedOn w:val="Normal"/>
    <w:rsid w:val="0092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7421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4215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MarcelaLaiz</dc:creator>
  <cp:lastModifiedBy>Acer</cp:lastModifiedBy>
  <cp:revision>15</cp:revision>
  <dcterms:created xsi:type="dcterms:W3CDTF">2013-09-09T13:26:00Z</dcterms:created>
  <dcterms:modified xsi:type="dcterms:W3CDTF">2013-09-30T01:36:00Z</dcterms:modified>
</cp:coreProperties>
</file>