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4DF" w:rsidRPr="001E1327" w:rsidRDefault="002374DF" w:rsidP="001E1327">
      <w:pPr>
        <w:jc w:val="center"/>
        <w:rPr>
          <w:rFonts w:ascii="Times New Roman" w:hAnsi="Times New Roman" w:cs="Times New Roman"/>
          <w:b/>
          <w:sz w:val="24"/>
          <w:szCs w:val="24"/>
        </w:rPr>
      </w:pPr>
      <w:r w:rsidRPr="001E1327">
        <w:rPr>
          <w:rFonts w:ascii="Times New Roman" w:hAnsi="Times New Roman" w:cs="Times New Roman"/>
          <w:b/>
          <w:sz w:val="24"/>
          <w:szCs w:val="24"/>
        </w:rPr>
        <w:t xml:space="preserve">Causalidade </w:t>
      </w:r>
      <w:r w:rsidR="00F65F76" w:rsidRPr="001E1327">
        <w:rPr>
          <w:rFonts w:ascii="Times New Roman" w:hAnsi="Times New Roman" w:cs="Times New Roman"/>
          <w:b/>
          <w:sz w:val="24"/>
          <w:szCs w:val="24"/>
        </w:rPr>
        <w:t xml:space="preserve">Temporal </w:t>
      </w:r>
      <w:r w:rsidRPr="001E1327">
        <w:rPr>
          <w:rFonts w:ascii="Times New Roman" w:hAnsi="Times New Roman" w:cs="Times New Roman"/>
          <w:b/>
          <w:sz w:val="24"/>
          <w:szCs w:val="24"/>
        </w:rPr>
        <w:t>entre Poupança e Investimento no Brasil</w:t>
      </w:r>
      <w:r w:rsidR="00F65F76" w:rsidRPr="001E1327">
        <w:rPr>
          <w:rFonts w:ascii="Times New Roman" w:hAnsi="Times New Roman" w:cs="Times New Roman"/>
          <w:b/>
          <w:sz w:val="24"/>
          <w:szCs w:val="24"/>
        </w:rPr>
        <w:t xml:space="preserve">, 1995 a </w:t>
      </w:r>
      <w:proofErr w:type="gramStart"/>
      <w:r w:rsidR="00F65F76" w:rsidRPr="001E1327">
        <w:rPr>
          <w:rFonts w:ascii="Times New Roman" w:hAnsi="Times New Roman" w:cs="Times New Roman"/>
          <w:b/>
          <w:sz w:val="24"/>
          <w:szCs w:val="24"/>
        </w:rPr>
        <w:t>2012</w:t>
      </w:r>
      <w:proofErr w:type="gramEnd"/>
    </w:p>
    <w:p w:rsidR="00A7687D" w:rsidRPr="00E332D8" w:rsidRDefault="00A7687D" w:rsidP="00230341">
      <w:pPr>
        <w:widowControl w:val="0"/>
        <w:autoSpaceDE w:val="0"/>
        <w:autoSpaceDN w:val="0"/>
        <w:adjustRightInd w:val="0"/>
        <w:spacing w:after="0" w:line="360" w:lineRule="auto"/>
        <w:rPr>
          <w:rFonts w:ascii="Times New Roman" w:hAnsi="Times New Roman" w:cs="Times New Roman"/>
          <w:sz w:val="24"/>
          <w:szCs w:val="24"/>
        </w:rPr>
      </w:pPr>
    </w:p>
    <w:p w:rsidR="002374DF" w:rsidRPr="00E332D8" w:rsidRDefault="002374DF" w:rsidP="00230341">
      <w:pPr>
        <w:widowControl w:val="0"/>
        <w:autoSpaceDE w:val="0"/>
        <w:autoSpaceDN w:val="0"/>
        <w:adjustRightInd w:val="0"/>
        <w:spacing w:after="0" w:line="360" w:lineRule="auto"/>
        <w:rPr>
          <w:rFonts w:ascii="Times New Roman" w:hAnsi="Times New Roman" w:cs="Times New Roman"/>
          <w:sz w:val="24"/>
          <w:szCs w:val="24"/>
        </w:rPr>
      </w:pPr>
    </w:p>
    <w:p w:rsidR="002374DF" w:rsidRPr="00E332D8" w:rsidRDefault="002374DF" w:rsidP="00230341">
      <w:pPr>
        <w:spacing w:after="0" w:line="360" w:lineRule="auto"/>
        <w:rPr>
          <w:rFonts w:ascii="Times New Roman" w:hAnsi="Times New Roman" w:cs="Times New Roman"/>
          <w:b/>
          <w:sz w:val="24"/>
          <w:szCs w:val="24"/>
        </w:rPr>
      </w:pPr>
      <w:r w:rsidRPr="00E332D8">
        <w:rPr>
          <w:rFonts w:ascii="Times New Roman" w:hAnsi="Times New Roman" w:cs="Times New Roman"/>
          <w:b/>
          <w:sz w:val="24"/>
          <w:szCs w:val="24"/>
        </w:rPr>
        <w:t>Resumo</w:t>
      </w:r>
    </w:p>
    <w:p w:rsidR="00C8561C" w:rsidRDefault="002374DF" w:rsidP="00230341">
      <w:pPr>
        <w:spacing w:after="0" w:line="360" w:lineRule="auto"/>
        <w:jc w:val="both"/>
        <w:rPr>
          <w:rFonts w:ascii="Times New Roman" w:hAnsi="Times New Roman" w:cs="Times New Roman"/>
          <w:color w:val="FF0000"/>
          <w:sz w:val="24"/>
          <w:szCs w:val="24"/>
        </w:rPr>
      </w:pPr>
      <w:r w:rsidRPr="00E332D8">
        <w:rPr>
          <w:rFonts w:ascii="Times New Roman" w:hAnsi="Times New Roman" w:cs="Times New Roman"/>
          <w:sz w:val="24"/>
          <w:szCs w:val="24"/>
        </w:rPr>
        <w:t xml:space="preserve">Esse estudo </w:t>
      </w:r>
      <w:r w:rsidR="007E4BA6">
        <w:rPr>
          <w:rFonts w:ascii="Times New Roman" w:hAnsi="Times New Roman" w:cs="Times New Roman"/>
          <w:sz w:val="24"/>
          <w:szCs w:val="24"/>
        </w:rPr>
        <w:t>investiga</w:t>
      </w:r>
      <w:r w:rsidRPr="00E332D8">
        <w:rPr>
          <w:rFonts w:ascii="Times New Roman" w:hAnsi="Times New Roman" w:cs="Times New Roman"/>
          <w:sz w:val="24"/>
          <w:szCs w:val="24"/>
        </w:rPr>
        <w:t xml:space="preserve"> a relação entre poupança e investimento no Brasil durante o período 1995 a 2012. Os resultados obtidos de um modelo VAR</w:t>
      </w:r>
      <w:r w:rsidR="0003526E">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bicausalidade de Granger, sugerindo </w:t>
      </w:r>
      <w:r w:rsidR="00F176ED">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sidR="001A743E">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sidR="00F176ED">
        <w:rPr>
          <w:rFonts w:ascii="Times New Roman" w:hAnsi="Times New Roman" w:cs="Times New Roman"/>
          <w:sz w:val="24"/>
          <w:szCs w:val="24"/>
        </w:rPr>
        <w:t xml:space="preserve">, como também </w:t>
      </w:r>
      <w:r w:rsidR="00415969">
        <w:rPr>
          <w:rFonts w:ascii="Times New Roman" w:hAnsi="Times New Roman" w:cs="Times New Roman"/>
          <w:sz w:val="24"/>
          <w:szCs w:val="24"/>
        </w:rPr>
        <w:t>evidências d</w:t>
      </w:r>
      <w:r w:rsidR="00F176ED">
        <w:rPr>
          <w:rFonts w:ascii="Times New Roman" w:hAnsi="Times New Roman" w:cs="Times New Roman"/>
          <w:sz w:val="24"/>
          <w:szCs w:val="24"/>
        </w:rPr>
        <w:t>a validade do enigma de Feldstein-Horioka</w:t>
      </w:r>
      <w:r w:rsidRPr="00E332D8">
        <w:rPr>
          <w:rFonts w:ascii="Times New Roman" w:hAnsi="Times New Roman" w:cs="Times New Roman"/>
          <w:sz w:val="24"/>
          <w:szCs w:val="24"/>
        </w:rPr>
        <w:t>.</w:t>
      </w:r>
      <w:r w:rsidR="00C8561C">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r w:rsidRPr="006A504B">
        <w:rPr>
          <w:rFonts w:ascii="Times New Roman" w:hAnsi="Times New Roman" w:cs="Times New Roman"/>
          <w:color w:val="FF0000"/>
          <w:sz w:val="24"/>
          <w:szCs w:val="24"/>
        </w:rPr>
        <w:t xml:space="preserve"> </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rPr>
      </w:pPr>
      <w:r w:rsidRPr="003E0504">
        <w:rPr>
          <w:rFonts w:ascii="Times New Roman" w:hAnsi="Times New Roman" w:cs="Times New Roman"/>
          <w:bCs/>
          <w:spacing w:val="1"/>
          <w:sz w:val="24"/>
          <w:szCs w:val="24"/>
        </w:rPr>
        <w:t>Pala</w:t>
      </w:r>
      <w:r w:rsidRPr="003E0504">
        <w:rPr>
          <w:rFonts w:ascii="Times New Roman" w:hAnsi="Times New Roman" w:cs="Times New Roman"/>
          <w:bCs/>
          <w:spacing w:val="-4"/>
          <w:sz w:val="24"/>
          <w:szCs w:val="24"/>
        </w:rPr>
        <w:t>v</w:t>
      </w:r>
      <w:r w:rsidRPr="003E0504">
        <w:rPr>
          <w:rFonts w:ascii="Times New Roman" w:hAnsi="Times New Roman" w:cs="Times New Roman"/>
          <w:bCs/>
          <w:sz w:val="24"/>
          <w:szCs w:val="24"/>
        </w:rPr>
        <w:t>r</w:t>
      </w:r>
      <w:r w:rsidRPr="003E0504">
        <w:rPr>
          <w:rFonts w:ascii="Times New Roman" w:hAnsi="Times New Roman" w:cs="Times New Roman"/>
          <w:bCs/>
          <w:spacing w:val="1"/>
          <w:sz w:val="24"/>
          <w:szCs w:val="24"/>
        </w:rPr>
        <w:t>a</w:t>
      </w:r>
      <w:r w:rsidRPr="003E0504">
        <w:rPr>
          <w:rFonts w:ascii="Times New Roman" w:hAnsi="Times New Roman" w:cs="Times New Roman"/>
          <w:bCs/>
          <w:sz w:val="24"/>
          <w:szCs w:val="24"/>
        </w:rPr>
        <w:t>s</w:t>
      </w:r>
      <w:r w:rsidRPr="003E0504">
        <w:rPr>
          <w:rFonts w:ascii="Times New Roman" w:hAnsi="Times New Roman" w:cs="Times New Roman"/>
          <w:bCs/>
          <w:spacing w:val="9"/>
          <w:sz w:val="24"/>
          <w:szCs w:val="24"/>
        </w:rPr>
        <w:t>-</w:t>
      </w:r>
      <w:r w:rsidRPr="003E0504">
        <w:rPr>
          <w:rFonts w:ascii="Times New Roman" w:hAnsi="Times New Roman" w:cs="Times New Roman"/>
          <w:bCs/>
          <w:spacing w:val="1"/>
          <w:sz w:val="24"/>
          <w:szCs w:val="24"/>
        </w:rPr>
        <w:t>c</w:t>
      </w:r>
      <w:r w:rsidRPr="003E0504">
        <w:rPr>
          <w:rFonts w:ascii="Times New Roman" w:hAnsi="Times New Roman" w:cs="Times New Roman"/>
          <w:bCs/>
          <w:sz w:val="24"/>
          <w:szCs w:val="24"/>
        </w:rPr>
        <w:t>h</w:t>
      </w:r>
      <w:r w:rsidRPr="003E0504">
        <w:rPr>
          <w:rFonts w:ascii="Times New Roman" w:hAnsi="Times New Roman" w:cs="Times New Roman"/>
          <w:bCs/>
          <w:spacing w:val="1"/>
          <w:sz w:val="24"/>
          <w:szCs w:val="24"/>
        </w:rPr>
        <w:t>a</w:t>
      </w:r>
      <w:r w:rsidRPr="003E0504">
        <w:rPr>
          <w:rFonts w:ascii="Times New Roman" w:hAnsi="Times New Roman" w:cs="Times New Roman"/>
          <w:bCs/>
          <w:spacing w:val="-4"/>
          <w:sz w:val="24"/>
          <w:szCs w:val="24"/>
        </w:rPr>
        <w:t>v</w:t>
      </w:r>
      <w:r w:rsidRPr="003E0504">
        <w:rPr>
          <w:rFonts w:ascii="Times New Roman" w:hAnsi="Times New Roman" w:cs="Times New Roman"/>
          <w:bCs/>
          <w:spacing w:val="1"/>
          <w:sz w:val="24"/>
          <w:szCs w:val="24"/>
        </w:rPr>
        <w:t>e</w:t>
      </w:r>
      <w:r w:rsidRPr="003E0504">
        <w:rPr>
          <w:rFonts w:ascii="Times New Roman" w:hAnsi="Times New Roman" w:cs="Times New Roman"/>
          <w:bCs/>
          <w:sz w:val="24"/>
          <w:szCs w:val="24"/>
        </w:rPr>
        <w:t>:</w:t>
      </w:r>
      <w:r w:rsidRPr="00E332D8">
        <w:rPr>
          <w:rFonts w:ascii="Times New Roman" w:hAnsi="Times New Roman" w:cs="Times New Roman"/>
          <w:b/>
          <w:bCs/>
          <w:spacing w:val="10"/>
          <w:sz w:val="24"/>
          <w:szCs w:val="24"/>
        </w:rPr>
        <w:t xml:space="preserve"> </w:t>
      </w:r>
      <w:r w:rsidRPr="00E332D8">
        <w:rPr>
          <w:rFonts w:ascii="Times New Roman" w:hAnsi="Times New Roman" w:cs="Times New Roman"/>
          <w:sz w:val="24"/>
          <w:szCs w:val="24"/>
        </w:rPr>
        <w:t xml:space="preserve">Poupança; Investimento; </w:t>
      </w:r>
      <w:r w:rsidR="003E0504">
        <w:rPr>
          <w:rFonts w:ascii="Times New Roman" w:hAnsi="Times New Roman" w:cs="Times New Roman"/>
          <w:sz w:val="24"/>
          <w:szCs w:val="24"/>
        </w:rPr>
        <w:t xml:space="preserve">Teste de </w:t>
      </w:r>
      <w:r w:rsidRPr="00E332D8">
        <w:rPr>
          <w:rFonts w:ascii="Times New Roman" w:hAnsi="Times New Roman" w:cs="Times New Roman"/>
          <w:sz w:val="24"/>
          <w:szCs w:val="24"/>
        </w:rPr>
        <w:t>Causalidade de Granger.</w:t>
      </w:r>
    </w:p>
    <w:p w:rsidR="00A7687D" w:rsidRPr="00C22E20" w:rsidRDefault="00A7687D" w:rsidP="00C22E20">
      <w:pPr>
        <w:jc w:val="both"/>
        <w:rPr>
          <w:rFonts w:ascii="Times New Roman" w:hAnsi="Times New Roman" w:cs="Times New Roman"/>
          <w:sz w:val="24"/>
          <w:szCs w:val="24"/>
        </w:rPr>
      </w:pPr>
    </w:p>
    <w:p w:rsidR="002374DF" w:rsidRPr="00C22E20" w:rsidRDefault="002374DF" w:rsidP="00C22E20">
      <w:pPr>
        <w:jc w:val="both"/>
        <w:rPr>
          <w:rFonts w:ascii="Times New Roman" w:hAnsi="Times New Roman" w:cs="Times New Roman"/>
          <w:b/>
          <w:sz w:val="24"/>
          <w:szCs w:val="24"/>
        </w:rPr>
      </w:pPr>
      <w:r w:rsidRPr="00C22E20">
        <w:rPr>
          <w:rFonts w:ascii="Times New Roman" w:hAnsi="Times New Roman" w:cs="Times New Roman"/>
          <w:b/>
          <w:sz w:val="24"/>
          <w:szCs w:val="24"/>
        </w:rPr>
        <w:t>Abstract</w:t>
      </w:r>
    </w:p>
    <w:p w:rsidR="001A743E" w:rsidRPr="00C22E20" w:rsidRDefault="001A743E" w:rsidP="00C22E20">
      <w:pPr>
        <w:spacing w:line="360" w:lineRule="auto"/>
        <w:jc w:val="both"/>
        <w:rPr>
          <w:rFonts w:ascii="Times New Roman" w:hAnsi="Times New Roman" w:cs="Times New Roman"/>
          <w:sz w:val="24"/>
          <w:szCs w:val="24"/>
        </w:rPr>
      </w:pPr>
      <w:proofErr w:type="spellStart"/>
      <w:r w:rsidRPr="00C22E20">
        <w:rPr>
          <w:rFonts w:ascii="Times New Roman" w:hAnsi="Times New Roman" w:cs="Times New Roman"/>
          <w:sz w:val="24"/>
          <w:szCs w:val="24"/>
        </w:rPr>
        <w:t>This</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study</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investigates</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relationship</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between</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savings</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and</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investment</w:t>
      </w:r>
      <w:proofErr w:type="spellEnd"/>
      <w:r w:rsidRPr="00C22E20">
        <w:rPr>
          <w:rFonts w:ascii="Times New Roman" w:hAnsi="Times New Roman" w:cs="Times New Roman"/>
          <w:sz w:val="24"/>
          <w:szCs w:val="24"/>
        </w:rPr>
        <w:t xml:space="preserve"> in </w:t>
      </w:r>
      <w:proofErr w:type="spellStart"/>
      <w:r w:rsidRPr="00C22E20">
        <w:rPr>
          <w:rFonts w:ascii="Times New Roman" w:hAnsi="Times New Roman" w:cs="Times New Roman"/>
          <w:sz w:val="24"/>
          <w:szCs w:val="24"/>
        </w:rPr>
        <w:t>Brazil</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during</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period</w:t>
      </w:r>
      <w:proofErr w:type="spellEnd"/>
      <w:r w:rsidRPr="00C22E20">
        <w:rPr>
          <w:rFonts w:ascii="Times New Roman" w:hAnsi="Times New Roman" w:cs="Times New Roman"/>
          <w:sz w:val="24"/>
          <w:szCs w:val="24"/>
        </w:rPr>
        <w:t xml:space="preserve"> 1995-2012.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results</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obtained</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from</w:t>
      </w:r>
      <w:proofErr w:type="spellEnd"/>
      <w:r w:rsidRPr="00C22E20">
        <w:rPr>
          <w:rFonts w:ascii="Times New Roman" w:hAnsi="Times New Roman" w:cs="Times New Roman"/>
          <w:sz w:val="24"/>
          <w:szCs w:val="24"/>
        </w:rPr>
        <w:t xml:space="preserve"> a VAR </w:t>
      </w:r>
      <w:proofErr w:type="spellStart"/>
      <w:r w:rsidRPr="00C22E20">
        <w:rPr>
          <w:rFonts w:ascii="Times New Roman" w:hAnsi="Times New Roman" w:cs="Times New Roman"/>
          <w:sz w:val="24"/>
          <w:szCs w:val="24"/>
        </w:rPr>
        <w:t>model</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with</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structural</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breaks</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indicate</w:t>
      </w:r>
      <w:proofErr w:type="spellEnd"/>
      <w:r w:rsidRPr="00C22E20">
        <w:rPr>
          <w:rFonts w:ascii="Times New Roman" w:hAnsi="Times New Roman" w:cs="Times New Roman"/>
          <w:sz w:val="24"/>
          <w:szCs w:val="24"/>
        </w:rPr>
        <w:t xml:space="preserve"> Granger </w:t>
      </w:r>
      <w:proofErr w:type="spellStart"/>
      <w:r w:rsidRPr="00C22E20">
        <w:rPr>
          <w:rFonts w:ascii="Times New Roman" w:hAnsi="Times New Roman" w:cs="Times New Roman"/>
          <w:sz w:val="24"/>
          <w:szCs w:val="24"/>
        </w:rPr>
        <w:t>bicausality</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suggesting</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not</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only</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that</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economic</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policy</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decisions</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on</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these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two</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variables</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must</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be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taken</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together</w:t>
      </w:r>
      <w:proofErr w:type="spellEnd"/>
      <w:r w:rsidRPr="00C22E20">
        <w:rPr>
          <w:rFonts w:ascii="Times New Roman" w:hAnsi="Times New Roman" w:cs="Times New Roman"/>
          <w:sz w:val="24"/>
          <w:szCs w:val="24"/>
        </w:rPr>
        <w:t xml:space="preserve">, as </w:t>
      </w:r>
      <w:proofErr w:type="spellStart"/>
      <w:r w:rsidRPr="00C22E20">
        <w:rPr>
          <w:rFonts w:ascii="Times New Roman" w:hAnsi="Times New Roman" w:cs="Times New Roman"/>
          <w:sz w:val="24"/>
          <w:szCs w:val="24"/>
        </w:rPr>
        <w:t>well</w:t>
      </w:r>
      <w:proofErr w:type="spellEnd"/>
      <w:r w:rsidRPr="00C22E20">
        <w:rPr>
          <w:rFonts w:ascii="Times New Roman" w:hAnsi="Times New Roman" w:cs="Times New Roman"/>
          <w:sz w:val="24"/>
          <w:szCs w:val="24"/>
        </w:rPr>
        <w:t xml:space="preserve"> as </w:t>
      </w:r>
      <w:proofErr w:type="spellStart"/>
      <w:r w:rsidRPr="00C22E20">
        <w:rPr>
          <w:rFonts w:ascii="Times New Roman" w:hAnsi="Times New Roman" w:cs="Times New Roman"/>
          <w:sz w:val="24"/>
          <w:szCs w:val="24"/>
        </w:rPr>
        <w:t>evidence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of</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validity</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of</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Feldstein-Horioka puzzle. </w:t>
      </w:r>
      <w:proofErr w:type="spellStart"/>
      <w:r w:rsidRPr="00C22E20">
        <w:rPr>
          <w:rFonts w:ascii="Times New Roman" w:hAnsi="Times New Roman" w:cs="Times New Roman"/>
          <w:sz w:val="24"/>
          <w:szCs w:val="24"/>
        </w:rPr>
        <w:t>Furthermore</w:t>
      </w:r>
      <w:proofErr w:type="spellEnd"/>
      <w:r w:rsidRPr="00C22E20">
        <w:rPr>
          <w:rFonts w:ascii="Times New Roman" w:hAnsi="Times New Roman" w:cs="Times New Roman"/>
          <w:sz w:val="24"/>
          <w:szCs w:val="24"/>
        </w:rPr>
        <w:t xml:space="preserve">, it is </w:t>
      </w:r>
      <w:proofErr w:type="spellStart"/>
      <w:r w:rsidRPr="00C22E20">
        <w:rPr>
          <w:rFonts w:ascii="Times New Roman" w:hAnsi="Times New Roman" w:cs="Times New Roman"/>
          <w:sz w:val="24"/>
          <w:szCs w:val="24"/>
        </w:rPr>
        <w:t>observed</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that</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response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of</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savings</w:t>
      </w:r>
      <w:proofErr w:type="spellEnd"/>
      <w:r w:rsidRPr="00C22E20">
        <w:rPr>
          <w:rFonts w:ascii="Times New Roman" w:hAnsi="Times New Roman" w:cs="Times New Roman"/>
          <w:sz w:val="24"/>
          <w:szCs w:val="24"/>
        </w:rPr>
        <w:t xml:space="preserve"> rate to </w:t>
      </w:r>
      <w:proofErr w:type="spellStart"/>
      <w:r w:rsidRPr="00C22E20">
        <w:rPr>
          <w:rFonts w:ascii="Times New Roman" w:hAnsi="Times New Roman" w:cs="Times New Roman"/>
          <w:sz w:val="24"/>
          <w:szCs w:val="24"/>
        </w:rPr>
        <w:t>an</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unexpected</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shock</w:t>
      </w:r>
      <w:proofErr w:type="spellEnd"/>
      <w:r w:rsidRPr="00C22E20">
        <w:rPr>
          <w:rFonts w:ascii="Times New Roman" w:hAnsi="Times New Roman" w:cs="Times New Roman"/>
          <w:sz w:val="24"/>
          <w:szCs w:val="24"/>
        </w:rPr>
        <w:t xml:space="preserve"> in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investment</w:t>
      </w:r>
      <w:proofErr w:type="spellEnd"/>
      <w:r w:rsidRPr="00C22E20">
        <w:rPr>
          <w:rFonts w:ascii="Times New Roman" w:hAnsi="Times New Roman" w:cs="Times New Roman"/>
          <w:sz w:val="24"/>
          <w:szCs w:val="24"/>
        </w:rPr>
        <w:t xml:space="preserve"> rate is more </w:t>
      </w:r>
      <w:proofErr w:type="spellStart"/>
      <w:r w:rsidRPr="00C22E20">
        <w:rPr>
          <w:rFonts w:ascii="Times New Roman" w:hAnsi="Times New Roman" w:cs="Times New Roman"/>
          <w:sz w:val="24"/>
          <w:szCs w:val="24"/>
        </w:rPr>
        <w:t>significant</w:t>
      </w:r>
      <w:proofErr w:type="spellEnd"/>
      <w:r w:rsidRPr="00C22E20">
        <w:rPr>
          <w:rFonts w:ascii="Times New Roman" w:hAnsi="Times New Roman" w:cs="Times New Roman"/>
          <w:sz w:val="24"/>
          <w:szCs w:val="24"/>
        </w:rPr>
        <w:t xml:space="preserve"> over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period</w:t>
      </w:r>
      <w:proofErr w:type="spellEnd"/>
      <w:r w:rsidRPr="00C22E20">
        <w:rPr>
          <w:rFonts w:ascii="Times New Roman" w:hAnsi="Times New Roman" w:cs="Times New Roman"/>
          <w:sz w:val="24"/>
          <w:szCs w:val="24"/>
        </w:rPr>
        <w:t xml:space="preserve">, as </w:t>
      </w:r>
      <w:proofErr w:type="spellStart"/>
      <w:r w:rsidRPr="00C22E20">
        <w:rPr>
          <w:rFonts w:ascii="Times New Roman" w:hAnsi="Times New Roman" w:cs="Times New Roman"/>
          <w:sz w:val="24"/>
          <w:szCs w:val="24"/>
        </w:rPr>
        <w:t>well</w:t>
      </w:r>
      <w:proofErr w:type="spellEnd"/>
      <w:r w:rsidRPr="00C22E20">
        <w:rPr>
          <w:rFonts w:ascii="Times New Roman" w:hAnsi="Times New Roman" w:cs="Times New Roman"/>
          <w:sz w:val="24"/>
          <w:szCs w:val="24"/>
        </w:rPr>
        <w:t xml:space="preserve"> as </w:t>
      </w:r>
      <w:proofErr w:type="spellStart"/>
      <w:r w:rsidRPr="00C22E20">
        <w:rPr>
          <w:rFonts w:ascii="Times New Roman" w:hAnsi="Times New Roman" w:cs="Times New Roman"/>
          <w:sz w:val="24"/>
          <w:szCs w:val="24"/>
        </w:rPr>
        <w:t>greater</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reliance</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on</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savings</w:t>
      </w:r>
      <w:proofErr w:type="spellEnd"/>
      <w:r w:rsidRPr="00C22E20">
        <w:rPr>
          <w:rFonts w:ascii="Times New Roman" w:hAnsi="Times New Roman" w:cs="Times New Roman"/>
          <w:sz w:val="24"/>
          <w:szCs w:val="24"/>
        </w:rPr>
        <w:t xml:space="preserve"> rate </w:t>
      </w:r>
      <w:proofErr w:type="spellStart"/>
      <w:r w:rsidRPr="00C22E20">
        <w:rPr>
          <w:rFonts w:ascii="Times New Roman" w:hAnsi="Times New Roman" w:cs="Times New Roman"/>
          <w:sz w:val="24"/>
          <w:szCs w:val="24"/>
        </w:rPr>
        <w:t>relative</w:t>
      </w:r>
      <w:proofErr w:type="spellEnd"/>
      <w:r w:rsidRPr="00C22E20">
        <w:rPr>
          <w:rFonts w:ascii="Times New Roman" w:hAnsi="Times New Roman" w:cs="Times New Roman"/>
          <w:sz w:val="24"/>
          <w:szCs w:val="24"/>
        </w:rPr>
        <w:t xml:space="preserve"> to </w:t>
      </w:r>
      <w:proofErr w:type="spellStart"/>
      <w:r w:rsidRPr="00C22E20">
        <w:rPr>
          <w:rFonts w:ascii="Times New Roman" w:hAnsi="Times New Roman" w:cs="Times New Roman"/>
          <w:sz w:val="24"/>
          <w:szCs w:val="24"/>
        </w:rPr>
        <w:t>the</w:t>
      </w:r>
      <w:proofErr w:type="spellEnd"/>
      <w:r w:rsidRPr="00C22E20">
        <w:rPr>
          <w:rFonts w:ascii="Times New Roman" w:hAnsi="Times New Roman" w:cs="Times New Roman"/>
          <w:sz w:val="24"/>
          <w:szCs w:val="24"/>
        </w:rPr>
        <w:t xml:space="preserve"> rate </w:t>
      </w:r>
      <w:proofErr w:type="spellStart"/>
      <w:r w:rsidRPr="00C22E20">
        <w:rPr>
          <w:rFonts w:ascii="Times New Roman" w:hAnsi="Times New Roman" w:cs="Times New Roman"/>
          <w:sz w:val="24"/>
          <w:szCs w:val="24"/>
        </w:rPr>
        <w:t>of</w:t>
      </w:r>
      <w:proofErr w:type="spellEnd"/>
      <w:r w:rsidRPr="00C22E20">
        <w:rPr>
          <w:rFonts w:ascii="Times New Roman" w:hAnsi="Times New Roman" w:cs="Times New Roman"/>
          <w:sz w:val="24"/>
          <w:szCs w:val="24"/>
        </w:rPr>
        <w:t xml:space="preserve"> </w:t>
      </w:r>
      <w:proofErr w:type="spellStart"/>
      <w:r w:rsidRPr="00C22E20">
        <w:rPr>
          <w:rFonts w:ascii="Times New Roman" w:hAnsi="Times New Roman" w:cs="Times New Roman"/>
          <w:sz w:val="24"/>
          <w:szCs w:val="24"/>
        </w:rPr>
        <w:t>investment</w:t>
      </w:r>
      <w:proofErr w:type="spellEnd"/>
      <w:r w:rsidRPr="00C22E20">
        <w:rPr>
          <w:rFonts w:ascii="Times New Roman" w:hAnsi="Times New Roman" w:cs="Times New Roman"/>
          <w:sz w:val="24"/>
          <w:szCs w:val="24"/>
        </w:rPr>
        <w:t>.</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lang w:val="en-US"/>
        </w:rPr>
      </w:pPr>
      <w:r w:rsidRPr="003E0504">
        <w:rPr>
          <w:rFonts w:ascii="Times New Roman" w:hAnsi="Times New Roman" w:cs="Times New Roman"/>
          <w:sz w:val="24"/>
          <w:szCs w:val="24"/>
          <w:lang w:val="en-US"/>
        </w:rPr>
        <w:t xml:space="preserve">Keywords: </w:t>
      </w:r>
      <w:r w:rsidRPr="00E332D8">
        <w:rPr>
          <w:rFonts w:ascii="Times New Roman" w:hAnsi="Times New Roman" w:cs="Times New Roman"/>
          <w:sz w:val="24"/>
          <w:szCs w:val="24"/>
          <w:lang w:val="en-US"/>
        </w:rPr>
        <w:t>Savings; Investment;</w:t>
      </w:r>
      <w:r w:rsidR="008B2114" w:rsidRPr="00E332D8">
        <w:rPr>
          <w:rFonts w:ascii="Times New Roman" w:hAnsi="Times New Roman" w:cs="Times New Roman"/>
          <w:sz w:val="24"/>
          <w:szCs w:val="24"/>
          <w:lang w:val="en-US"/>
        </w:rPr>
        <w:t xml:space="preserve"> Granger Causality Test.</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rPr>
      </w:pPr>
      <w:r w:rsidRPr="003E0504">
        <w:rPr>
          <w:rFonts w:ascii="Times New Roman" w:hAnsi="Times New Roman" w:cs="Times New Roman"/>
          <w:sz w:val="24"/>
          <w:szCs w:val="24"/>
        </w:rPr>
        <w:t xml:space="preserve">JEL </w:t>
      </w:r>
      <w:proofErr w:type="spellStart"/>
      <w:r w:rsidRPr="003E0504">
        <w:rPr>
          <w:rFonts w:ascii="Times New Roman" w:hAnsi="Times New Roman" w:cs="Times New Roman"/>
          <w:sz w:val="24"/>
          <w:szCs w:val="24"/>
        </w:rPr>
        <w:t>Classification</w:t>
      </w:r>
      <w:proofErr w:type="spellEnd"/>
      <w:r w:rsidRPr="003E0504">
        <w:rPr>
          <w:rFonts w:ascii="Times New Roman" w:hAnsi="Times New Roman" w:cs="Times New Roman"/>
          <w:sz w:val="24"/>
          <w:szCs w:val="24"/>
        </w:rPr>
        <w:t>:</w:t>
      </w:r>
      <w:r w:rsidRPr="00E332D8">
        <w:rPr>
          <w:rFonts w:ascii="Times New Roman" w:hAnsi="Times New Roman" w:cs="Times New Roman"/>
          <w:sz w:val="24"/>
          <w:szCs w:val="24"/>
        </w:rPr>
        <w:t xml:space="preserve"> E12; E13; E21; E22; O16.</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rPr>
      </w:pP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b/>
          <w:sz w:val="24"/>
          <w:szCs w:val="24"/>
        </w:rPr>
      </w:pPr>
    </w:p>
    <w:p w:rsidR="00A7687D" w:rsidRPr="00E332D8" w:rsidRDefault="00A7687D" w:rsidP="00230341">
      <w:pPr>
        <w:widowControl w:val="0"/>
        <w:autoSpaceDE w:val="0"/>
        <w:autoSpaceDN w:val="0"/>
        <w:adjustRightInd w:val="0"/>
        <w:spacing w:after="0" w:line="360" w:lineRule="auto"/>
        <w:ind w:right="67"/>
        <w:jc w:val="both"/>
        <w:rPr>
          <w:rFonts w:ascii="Times New Roman" w:hAnsi="Times New Roman" w:cs="Times New Roman"/>
          <w:b/>
          <w:sz w:val="24"/>
          <w:szCs w:val="24"/>
        </w:rPr>
        <w:sectPr w:rsidR="00A7687D" w:rsidRPr="00E332D8" w:rsidSect="004A51F6">
          <w:headerReference w:type="default" r:id="rId8"/>
          <w:footerReference w:type="default" r:id="rId9"/>
          <w:pgSz w:w="11906" w:h="16838"/>
          <w:pgMar w:top="1417" w:right="1701" w:bottom="1417" w:left="1701" w:header="708" w:footer="708" w:gutter="0"/>
          <w:cols w:space="708"/>
          <w:docGrid w:linePitch="360"/>
        </w:sectPr>
      </w:pPr>
    </w:p>
    <w:p w:rsidR="00127DC3" w:rsidRPr="00E332D8" w:rsidRDefault="00412CF6" w:rsidP="00230341">
      <w:pPr>
        <w:spacing w:after="0" w:line="360" w:lineRule="auto"/>
        <w:jc w:val="both"/>
        <w:rPr>
          <w:rFonts w:ascii="Times New Roman" w:hAnsi="Times New Roman" w:cs="Times New Roman"/>
          <w:b/>
          <w:sz w:val="24"/>
          <w:szCs w:val="24"/>
        </w:rPr>
      </w:pPr>
      <w:r w:rsidRPr="00E332D8">
        <w:rPr>
          <w:rFonts w:ascii="Times New Roman" w:hAnsi="Times New Roman" w:cs="Times New Roman"/>
          <w:b/>
          <w:sz w:val="24"/>
          <w:szCs w:val="24"/>
        </w:rPr>
        <w:lastRenderedPageBreak/>
        <w:t xml:space="preserve">1. </w:t>
      </w:r>
      <w:r w:rsidR="00127DC3" w:rsidRPr="00E332D8">
        <w:rPr>
          <w:rFonts w:ascii="Times New Roman" w:hAnsi="Times New Roman" w:cs="Times New Roman"/>
          <w:b/>
          <w:sz w:val="24"/>
          <w:szCs w:val="24"/>
        </w:rPr>
        <w:t>Introdução</w:t>
      </w:r>
    </w:p>
    <w:p w:rsidR="00B522BC" w:rsidRDefault="00B522BC" w:rsidP="00230341">
      <w:pPr>
        <w:spacing w:after="0" w:line="360" w:lineRule="auto"/>
        <w:jc w:val="both"/>
        <w:rPr>
          <w:rFonts w:ascii="Times New Roman" w:hAnsi="Times New Roman" w:cs="Times New Roman"/>
          <w:b/>
          <w:sz w:val="24"/>
          <w:szCs w:val="24"/>
        </w:rPr>
      </w:pPr>
    </w:p>
    <w:p w:rsidR="00C36F2D" w:rsidRDefault="00CD27A5" w:rsidP="00C36F2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Poupança e investimento são duas variáveis macroeconômicas importantes para se alcançar o crescimento econômico, que é o principal objetivo econômico de qualquer plano governamental em nações em desenvolvimento. É pouco provável encontrar qualquer nação que administrou uma alta taxa de crescimento por um longo período sem experimentar elevadas taxas de formação de capital e/ou elevadas taxas de poupança. Alguns estudos empíricos</w:t>
      </w:r>
      <w:r w:rsidR="00C36F2D">
        <w:rPr>
          <w:rFonts w:ascii="Times New Roman" w:hAnsi="Times New Roman" w:cs="Times New Roman"/>
          <w:sz w:val="24"/>
          <w:szCs w:val="24"/>
        </w:rPr>
        <w:t xml:space="preserve"> </w:t>
      </w:r>
      <w:r>
        <w:rPr>
          <w:rFonts w:ascii="Times New Roman" w:hAnsi="Times New Roman" w:cs="Times New Roman"/>
          <w:sz w:val="24"/>
          <w:szCs w:val="24"/>
        </w:rPr>
        <w:t>realizados em nações industrializadas e nações em desenvolvimento reportaram alta correlação positiv</w:t>
      </w:r>
      <w:r w:rsidR="00C36F2D">
        <w:rPr>
          <w:rFonts w:ascii="Times New Roman" w:hAnsi="Times New Roman" w:cs="Times New Roman"/>
          <w:sz w:val="24"/>
          <w:szCs w:val="24"/>
        </w:rPr>
        <w:t xml:space="preserve">a entre poupança e investimento, ao utilizarem dados de séries temporais ou </w:t>
      </w:r>
      <w:proofErr w:type="spellStart"/>
      <w:r w:rsidR="00C36F2D" w:rsidRPr="00C36F2D">
        <w:rPr>
          <w:rFonts w:ascii="Times New Roman" w:hAnsi="Times New Roman" w:cs="Times New Roman"/>
          <w:i/>
          <w:sz w:val="24"/>
          <w:szCs w:val="24"/>
        </w:rPr>
        <w:t>cross-section</w:t>
      </w:r>
      <w:proofErr w:type="spellEnd"/>
      <w:r w:rsidR="00C36F2D">
        <w:rPr>
          <w:rFonts w:ascii="Times New Roman" w:hAnsi="Times New Roman" w:cs="Times New Roman"/>
          <w:sz w:val="24"/>
          <w:szCs w:val="24"/>
        </w:rPr>
        <w:t xml:space="preserve"> (FELDSTEIN e HORIOKA, 1980; BAYOUMI, 1990; SINHA, 2002).</w:t>
      </w:r>
    </w:p>
    <w:p w:rsidR="00412CF6" w:rsidRDefault="00596B3F" w:rsidP="00596B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Sob o aspecto teórico, duas visões se divergem sob a relação </w:t>
      </w:r>
      <w:r w:rsidR="003254FE">
        <w:rPr>
          <w:rFonts w:ascii="Times New Roman" w:hAnsi="Times New Roman" w:cs="Times New Roman"/>
          <w:sz w:val="24"/>
          <w:szCs w:val="24"/>
        </w:rPr>
        <w:t xml:space="preserve">de causalidade </w:t>
      </w:r>
      <w:r>
        <w:rPr>
          <w:rFonts w:ascii="Times New Roman" w:hAnsi="Times New Roman" w:cs="Times New Roman"/>
          <w:sz w:val="24"/>
          <w:szCs w:val="24"/>
        </w:rPr>
        <w:t xml:space="preserve">entre poupança e investimento. </w:t>
      </w:r>
      <w:r w:rsidR="008C60F3">
        <w:rPr>
          <w:rFonts w:ascii="Times New Roman" w:hAnsi="Times New Roman" w:cs="Times New Roman"/>
          <w:sz w:val="24"/>
          <w:szCs w:val="24"/>
        </w:rPr>
        <w:t>Segundo a teoria neoclássica, ou visão</w:t>
      </w:r>
      <w:r w:rsidR="00890893" w:rsidRPr="00E332D8">
        <w:rPr>
          <w:rFonts w:ascii="Times New Roman" w:hAnsi="Times New Roman" w:cs="Times New Roman"/>
          <w:sz w:val="24"/>
          <w:szCs w:val="24"/>
        </w:rPr>
        <w:t xml:space="preserve"> ortodoxa, a poupança é um pré-requisito para o crescimento. De maneira específica, a</w:t>
      </w:r>
      <w:r w:rsidR="00586953" w:rsidRPr="00E332D8">
        <w:rPr>
          <w:rFonts w:ascii="Times New Roman" w:hAnsi="Times New Roman" w:cs="Times New Roman"/>
          <w:sz w:val="24"/>
          <w:szCs w:val="24"/>
        </w:rPr>
        <w:t xml:space="preserve"> relação de causalidade unidirecional da poupança para o investimento </w:t>
      </w:r>
      <w:r w:rsidR="002C69AF" w:rsidRPr="00E332D8">
        <w:rPr>
          <w:rFonts w:ascii="Times New Roman" w:hAnsi="Times New Roman" w:cs="Times New Roman"/>
          <w:sz w:val="24"/>
          <w:szCs w:val="24"/>
        </w:rPr>
        <w:t xml:space="preserve">fornece suporte à teoria dos fundos emprestáveis, em que a poupança </w:t>
      </w:r>
      <w:r w:rsidR="00412CF6" w:rsidRPr="00E332D8">
        <w:rPr>
          <w:rFonts w:ascii="Times New Roman" w:hAnsi="Times New Roman" w:cs="Times New Roman"/>
          <w:sz w:val="24"/>
          <w:szCs w:val="24"/>
        </w:rPr>
        <w:t xml:space="preserve">financia o investimento de uma economia. </w:t>
      </w:r>
      <w:r w:rsidR="002C69AF" w:rsidRPr="00E332D8">
        <w:rPr>
          <w:rFonts w:ascii="Times New Roman" w:hAnsi="Times New Roman" w:cs="Times New Roman"/>
          <w:sz w:val="24"/>
          <w:szCs w:val="24"/>
        </w:rPr>
        <w:t>O</w:t>
      </w:r>
      <w:r w:rsidR="00412CF6" w:rsidRPr="00E332D8">
        <w:rPr>
          <w:rFonts w:ascii="Times New Roman" w:hAnsi="Times New Roman" w:cs="Times New Roman"/>
          <w:sz w:val="24"/>
          <w:szCs w:val="24"/>
        </w:rPr>
        <w:t xml:space="preserve"> investimento </w:t>
      </w:r>
      <w:r w:rsidR="002C69AF" w:rsidRPr="00E332D8">
        <w:rPr>
          <w:rFonts w:ascii="Times New Roman" w:hAnsi="Times New Roman" w:cs="Times New Roman"/>
          <w:sz w:val="24"/>
          <w:szCs w:val="24"/>
        </w:rPr>
        <w:t xml:space="preserve">é considerado </w:t>
      </w:r>
      <w:r w:rsidR="00412CF6" w:rsidRPr="00E332D8">
        <w:rPr>
          <w:rFonts w:ascii="Times New Roman" w:hAnsi="Times New Roman" w:cs="Times New Roman"/>
          <w:sz w:val="24"/>
          <w:szCs w:val="24"/>
        </w:rPr>
        <w:t xml:space="preserve">como um dos possíveis destinos dado ao produto </w:t>
      </w:r>
      <w:r w:rsidR="00404DB8" w:rsidRPr="00E332D8">
        <w:rPr>
          <w:rFonts w:ascii="Times New Roman" w:hAnsi="Times New Roman" w:cs="Times New Roman"/>
          <w:sz w:val="24"/>
          <w:szCs w:val="24"/>
        </w:rPr>
        <w:t>agregado</w:t>
      </w:r>
      <w:r w:rsidR="00412CF6" w:rsidRPr="00E332D8">
        <w:rPr>
          <w:rFonts w:ascii="Times New Roman" w:hAnsi="Times New Roman" w:cs="Times New Roman"/>
          <w:sz w:val="24"/>
          <w:szCs w:val="24"/>
        </w:rPr>
        <w:t>, já que a sua existência está condicionada à abstenção do consumo corrente dos agentes econômicos. Estes deixariam de consumir hoje para receber um excedente no seu produto amanhã, que seria dado pela taxa de juros. Portanto, a poupança dos agentes é condicionada pela taxa de juros. Essa corrente</w:t>
      </w:r>
      <w:r w:rsidR="002C69AF" w:rsidRPr="00E332D8">
        <w:rPr>
          <w:rFonts w:ascii="Times New Roman" w:hAnsi="Times New Roman" w:cs="Times New Roman"/>
          <w:sz w:val="24"/>
          <w:szCs w:val="24"/>
        </w:rPr>
        <w:t xml:space="preserve"> </w:t>
      </w:r>
      <w:r w:rsidR="00404DB8" w:rsidRPr="00E332D8">
        <w:rPr>
          <w:rFonts w:ascii="Times New Roman" w:hAnsi="Times New Roman" w:cs="Times New Roman"/>
          <w:sz w:val="24"/>
          <w:szCs w:val="24"/>
        </w:rPr>
        <w:t>teórica</w:t>
      </w:r>
      <w:r w:rsidR="00412CF6" w:rsidRPr="00E332D8">
        <w:rPr>
          <w:rFonts w:ascii="Times New Roman" w:hAnsi="Times New Roman" w:cs="Times New Roman"/>
          <w:sz w:val="24"/>
          <w:szCs w:val="24"/>
        </w:rPr>
        <w:t xml:space="preserve"> supõe uma taxa de juros de equilíbrio que iguala poupança e investimento. Nesse contexto, a poupança atua como a oferta de fundos emprestáveis, e o investimento, em</w:t>
      </w:r>
      <w:r w:rsidR="00586953" w:rsidRPr="00E332D8">
        <w:rPr>
          <w:rFonts w:ascii="Times New Roman" w:hAnsi="Times New Roman" w:cs="Times New Roman"/>
          <w:sz w:val="24"/>
          <w:szCs w:val="24"/>
        </w:rPr>
        <w:t xml:space="preserve"> contra</w:t>
      </w:r>
      <w:r w:rsidR="00412CF6" w:rsidRPr="00E332D8">
        <w:rPr>
          <w:rFonts w:ascii="Times New Roman" w:hAnsi="Times New Roman" w:cs="Times New Roman"/>
          <w:sz w:val="24"/>
          <w:szCs w:val="24"/>
        </w:rPr>
        <w:t xml:space="preserve">partida, como a demanda por fundos emprestáveis. Desta forma, é necessária a existência prévia de uma poupança para que haja efetivação do investimento. Por se tratar, portanto, de um determinante do investimento, a poupança, se demasiado baixa, pode ser um </w:t>
      </w:r>
      <w:r w:rsidR="00404DB8" w:rsidRPr="00E332D8">
        <w:rPr>
          <w:rFonts w:ascii="Times New Roman" w:hAnsi="Times New Roman" w:cs="Times New Roman"/>
          <w:sz w:val="24"/>
          <w:szCs w:val="24"/>
        </w:rPr>
        <w:t>obstáculo</w:t>
      </w:r>
      <w:r w:rsidR="00412CF6" w:rsidRPr="00E332D8">
        <w:rPr>
          <w:rFonts w:ascii="Times New Roman" w:hAnsi="Times New Roman" w:cs="Times New Roman"/>
          <w:sz w:val="24"/>
          <w:szCs w:val="24"/>
        </w:rPr>
        <w:t xml:space="preserve"> ao crescimento econômico.</w:t>
      </w:r>
    </w:p>
    <w:p w:rsidR="00370FC0" w:rsidRPr="00E332D8" w:rsidRDefault="00370FC0" w:rsidP="00C36F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foco principal da análise ortodoxa é baseado na determinação dos preços, e não da renda nacional. O preço fundamental é aquele que garante o equilíbrio entre poupança e investimento, isto é, a taxa de juros. Segue-se, portanto, que se o país cresce pouco é porque não tem poupança suficiente para estimular o investimento adicional requerido, uma vez que a taxa de juros é baixa. Sob esse argumento, políticas de redução dos gastos públicos são recomendadas, mesmo em um cenário de crise financeira, por resultarem em aumento na poupança do governo. Além disso, se o país não possui poupança pública e poupança privada suficientes para estimular o crescimento econômico, então o país deveria adotar uma </w:t>
      </w:r>
      <w:r>
        <w:rPr>
          <w:rFonts w:ascii="Times New Roman" w:hAnsi="Times New Roman" w:cs="Times New Roman"/>
          <w:sz w:val="24"/>
          <w:szCs w:val="24"/>
        </w:rPr>
        <w:lastRenderedPageBreak/>
        <w:t>estratégia de liberalização dos fluxos de capitais com o objetivo de captar poupança externa (BASILIO, 2008).</w:t>
      </w:r>
    </w:p>
    <w:p w:rsidR="00586953" w:rsidRDefault="003254FE" w:rsidP="002C69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Contudo, d</w:t>
      </w:r>
      <w:r w:rsidR="008C60F3">
        <w:rPr>
          <w:rFonts w:ascii="Times New Roman" w:hAnsi="Times New Roman" w:cs="Times New Roman"/>
          <w:sz w:val="24"/>
          <w:szCs w:val="24"/>
        </w:rPr>
        <w:t xml:space="preserve">e acordo com a teoria keynesiana, ou </w:t>
      </w:r>
      <w:r w:rsidR="00890893" w:rsidRPr="00E332D8">
        <w:rPr>
          <w:rFonts w:ascii="Times New Roman" w:hAnsi="Times New Roman" w:cs="Times New Roman"/>
          <w:sz w:val="24"/>
          <w:szCs w:val="24"/>
        </w:rPr>
        <w:t xml:space="preserve">visão heterodoxa, é justamente a indução do crescimento acelerado que estimula o investimento, produz renda e, consequentemente, a poupança. De maneira específica, </w:t>
      </w:r>
      <w:r w:rsidR="002C69AF" w:rsidRPr="00E332D8">
        <w:rPr>
          <w:rFonts w:ascii="Times New Roman" w:hAnsi="Times New Roman" w:cs="Times New Roman"/>
          <w:sz w:val="24"/>
          <w:szCs w:val="24"/>
        </w:rPr>
        <w:t>a relação de causalidade unidirecional do investimento para a poupança fundamenta-se na teoria keynesiana, em que</w:t>
      </w:r>
      <w:r w:rsidR="00412CF6" w:rsidRPr="00E332D8">
        <w:rPr>
          <w:rFonts w:ascii="Times New Roman" w:hAnsi="Times New Roman" w:cs="Times New Roman"/>
          <w:sz w:val="24"/>
          <w:szCs w:val="24"/>
        </w:rPr>
        <w:t xml:space="preserve"> o princípio de demanda efetiva</w:t>
      </w:r>
      <w:r w:rsidR="00586953" w:rsidRPr="00E332D8">
        <w:rPr>
          <w:rFonts w:ascii="Times New Roman" w:hAnsi="Times New Roman" w:cs="Times New Roman"/>
          <w:sz w:val="24"/>
          <w:szCs w:val="24"/>
        </w:rPr>
        <w:t xml:space="preserve"> afirma</w:t>
      </w:r>
      <w:r w:rsidR="00412CF6" w:rsidRPr="00E332D8">
        <w:rPr>
          <w:rFonts w:ascii="Times New Roman" w:hAnsi="Times New Roman" w:cs="Times New Roman"/>
          <w:sz w:val="24"/>
          <w:szCs w:val="24"/>
        </w:rPr>
        <w:t xml:space="preserve"> que o produto é determinado pelos gastos. Os empresários determinam </w:t>
      </w:r>
      <w:proofErr w:type="spellStart"/>
      <w:r w:rsidR="00412CF6" w:rsidRPr="00E332D8">
        <w:rPr>
          <w:rFonts w:ascii="Times New Roman" w:hAnsi="Times New Roman" w:cs="Times New Roman"/>
          <w:i/>
          <w:sz w:val="24"/>
          <w:szCs w:val="24"/>
        </w:rPr>
        <w:t>ex-ante</w:t>
      </w:r>
      <w:proofErr w:type="spellEnd"/>
      <w:r w:rsidR="00412CF6" w:rsidRPr="00E332D8">
        <w:rPr>
          <w:rFonts w:ascii="Times New Roman" w:hAnsi="Times New Roman" w:cs="Times New Roman"/>
          <w:sz w:val="24"/>
          <w:szCs w:val="24"/>
        </w:rPr>
        <w:t xml:space="preserve"> o nível de produção dada uma expectativa de demanda realizada </w:t>
      </w:r>
      <w:proofErr w:type="spellStart"/>
      <w:r w:rsidR="00412CF6" w:rsidRPr="00E332D8">
        <w:rPr>
          <w:rFonts w:ascii="Times New Roman" w:hAnsi="Times New Roman" w:cs="Times New Roman"/>
          <w:i/>
          <w:sz w:val="24"/>
          <w:szCs w:val="24"/>
        </w:rPr>
        <w:t>ex-post</w:t>
      </w:r>
      <w:proofErr w:type="spellEnd"/>
      <w:r w:rsidR="00412CF6" w:rsidRPr="00E332D8">
        <w:rPr>
          <w:rFonts w:ascii="Times New Roman" w:hAnsi="Times New Roman" w:cs="Times New Roman"/>
          <w:sz w:val="24"/>
          <w:szCs w:val="24"/>
        </w:rPr>
        <w:t xml:space="preserve">. </w:t>
      </w:r>
      <w:r w:rsidR="002C69AF" w:rsidRPr="00E332D8">
        <w:rPr>
          <w:rFonts w:ascii="Times New Roman" w:hAnsi="Times New Roman" w:cs="Times New Roman"/>
          <w:sz w:val="24"/>
          <w:szCs w:val="24"/>
        </w:rPr>
        <w:t>O</w:t>
      </w:r>
      <w:r w:rsidR="00412CF6" w:rsidRPr="00E332D8">
        <w:rPr>
          <w:rFonts w:ascii="Times New Roman" w:hAnsi="Times New Roman" w:cs="Times New Roman"/>
          <w:sz w:val="24"/>
          <w:szCs w:val="24"/>
        </w:rPr>
        <w:t xml:space="preserve"> investimento </w:t>
      </w:r>
      <w:r w:rsidR="002C69AF" w:rsidRPr="00E332D8">
        <w:rPr>
          <w:rFonts w:ascii="Times New Roman" w:hAnsi="Times New Roman" w:cs="Times New Roman"/>
          <w:sz w:val="24"/>
          <w:szCs w:val="24"/>
        </w:rPr>
        <w:t>é um</w:t>
      </w:r>
      <w:r w:rsidR="00412CF6" w:rsidRPr="00E332D8">
        <w:rPr>
          <w:rFonts w:ascii="Times New Roman" w:hAnsi="Times New Roman" w:cs="Times New Roman"/>
          <w:sz w:val="24"/>
          <w:szCs w:val="24"/>
        </w:rPr>
        <w:t xml:space="preserve"> determinante fundamental da demanda agregada e das flutuações de curto prazo nas atividades econômicas. Da mesma forma, tem-se, por definição, que a poupança é uma variável residual</w:t>
      </w:r>
      <w:r w:rsidR="002C69AF" w:rsidRPr="00E332D8">
        <w:rPr>
          <w:rFonts w:ascii="Times New Roman" w:hAnsi="Times New Roman" w:cs="Times New Roman"/>
          <w:sz w:val="24"/>
          <w:szCs w:val="24"/>
        </w:rPr>
        <w:t>, uma vez que se trata da</w:t>
      </w:r>
      <w:r w:rsidR="00412CF6" w:rsidRPr="00E332D8">
        <w:rPr>
          <w:rFonts w:ascii="Times New Roman" w:hAnsi="Times New Roman" w:cs="Times New Roman"/>
          <w:sz w:val="24"/>
          <w:szCs w:val="24"/>
        </w:rPr>
        <w:t xml:space="preserve"> parcela da renda que sobra depois de deduzidos os gastos em consumo. Portanto, sendo a poupança uma parcela da renda e o investimento um componente de gasto, conclui-se que, assim como é a demanda que determina a oferta, é o investimento que determina a poupança (</w:t>
      </w:r>
      <w:proofErr w:type="spellStart"/>
      <w:r w:rsidR="00412CF6" w:rsidRPr="00E332D8">
        <w:rPr>
          <w:rFonts w:ascii="Times New Roman" w:hAnsi="Times New Roman" w:cs="Times New Roman"/>
          <w:i/>
          <w:sz w:val="24"/>
          <w:szCs w:val="24"/>
        </w:rPr>
        <w:t>ex-post</w:t>
      </w:r>
      <w:proofErr w:type="spellEnd"/>
      <w:r w:rsidR="00412CF6" w:rsidRPr="00E332D8">
        <w:rPr>
          <w:rFonts w:ascii="Times New Roman" w:hAnsi="Times New Roman" w:cs="Times New Roman"/>
          <w:sz w:val="24"/>
          <w:szCs w:val="24"/>
        </w:rPr>
        <w:t>) agregada da economia.</w:t>
      </w:r>
    </w:p>
    <w:p w:rsidR="00370FC0" w:rsidRDefault="00370FC0" w:rsidP="002C69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a teoria keynesiana, a poupança, ao invés de constituir-se no pré-requisito do investimento, como propõe a teoria neoclássica</w:t>
      </w:r>
      <w:r w:rsidR="000942C4">
        <w:rPr>
          <w:rFonts w:ascii="Times New Roman" w:hAnsi="Times New Roman" w:cs="Times New Roman"/>
          <w:sz w:val="24"/>
          <w:szCs w:val="24"/>
        </w:rPr>
        <w:t>, é, na verdade, seu resultado. Essa mudança ocorre porque a variável central na teoria keynesiana não são os preços, mas sim o produto real. Em uma economia monetária ou empresarial, a decisão de investir não depende da disponibilidade de produto não consumido, mas de financiamento, ou seja, acesso aos meios de pagamento. Para isso, o sistema financeiro, particularmente os bancos, deve ser capaz de colocar nas mãos dos empresários os meios de compra necessários para que os investimentos sejam efetivados (BASILIO, 2008).</w:t>
      </w:r>
    </w:p>
    <w:p w:rsidR="00596B3F" w:rsidRPr="00230176" w:rsidRDefault="00596B3F" w:rsidP="00596B3F">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Em uma economia fechada, investimentos privados podem ser somente financiados por poupança doméstica e, portanto, poupança e investimento serão correlacionados. </w:t>
      </w:r>
      <w:r w:rsidR="00A25FEB">
        <w:rPr>
          <w:rFonts w:ascii="Times New Roman" w:hAnsi="Times New Roman" w:cs="Times New Roman"/>
          <w:sz w:val="24"/>
          <w:szCs w:val="24"/>
          <w:lang w:val="pt-PT"/>
        </w:rPr>
        <w:t>Mas</w:t>
      </w:r>
      <w:r>
        <w:rPr>
          <w:rFonts w:ascii="Times New Roman" w:hAnsi="Times New Roman" w:cs="Times New Roman"/>
          <w:sz w:val="24"/>
          <w:szCs w:val="24"/>
          <w:lang w:val="pt-PT"/>
        </w:rPr>
        <w:t>, em uma economia aberta</w:t>
      </w:r>
      <w:r w:rsidR="00EA4E0B">
        <w:rPr>
          <w:rFonts w:ascii="Times New Roman" w:hAnsi="Times New Roman" w:cs="Times New Roman"/>
          <w:sz w:val="24"/>
          <w:szCs w:val="24"/>
          <w:lang w:val="pt-PT"/>
        </w:rPr>
        <w:t xml:space="preserve">, com alta mobilidade de capitais, </w:t>
      </w:r>
      <w:r>
        <w:rPr>
          <w:rFonts w:ascii="Times New Roman" w:hAnsi="Times New Roman" w:cs="Times New Roman"/>
          <w:sz w:val="24"/>
          <w:szCs w:val="24"/>
          <w:lang w:val="pt-PT"/>
        </w:rPr>
        <w:t>ao menos parte do investimento pode ser financiado por poupança externa</w:t>
      </w:r>
      <w:r w:rsidR="00A25FEB">
        <w:rPr>
          <w:rFonts w:ascii="Times New Roman" w:hAnsi="Times New Roman" w:cs="Times New Roman"/>
          <w:sz w:val="24"/>
          <w:szCs w:val="24"/>
          <w:lang w:val="pt-PT"/>
        </w:rPr>
        <w:t>, de modo que poupança nacional e investimento podem, em princípio, divergirem e serem independentes</w:t>
      </w:r>
      <w:r w:rsidR="00EA4E0B">
        <w:rPr>
          <w:rFonts w:ascii="Times New Roman" w:hAnsi="Times New Roman" w:cs="Times New Roman"/>
          <w:sz w:val="24"/>
          <w:szCs w:val="24"/>
          <w:lang w:val="pt-PT"/>
        </w:rPr>
        <w:t>, e a correlação entre essas duas variáveis ser baixa.</w:t>
      </w:r>
      <w:r w:rsidR="00A25FEB">
        <w:rPr>
          <w:rFonts w:ascii="Times New Roman" w:hAnsi="Times New Roman" w:cs="Times New Roman"/>
          <w:sz w:val="24"/>
          <w:szCs w:val="24"/>
          <w:lang w:val="pt-PT"/>
        </w:rPr>
        <w:t xml:space="preserve"> </w:t>
      </w:r>
      <w:r w:rsidR="00EA4E0B">
        <w:rPr>
          <w:rFonts w:ascii="Times New Roman" w:hAnsi="Times New Roman" w:cs="Times New Roman"/>
          <w:sz w:val="24"/>
          <w:szCs w:val="24"/>
          <w:lang w:val="pt-PT"/>
        </w:rPr>
        <w:t>Os fluxos de poupança doméstica são destinados às melhores oportunidades de investimento em outros países.</w:t>
      </w:r>
      <w:r w:rsidR="003254FE">
        <w:rPr>
          <w:rFonts w:ascii="Times New Roman" w:hAnsi="Times New Roman" w:cs="Times New Roman"/>
          <w:sz w:val="24"/>
          <w:szCs w:val="24"/>
          <w:lang w:val="pt-PT"/>
        </w:rPr>
        <w:t xml:space="preserve"> </w:t>
      </w:r>
      <w:r w:rsidR="00A25FEB">
        <w:rPr>
          <w:rFonts w:ascii="Times New Roman" w:hAnsi="Times New Roman" w:cs="Times New Roman"/>
          <w:sz w:val="24"/>
          <w:szCs w:val="24"/>
          <w:lang w:val="pt-PT"/>
        </w:rPr>
        <w:t xml:space="preserve">Todavia, resultados empíricos obtidos por Feldstein e Horioka (1980) e Feldstein (1983) indicaram que investimento e poupança são altamente correlacionados através de várias nações, tomando esses resultados como evidências de falta de perfeita mobilidade de capitais no que ficou conhecido na literatura como enigma de Feldstein-Horioka (Feldstein-Horioka </w:t>
      </w:r>
      <w:r w:rsidR="00A25FEB" w:rsidRPr="00A25FEB">
        <w:rPr>
          <w:rFonts w:ascii="Times New Roman" w:hAnsi="Times New Roman" w:cs="Times New Roman"/>
          <w:i/>
          <w:sz w:val="24"/>
          <w:szCs w:val="24"/>
          <w:lang w:val="pt-PT"/>
        </w:rPr>
        <w:t>Puzzle</w:t>
      </w:r>
      <w:r w:rsidR="00A25FEB">
        <w:rPr>
          <w:rFonts w:ascii="Times New Roman" w:hAnsi="Times New Roman" w:cs="Times New Roman"/>
          <w:sz w:val="24"/>
          <w:szCs w:val="24"/>
          <w:lang w:val="pt-PT"/>
        </w:rPr>
        <w:t xml:space="preserve">). </w:t>
      </w:r>
    </w:p>
    <w:p w:rsidR="0053101C" w:rsidRDefault="0053101C" w:rsidP="00230176">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lastRenderedPageBreak/>
        <w:t>A relação entre poupança e investimento é tema relevante no atual debate acadêmico, com importantes implicações de política econômica.  Todavia, algumas indagações surgem: o menor crescimento econômico brasileiro constatado nos últimos anos se deve a uma escassez de poupança? Ou será o investimento a variável macroeconômica mais importante a ser incentivada pelo governo?</w:t>
      </w:r>
      <w:r w:rsidR="003254FE">
        <w:rPr>
          <w:rFonts w:ascii="Times New Roman" w:hAnsi="Times New Roman" w:cs="Times New Roman"/>
          <w:sz w:val="24"/>
          <w:szCs w:val="24"/>
        </w:rPr>
        <w:t xml:space="preserve"> O enigma de Feldstein-Horioka se aplica ao caso brasileiro?</w:t>
      </w:r>
    </w:p>
    <w:p w:rsidR="000D0A71" w:rsidRDefault="00230176" w:rsidP="00230176">
      <w:pPr>
        <w:spacing w:line="360" w:lineRule="auto"/>
        <w:ind w:firstLine="708"/>
        <w:contextualSpacing/>
        <w:jc w:val="both"/>
        <w:rPr>
          <w:rFonts w:ascii="Times New Roman" w:eastAsiaTheme="minorHAnsi" w:hAnsi="Times New Roman" w:cs="Times New Roman"/>
          <w:sz w:val="24"/>
          <w:szCs w:val="24"/>
          <w:lang w:eastAsia="en-US"/>
        </w:rPr>
      </w:pPr>
      <w:r w:rsidRPr="00230176">
        <w:rPr>
          <w:rFonts w:ascii="Times New Roman" w:eastAsiaTheme="minorHAnsi" w:hAnsi="Times New Roman" w:cs="Times New Roman"/>
          <w:sz w:val="24"/>
          <w:szCs w:val="24"/>
          <w:lang w:eastAsia="en-US"/>
        </w:rPr>
        <w:t xml:space="preserve">Nesse contexto, a relação de causalidade entre </w:t>
      </w:r>
      <w:r w:rsidR="004320B6">
        <w:rPr>
          <w:rFonts w:ascii="Times New Roman" w:eastAsiaTheme="minorHAnsi" w:hAnsi="Times New Roman" w:cs="Times New Roman"/>
          <w:sz w:val="24"/>
          <w:szCs w:val="24"/>
          <w:lang w:eastAsia="en-US"/>
        </w:rPr>
        <w:t>poupança</w:t>
      </w:r>
      <w:r w:rsidRPr="00230176">
        <w:rPr>
          <w:rFonts w:ascii="Times New Roman" w:eastAsiaTheme="minorHAnsi" w:hAnsi="Times New Roman" w:cs="Times New Roman"/>
          <w:sz w:val="24"/>
          <w:szCs w:val="24"/>
          <w:lang w:eastAsia="en-US"/>
        </w:rPr>
        <w:t xml:space="preserve"> e </w:t>
      </w:r>
      <w:r w:rsidR="004320B6">
        <w:rPr>
          <w:rFonts w:ascii="Times New Roman" w:eastAsiaTheme="minorHAnsi" w:hAnsi="Times New Roman" w:cs="Times New Roman"/>
          <w:sz w:val="24"/>
          <w:szCs w:val="24"/>
          <w:lang w:eastAsia="en-US"/>
        </w:rPr>
        <w:t>investimento</w:t>
      </w:r>
      <w:r w:rsidRPr="00230176">
        <w:rPr>
          <w:rFonts w:ascii="Times New Roman" w:eastAsiaTheme="minorHAnsi" w:hAnsi="Times New Roman" w:cs="Times New Roman"/>
          <w:sz w:val="24"/>
          <w:szCs w:val="24"/>
          <w:lang w:eastAsia="en-US"/>
        </w:rPr>
        <w:t xml:space="preserve"> </w:t>
      </w:r>
      <w:r w:rsidR="004320B6">
        <w:rPr>
          <w:rFonts w:ascii="Times New Roman" w:eastAsiaTheme="minorHAnsi" w:hAnsi="Times New Roman" w:cs="Times New Roman"/>
          <w:sz w:val="24"/>
          <w:szCs w:val="24"/>
          <w:lang w:eastAsia="en-US"/>
        </w:rPr>
        <w:t>pode ser baseada</w:t>
      </w:r>
      <w:r w:rsidRPr="00230176">
        <w:rPr>
          <w:rFonts w:ascii="Times New Roman" w:eastAsiaTheme="minorHAnsi" w:hAnsi="Times New Roman" w:cs="Times New Roman"/>
          <w:sz w:val="24"/>
          <w:szCs w:val="24"/>
          <w:lang w:eastAsia="en-US"/>
        </w:rPr>
        <w:t xml:space="preserve"> em quatro hipóteses a seguir destacadas</w:t>
      </w:r>
      <w:r w:rsidRPr="00230176">
        <w:rPr>
          <w:rFonts w:ascii="Times New Roman" w:hAnsi="Times New Roman" w:cs="Times New Roman"/>
          <w:sz w:val="24"/>
          <w:szCs w:val="24"/>
        </w:rPr>
        <w:t>.</w:t>
      </w:r>
      <w:r w:rsidR="004320B6">
        <w:rPr>
          <w:rFonts w:ascii="Times New Roman" w:hAnsi="Times New Roman" w:cs="Times New Roman"/>
          <w:sz w:val="24"/>
          <w:szCs w:val="24"/>
        </w:rPr>
        <w:t xml:space="preserve"> </w:t>
      </w:r>
      <w:r w:rsidRPr="00230176">
        <w:rPr>
          <w:rFonts w:ascii="Times New Roman" w:eastAsiaTheme="minorHAnsi" w:hAnsi="Times New Roman" w:cs="Times New Roman"/>
          <w:sz w:val="24"/>
          <w:szCs w:val="24"/>
          <w:lang w:eastAsia="en-US"/>
        </w:rPr>
        <w:t xml:space="preserve">Primeiro, uma relação de causalidade unidirecional </w:t>
      </w:r>
      <w:r w:rsidR="004320B6">
        <w:rPr>
          <w:rFonts w:ascii="Times New Roman" w:eastAsiaTheme="minorHAnsi" w:hAnsi="Times New Roman" w:cs="Times New Roman"/>
          <w:sz w:val="24"/>
          <w:szCs w:val="24"/>
          <w:lang w:eastAsia="en-US"/>
        </w:rPr>
        <w:t>da poupança para o investimento é consistente com a teoria neoclássica (visão ortodoxa),</w:t>
      </w:r>
      <w:r w:rsidR="002A3DC2">
        <w:rPr>
          <w:rFonts w:ascii="Times New Roman" w:eastAsiaTheme="minorHAnsi" w:hAnsi="Times New Roman" w:cs="Times New Roman"/>
          <w:sz w:val="24"/>
          <w:szCs w:val="24"/>
          <w:lang w:eastAsia="en-US"/>
        </w:rPr>
        <w:t xml:space="preserve"> de modo que políticas de incentivo à poupança doméstica devem ser priorizadas para impulsionar os investimentos e o crescimento econômico</w:t>
      </w:r>
      <w:r w:rsidR="00742E98">
        <w:rPr>
          <w:rFonts w:ascii="Times New Roman" w:eastAsiaTheme="minorHAnsi" w:hAnsi="Times New Roman" w:cs="Times New Roman"/>
          <w:sz w:val="24"/>
          <w:szCs w:val="24"/>
          <w:lang w:eastAsia="en-US"/>
        </w:rPr>
        <w:t xml:space="preserve"> (ESSO e KEHO, 2010)</w:t>
      </w:r>
      <w:r w:rsidR="002A3DC2">
        <w:rPr>
          <w:rFonts w:ascii="Times New Roman" w:eastAsiaTheme="minorHAnsi" w:hAnsi="Times New Roman" w:cs="Times New Roman"/>
          <w:sz w:val="24"/>
          <w:szCs w:val="24"/>
          <w:lang w:eastAsia="en-US"/>
        </w:rPr>
        <w:t xml:space="preserve">. Além disso, esse resultado </w:t>
      </w:r>
      <w:r w:rsidR="004320B6">
        <w:rPr>
          <w:rFonts w:ascii="Times New Roman" w:eastAsiaTheme="minorHAnsi" w:hAnsi="Times New Roman" w:cs="Times New Roman"/>
          <w:sz w:val="24"/>
          <w:szCs w:val="24"/>
          <w:lang w:eastAsia="en-US"/>
        </w:rPr>
        <w:t>fornece suporte para políticas de austeridade fiscal</w:t>
      </w:r>
      <w:r w:rsidR="002A3DC2">
        <w:rPr>
          <w:rFonts w:ascii="Times New Roman" w:eastAsiaTheme="minorHAnsi" w:hAnsi="Times New Roman" w:cs="Times New Roman"/>
          <w:sz w:val="24"/>
          <w:szCs w:val="24"/>
          <w:lang w:eastAsia="en-US"/>
        </w:rPr>
        <w:t>, uma vez que o</w:t>
      </w:r>
      <w:r w:rsidR="000D0A71">
        <w:rPr>
          <w:rFonts w:ascii="Times New Roman" w:eastAsiaTheme="minorHAnsi" w:hAnsi="Times New Roman" w:cs="Times New Roman"/>
          <w:sz w:val="24"/>
          <w:szCs w:val="24"/>
          <w:lang w:eastAsia="en-US"/>
        </w:rPr>
        <w:t xml:space="preserve"> </w:t>
      </w:r>
      <w:r w:rsidR="00783DE6">
        <w:rPr>
          <w:rFonts w:ascii="Times New Roman" w:eastAsiaTheme="minorHAnsi" w:hAnsi="Times New Roman" w:cs="Times New Roman"/>
          <w:sz w:val="24"/>
          <w:szCs w:val="24"/>
          <w:lang w:eastAsia="en-US"/>
        </w:rPr>
        <w:t>entendimento</w:t>
      </w:r>
      <w:r w:rsidR="000D0A71">
        <w:rPr>
          <w:rFonts w:ascii="Times New Roman" w:eastAsiaTheme="minorHAnsi" w:hAnsi="Times New Roman" w:cs="Times New Roman"/>
          <w:sz w:val="24"/>
          <w:szCs w:val="24"/>
          <w:lang w:eastAsia="en-US"/>
        </w:rPr>
        <w:t xml:space="preserve"> econômico </w:t>
      </w:r>
      <w:r w:rsidR="00783DE6">
        <w:rPr>
          <w:rFonts w:ascii="Times New Roman" w:eastAsiaTheme="minorHAnsi" w:hAnsi="Times New Roman" w:cs="Times New Roman"/>
          <w:sz w:val="24"/>
          <w:szCs w:val="24"/>
          <w:lang w:eastAsia="en-US"/>
        </w:rPr>
        <w:t>sobre</w:t>
      </w:r>
      <w:r w:rsidR="000D0A71">
        <w:rPr>
          <w:rFonts w:ascii="Times New Roman" w:eastAsiaTheme="minorHAnsi" w:hAnsi="Times New Roman" w:cs="Times New Roman"/>
          <w:sz w:val="24"/>
          <w:szCs w:val="24"/>
          <w:lang w:eastAsia="en-US"/>
        </w:rPr>
        <w:t xml:space="preserve"> déficits governamentais é comumente construído em termos de seus efeitos negativos na poupança agregada e formação</w:t>
      </w:r>
      <w:r w:rsidR="00783DE6">
        <w:rPr>
          <w:rFonts w:ascii="Times New Roman" w:eastAsiaTheme="minorHAnsi" w:hAnsi="Times New Roman" w:cs="Times New Roman"/>
          <w:sz w:val="24"/>
          <w:szCs w:val="24"/>
          <w:lang w:eastAsia="en-US"/>
        </w:rPr>
        <w:t xml:space="preserve"> bruta</w:t>
      </w:r>
      <w:r w:rsidR="000D0A71">
        <w:rPr>
          <w:rFonts w:ascii="Times New Roman" w:eastAsiaTheme="minorHAnsi" w:hAnsi="Times New Roman" w:cs="Times New Roman"/>
          <w:sz w:val="24"/>
          <w:szCs w:val="24"/>
          <w:lang w:eastAsia="en-US"/>
        </w:rPr>
        <w:t xml:space="preserve"> de capital de uma economia. Se poupança causa investimento, então déficits governamentais representam poupança negativa e, consequentemente, resultam em um menor nível de investimento para a economia (PALEY, 1996).</w:t>
      </w:r>
    </w:p>
    <w:p w:rsidR="000D0A71" w:rsidRDefault="000D0A71" w:rsidP="00230176">
      <w:pPr>
        <w:spacing w:line="360" w:lineRule="auto"/>
        <w:ind w:firstLine="708"/>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Não apenas a relação de causalidade entre poupança e investimento levanta questionamentos sobre o nível dos déficits governamentais, mas também tem implicações em relação sobre como tais déficits podem ser controlados. De maneira específica, se a poupança causa o investimento, e o aumento do nível de investimentos da economia é desejado pelos </w:t>
      </w:r>
      <w:r w:rsidRPr="000D0A71">
        <w:rPr>
          <w:rFonts w:ascii="Times New Roman" w:eastAsiaTheme="minorHAnsi" w:hAnsi="Times New Roman" w:cs="Times New Roman"/>
          <w:i/>
          <w:sz w:val="24"/>
          <w:szCs w:val="24"/>
          <w:lang w:eastAsia="en-US"/>
        </w:rPr>
        <w:t>policymakers</w:t>
      </w:r>
      <w:r>
        <w:rPr>
          <w:rFonts w:ascii="Times New Roman" w:eastAsiaTheme="minorHAnsi" w:hAnsi="Times New Roman" w:cs="Times New Roman"/>
          <w:sz w:val="24"/>
          <w:szCs w:val="24"/>
          <w:lang w:eastAsia="en-US"/>
        </w:rPr>
        <w:t xml:space="preserve"> por razões de crescimento econômico, então o déficit governamental deve ser controlado por meio de corte de gastos públicos, ao invés de elevação de impostos. A elevação de impostos tenderia a diminuir a renda disponível e, consequentemente, a poupança das famílias, logo, reduzindo os benefícios </w:t>
      </w:r>
      <w:r w:rsidR="00434074">
        <w:rPr>
          <w:rFonts w:ascii="Times New Roman" w:eastAsiaTheme="minorHAnsi" w:hAnsi="Times New Roman" w:cs="Times New Roman"/>
          <w:sz w:val="24"/>
          <w:szCs w:val="24"/>
          <w:lang w:eastAsia="en-US"/>
        </w:rPr>
        <w:t>da diminuição dos déficits governamentais sobre a poupança nacional (PALEY, 1996).</w:t>
      </w:r>
    </w:p>
    <w:p w:rsidR="004320B6" w:rsidRDefault="004320B6" w:rsidP="00230176">
      <w:pPr>
        <w:spacing w:line="360" w:lineRule="auto"/>
        <w:ind w:firstLine="708"/>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Segundo, uma relação de causalidade unidirecional do investimento para a poupança evidência a prevalência da teoria keynesiana (visão heterodoxa).</w:t>
      </w:r>
      <w:r w:rsidR="00742E98">
        <w:rPr>
          <w:rFonts w:ascii="Times New Roman" w:eastAsiaTheme="minorHAnsi" w:hAnsi="Times New Roman" w:cs="Times New Roman"/>
          <w:sz w:val="24"/>
          <w:szCs w:val="24"/>
          <w:lang w:eastAsia="en-US"/>
        </w:rPr>
        <w:t xml:space="preserve"> Sob essa hipótese, políticas de incentivo à poupança provavelmente não deverão ter sucesso e podem envolver ineficiências econômicas. Contudo, as políticas econômicas devem se concentrar na remoção dos impedimentos ou gargalos para que o investimento possa contribuir para o crescimento econômico.</w:t>
      </w:r>
    </w:p>
    <w:p w:rsidR="00230176" w:rsidRPr="00230176" w:rsidRDefault="00230176" w:rsidP="00230176">
      <w:p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230176">
        <w:rPr>
          <w:rFonts w:ascii="Times New Roman" w:eastAsiaTheme="minorHAnsi" w:hAnsi="Times New Roman" w:cs="Times New Roman"/>
          <w:sz w:val="24"/>
          <w:szCs w:val="24"/>
          <w:lang w:eastAsia="en-US"/>
        </w:rPr>
        <w:tab/>
        <w:t xml:space="preserve">Terceiro, uma relação de bicausalidade entre </w:t>
      </w:r>
      <w:r w:rsidR="004320B6">
        <w:rPr>
          <w:rFonts w:ascii="Times New Roman" w:eastAsiaTheme="minorHAnsi" w:hAnsi="Times New Roman" w:cs="Times New Roman"/>
          <w:sz w:val="24"/>
          <w:szCs w:val="24"/>
          <w:lang w:eastAsia="en-US"/>
        </w:rPr>
        <w:t xml:space="preserve">poupança e investimento </w:t>
      </w:r>
      <w:r w:rsidRPr="00230176">
        <w:rPr>
          <w:rFonts w:ascii="Times New Roman" w:eastAsiaTheme="minorHAnsi" w:hAnsi="Times New Roman" w:cs="Times New Roman"/>
          <w:sz w:val="24"/>
          <w:szCs w:val="24"/>
          <w:lang w:eastAsia="en-US"/>
        </w:rPr>
        <w:t xml:space="preserve">significa que essas duas variáveis são mutuamente afetadas e conjuntamente determinadas ao mesmo </w:t>
      </w:r>
      <w:r w:rsidRPr="00230176">
        <w:rPr>
          <w:rFonts w:ascii="Times New Roman" w:eastAsiaTheme="minorHAnsi" w:hAnsi="Times New Roman" w:cs="Times New Roman"/>
          <w:sz w:val="24"/>
          <w:szCs w:val="24"/>
          <w:lang w:eastAsia="en-US"/>
        </w:rPr>
        <w:lastRenderedPageBreak/>
        <w:t>tempo.</w:t>
      </w:r>
      <w:r w:rsidR="00E94572">
        <w:rPr>
          <w:rFonts w:ascii="Times New Roman" w:eastAsiaTheme="minorHAnsi" w:hAnsi="Times New Roman" w:cs="Times New Roman"/>
          <w:sz w:val="24"/>
          <w:szCs w:val="24"/>
          <w:lang w:eastAsia="en-US"/>
        </w:rPr>
        <w:t xml:space="preserve"> Além disso, esse resultado corrobora as evidências de que o enigma de Feldstein-Horioka se aplica ao caso brasileiro, de modo que a mobilidade de capitais não é perfeita.</w:t>
      </w:r>
    </w:p>
    <w:p w:rsidR="00230176" w:rsidRPr="00230176" w:rsidRDefault="00230176" w:rsidP="00230176">
      <w:pPr>
        <w:autoSpaceDE w:val="0"/>
        <w:autoSpaceDN w:val="0"/>
        <w:adjustRightInd w:val="0"/>
        <w:spacing w:line="360" w:lineRule="auto"/>
        <w:ind w:firstLine="708"/>
        <w:contextualSpacing/>
        <w:jc w:val="both"/>
        <w:rPr>
          <w:rFonts w:ascii="Times New Roman" w:hAnsi="Times New Roman" w:cs="Times New Roman"/>
          <w:sz w:val="24"/>
          <w:szCs w:val="24"/>
          <w:lang w:val="pt-PT"/>
        </w:rPr>
      </w:pPr>
      <w:r w:rsidRPr="00230176">
        <w:rPr>
          <w:rStyle w:val="hps"/>
          <w:rFonts w:ascii="Times New Roman" w:hAnsi="Times New Roman" w:cs="Times New Roman"/>
          <w:sz w:val="24"/>
          <w:szCs w:val="24"/>
          <w:lang w:val="pt-PT"/>
        </w:rPr>
        <w:t>Finalmente, um</w:t>
      </w:r>
      <w:r w:rsidR="004320B6">
        <w:rPr>
          <w:rStyle w:val="hps"/>
          <w:rFonts w:ascii="Times New Roman" w:hAnsi="Times New Roman" w:cs="Times New Roman"/>
          <w:sz w:val="24"/>
          <w:szCs w:val="24"/>
          <w:lang w:val="pt-PT"/>
        </w:rPr>
        <w:t>a quarta hipótese está associada</w:t>
      </w:r>
      <w:r w:rsidRPr="00230176">
        <w:rPr>
          <w:rStyle w:val="hps"/>
          <w:rFonts w:ascii="Times New Roman" w:hAnsi="Times New Roman" w:cs="Times New Roman"/>
          <w:sz w:val="24"/>
          <w:szCs w:val="24"/>
          <w:lang w:val="pt-PT"/>
        </w:rPr>
        <w:t xml:space="preserve"> à </w:t>
      </w:r>
      <w:r w:rsidR="0013407C">
        <w:rPr>
          <w:rStyle w:val="hps"/>
          <w:rFonts w:ascii="Times New Roman" w:hAnsi="Times New Roman" w:cs="Times New Roman"/>
          <w:sz w:val="24"/>
          <w:szCs w:val="24"/>
          <w:lang w:val="pt-PT"/>
        </w:rPr>
        <w:t>ausênci</w:t>
      </w:r>
      <w:r w:rsidRPr="00230176">
        <w:rPr>
          <w:rStyle w:val="hps"/>
          <w:rFonts w:ascii="Times New Roman" w:hAnsi="Times New Roman" w:cs="Times New Roman"/>
          <w:sz w:val="24"/>
          <w:szCs w:val="24"/>
          <w:lang w:val="pt-PT"/>
        </w:rPr>
        <w:t xml:space="preserve"> de relação de causalidade entre </w:t>
      </w:r>
      <w:r w:rsidR="004320B6">
        <w:rPr>
          <w:rStyle w:val="hps"/>
          <w:rFonts w:ascii="Times New Roman" w:hAnsi="Times New Roman" w:cs="Times New Roman"/>
          <w:sz w:val="24"/>
          <w:szCs w:val="24"/>
          <w:lang w:val="pt-PT"/>
        </w:rPr>
        <w:t>poupança e investimento</w:t>
      </w:r>
      <w:r w:rsidR="00E94572">
        <w:rPr>
          <w:rFonts w:ascii="Times New Roman" w:hAnsi="Times New Roman" w:cs="Times New Roman"/>
          <w:sz w:val="24"/>
          <w:szCs w:val="24"/>
          <w:lang w:val="pt-PT"/>
        </w:rPr>
        <w:t xml:space="preserve">, indicando, assim, uma </w:t>
      </w:r>
      <w:r w:rsidR="00281175">
        <w:rPr>
          <w:rFonts w:ascii="Times New Roman" w:hAnsi="Times New Roman" w:cs="Times New Roman"/>
          <w:sz w:val="24"/>
          <w:szCs w:val="24"/>
          <w:lang w:val="pt-PT"/>
        </w:rPr>
        <w:t>perfeita</w:t>
      </w:r>
      <w:r w:rsidR="00E94572">
        <w:rPr>
          <w:rFonts w:ascii="Times New Roman" w:hAnsi="Times New Roman" w:cs="Times New Roman"/>
          <w:sz w:val="24"/>
          <w:szCs w:val="24"/>
          <w:lang w:val="pt-PT"/>
        </w:rPr>
        <w:t xml:space="preserve"> mobilidade de capitais e a não aplicabilidade do enigma de Feldstein-Horioka para o caso brasileiro.</w:t>
      </w:r>
    </w:p>
    <w:p w:rsidR="00412CF6" w:rsidRDefault="0053101C" w:rsidP="002301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objetivo d</w:t>
      </w:r>
      <w:r w:rsidR="00D34E7E">
        <w:rPr>
          <w:rFonts w:ascii="Times New Roman" w:hAnsi="Times New Roman" w:cs="Times New Roman"/>
          <w:sz w:val="24"/>
          <w:szCs w:val="24"/>
        </w:rPr>
        <w:t>e</w:t>
      </w:r>
      <w:r w:rsidRPr="00E332D8">
        <w:rPr>
          <w:rFonts w:ascii="Times New Roman" w:hAnsi="Times New Roman" w:cs="Times New Roman"/>
          <w:sz w:val="24"/>
          <w:szCs w:val="24"/>
        </w:rPr>
        <w:t xml:space="preserve">sse estudo </w:t>
      </w:r>
      <w:r w:rsidR="007E4BA6">
        <w:rPr>
          <w:rFonts w:ascii="Times New Roman" w:hAnsi="Times New Roman" w:cs="Times New Roman"/>
          <w:sz w:val="24"/>
          <w:szCs w:val="24"/>
        </w:rPr>
        <w:t>investiga</w:t>
      </w:r>
      <w:r w:rsidRPr="00E332D8">
        <w:rPr>
          <w:rFonts w:ascii="Times New Roman" w:hAnsi="Times New Roman" w:cs="Times New Roman"/>
          <w:sz w:val="24"/>
          <w:szCs w:val="24"/>
        </w:rPr>
        <w:t xml:space="preserve"> a relação entre poupança e investimento no Brasil d</w:t>
      </w:r>
      <w:r w:rsidR="00D34E7E">
        <w:rPr>
          <w:rFonts w:ascii="Times New Roman" w:hAnsi="Times New Roman" w:cs="Times New Roman"/>
          <w:sz w:val="24"/>
          <w:szCs w:val="24"/>
        </w:rPr>
        <w:t xml:space="preserve">urante o período de 1995 a 2012, </w:t>
      </w:r>
      <w:r>
        <w:rPr>
          <w:rFonts w:ascii="Times New Roman" w:hAnsi="Times New Roman" w:cs="Times New Roman"/>
          <w:sz w:val="24"/>
          <w:szCs w:val="24"/>
        </w:rPr>
        <w:t>por meio do teste de causalidade de Granger</w:t>
      </w:r>
      <w:r w:rsidR="004320B6">
        <w:rPr>
          <w:rFonts w:ascii="Times New Roman" w:hAnsi="Times New Roman" w:cs="Times New Roman"/>
          <w:sz w:val="24"/>
          <w:szCs w:val="24"/>
        </w:rPr>
        <w:t xml:space="preserve"> (1969)</w:t>
      </w:r>
      <w:r>
        <w:rPr>
          <w:rFonts w:ascii="Times New Roman" w:hAnsi="Times New Roman" w:cs="Times New Roman"/>
          <w:sz w:val="24"/>
          <w:szCs w:val="24"/>
        </w:rPr>
        <w:t xml:space="preserve"> aplicado em uma estrutura multivariada. </w:t>
      </w:r>
      <w:r w:rsidR="00412CF6" w:rsidRPr="00E332D8">
        <w:rPr>
          <w:rFonts w:ascii="Times New Roman" w:hAnsi="Times New Roman" w:cs="Times New Roman"/>
          <w:sz w:val="24"/>
          <w:szCs w:val="24"/>
        </w:rPr>
        <w:t xml:space="preserve">Este trabalho contribui para a literatura </w:t>
      </w:r>
      <w:r w:rsidR="002C69AF" w:rsidRPr="00E332D8">
        <w:rPr>
          <w:rFonts w:ascii="Times New Roman" w:hAnsi="Times New Roman" w:cs="Times New Roman"/>
          <w:sz w:val="24"/>
          <w:szCs w:val="24"/>
        </w:rPr>
        <w:t xml:space="preserve">sobre o tema </w:t>
      </w:r>
      <w:r w:rsidR="00412CF6" w:rsidRPr="00E332D8">
        <w:rPr>
          <w:rFonts w:ascii="Times New Roman" w:hAnsi="Times New Roman" w:cs="Times New Roman"/>
          <w:sz w:val="24"/>
          <w:szCs w:val="24"/>
        </w:rPr>
        <w:t xml:space="preserve">por apresentar uma análise empírica da </w:t>
      </w:r>
      <w:r w:rsidR="00404DB8" w:rsidRPr="00E332D8">
        <w:rPr>
          <w:rFonts w:ascii="Times New Roman" w:hAnsi="Times New Roman" w:cs="Times New Roman"/>
          <w:sz w:val="24"/>
          <w:szCs w:val="24"/>
        </w:rPr>
        <w:t xml:space="preserve">relação de </w:t>
      </w:r>
      <w:r w:rsidR="00412CF6" w:rsidRPr="00E332D8">
        <w:rPr>
          <w:rFonts w:ascii="Times New Roman" w:hAnsi="Times New Roman" w:cs="Times New Roman"/>
          <w:sz w:val="24"/>
          <w:szCs w:val="24"/>
        </w:rPr>
        <w:t>causalidade entre poupança e investimento</w:t>
      </w:r>
      <w:r w:rsidR="00404DB8" w:rsidRPr="00E332D8">
        <w:rPr>
          <w:rFonts w:ascii="Times New Roman" w:hAnsi="Times New Roman" w:cs="Times New Roman"/>
          <w:sz w:val="24"/>
          <w:szCs w:val="24"/>
        </w:rPr>
        <w:t>, no sentido de Granger, uma vez que estudos dessa natureza ainda são escassos para a economia brasileira</w:t>
      </w:r>
      <w:r w:rsidR="002C69AF" w:rsidRPr="00E332D8">
        <w:rPr>
          <w:rFonts w:ascii="Times New Roman" w:hAnsi="Times New Roman" w:cs="Times New Roman"/>
          <w:sz w:val="24"/>
          <w:szCs w:val="24"/>
        </w:rPr>
        <w:t>.</w:t>
      </w:r>
      <w:r w:rsidR="00404DB8" w:rsidRPr="00E332D8">
        <w:rPr>
          <w:rFonts w:ascii="Times New Roman" w:hAnsi="Times New Roman" w:cs="Times New Roman"/>
          <w:sz w:val="24"/>
          <w:szCs w:val="24"/>
        </w:rPr>
        <w:t xml:space="preserve"> </w:t>
      </w:r>
      <w:r w:rsidR="002749EC" w:rsidRPr="00E332D8">
        <w:rPr>
          <w:rFonts w:ascii="Times New Roman" w:hAnsi="Times New Roman" w:cs="Times New Roman"/>
          <w:sz w:val="24"/>
          <w:szCs w:val="24"/>
        </w:rPr>
        <w:t>Os resultados aqui obtidos mostram</w:t>
      </w:r>
      <w:r w:rsidR="00B522BC" w:rsidRPr="00E332D8">
        <w:rPr>
          <w:rFonts w:ascii="Times New Roman" w:hAnsi="Times New Roman" w:cs="Times New Roman"/>
          <w:sz w:val="24"/>
          <w:szCs w:val="24"/>
        </w:rPr>
        <w:t xml:space="preserve"> a existência de uma </w:t>
      </w:r>
      <w:r w:rsidR="002749EC" w:rsidRPr="00E332D8">
        <w:rPr>
          <w:rFonts w:ascii="Times New Roman" w:hAnsi="Times New Roman" w:cs="Times New Roman"/>
          <w:sz w:val="24"/>
          <w:szCs w:val="24"/>
        </w:rPr>
        <w:t xml:space="preserve">relação de </w:t>
      </w:r>
      <w:r w:rsidR="00B522BC" w:rsidRPr="00E332D8">
        <w:rPr>
          <w:rFonts w:ascii="Times New Roman" w:hAnsi="Times New Roman" w:cs="Times New Roman"/>
          <w:sz w:val="24"/>
          <w:szCs w:val="24"/>
        </w:rPr>
        <w:t>bi</w:t>
      </w:r>
      <w:r w:rsidR="00412CF6" w:rsidRPr="00E332D8">
        <w:rPr>
          <w:rFonts w:ascii="Times New Roman" w:hAnsi="Times New Roman" w:cs="Times New Roman"/>
          <w:sz w:val="24"/>
          <w:szCs w:val="24"/>
        </w:rPr>
        <w:t>causalidade</w:t>
      </w:r>
      <w:r w:rsidR="002749EC" w:rsidRPr="00E332D8">
        <w:rPr>
          <w:rFonts w:ascii="Times New Roman" w:hAnsi="Times New Roman" w:cs="Times New Roman"/>
          <w:sz w:val="24"/>
          <w:szCs w:val="24"/>
        </w:rPr>
        <w:t xml:space="preserve"> </w:t>
      </w:r>
      <w:r w:rsidR="002749EC" w:rsidRPr="00FF57F4">
        <w:rPr>
          <w:rFonts w:ascii="Times New Roman" w:hAnsi="Times New Roman" w:cs="Times New Roman"/>
          <w:sz w:val="24"/>
          <w:szCs w:val="24"/>
        </w:rPr>
        <w:t>Granger</w:t>
      </w:r>
      <w:r w:rsidR="00412CF6" w:rsidRPr="00FF57F4">
        <w:rPr>
          <w:rFonts w:ascii="Times New Roman" w:hAnsi="Times New Roman" w:cs="Times New Roman"/>
          <w:sz w:val="24"/>
          <w:szCs w:val="24"/>
        </w:rPr>
        <w:t xml:space="preserve"> entre poupança e investimento.</w:t>
      </w:r>
    </w:p>
    <w:p w:rsidR="00415969" w:rsidRPr="00E332D8" w:rsidRDefault="001A743E" w:rsidP="00415969">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Os resultados obtidos de um modelo VAR</w:t>
      </w:r>
      <w:r>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bicausalidade de Granger, 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Pr>
          <w:rFonts w:ascii="Times New Roman" w:hAnsi="Times New Roman" w:cs="Times New Roman"/>
          <w:sz w:val="24"/>
          <w:szCs w:val="24"/>
        </w:rPr>
        <w:t>, como também evidências da validade do enigma de Feldstein-Horioka</w:t>
      </w:r>
      <w:r w:rsidRPr="00E332D8">
        <w:rPr>
          <w:rFonts w:ascii="Times New Roman" w:hAnsi="Times New Roman" w:cs="Times New Roman"/>
          <w:sz w:val="24"/>
          <w:szCs w:val="24"/>
        </w:rPr>
        <w:t>.</w:t>
      </w:r>
      <w:r>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p>
    <w:p w:rsidR="00AD2648" w:rsidRPr="00FF57F4" w:rsidRDefault="00783DE6"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 </w:t>
      </w:r>
      <w:r w:rsidR="00412CF6" w:rsidRPr="00FF57F4">
        <w:rPr>
          <w:rFonts w:ascii="Times New Roman" w:hAnsi="Times New Roman" w:cs="Times New Roman"/>
          <w:sz w:val="24"/>
          <w:szCs w:val="24"/>
        </w:rPr>
        <w:t>Este artigo se encontra dividido da seguinte maneira. Além desta in</w:t>
      </w:r>
      <w:r w:rsidR="00FE4276" w:rsidRPr="00FF57F4">
        <w:rPr>
          <w:rFonts w:ascii="Times New Roman" w:hAnsi="Times New Roman" w:cs="Times New Roman"/>
          <w:sz w:val="24"/>
          <w:szCs w:val="24"/>
        </w:rPr>
        <w:t xml:space="preserve">trodução, na próxima seção será apresentada uma revisão de literatura dos modelos recentes </w:t>
      </w:r>
      <w:r w:rsidR="00412CF6" w:rsidRPr="00FF57F4">
        <w:rPr>
          <w:rFonts w:ascii="Times New Roman" w:hAnsi="Times New Roman" w:cs="Times New Roman"/>
          <w:sz w:val="24"/>
          <w:szCs w:val="24"/>
        </w:rPr>
        <w:t xml:space="preserve">sobre o nexo poupança-investimento. A seção 3 </w:t>
      </w:r>
      <w:r w:rsidR="00FE4276" w:rsidRPr="00FF57F4">
        <w:rPr>
          <w:rFonts w:ascii="Times New Roman" w:hAnsi="Times New Roman" w:cs="Times New Roman"/>
          <w:sz w:val="24"/>
          <w:szCs w:val="24"/>
        </w:rPr>
        <w:t xml:space="preserve">trata de </w:t>
      </w:r>
      <w:r>
        <w:rPr>
          <w:rFonts w:ascii="Times New Roman" w:hAnsi="Times New Roman" w:cs="Times New Roman"/>
          <w:sz w:val="24"/>
          <w:szCs w:val="24"/>
        </w:rPr>
        <w:t>estudos associados ao enigma de Feldstein-Horioka</w:t>
      </w:r>
      <w:r w:rsidR="00FE4276" w:rsidRPr="00FF57F4">
        <w:rPr>
          <w:rFonts w:ascii="Times New Roman" w:hAnsi="Times New Roman" w:cs="Times New Roman"/>
          <w:sz w:val="24"/>
          <w:szCs w:val="24"/>
        </w:rPr>
        <w:t xml:space="preserve">. A seção 4 </w:t>
      </w:r>
      <w:r>
        <w:rPr>
          <w:rFonts w:ascii="Times New Roman" w:hAnsi="Times New Roman" w:cs="Times New Roman"/>
          <w:sz w:val="24"/>
          <w:szCs w:val="24"/>
        </w:rPr>
        <w:t xml:space="preserve">trata da metodologia a ser utilizada </w:t>
      </w:r>
      <w:r w:rsidR="00FE4276" w:rsidRPr="00FF57F4">
        <w:rPr>
          <w:rFonts w:ascii="Times New Roman" w:hAnsi="Times New Roman" w:cs="Times New Roman"/>
          <w:sz w:val="24"/>
          <w:szCs w:val="24"/>
        </w:rPr>
        <w:t>e a seção 5</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 xml:space="preserve">descreve </w:t>
      </w:r>
      <w:r w:rsidR="00412CF6" w:rsidRPr="00FF57F4">
        <w:rPr>
          <w:rFonts w:ascii="Times New Roman" w:hAnsi="Times New Roman" w:cs="Times New Roman"/>
          <w:sz w:val="24"/>
          <w:szCs w:val="24"/>
        </w:rPr>
        <w:t>o</w:t>
      </w:r>
      <w:r w:rsidR="00FF57F4" w:rsidRPr="00FF57F4">
        <w:rPr>
          <w:rFonts w:ascii="Times New Roman" w:hAnsi="Times New Roman" w:cs="Times New Roman"/>
          <w:sz w:val="24"/>
          <w:szCs w:val="24"/>
        </w:rPr>
        <w:t>s dados utilizados</w:t>
      </w:r>
      <w:r>
        <w:rPr>
          <w:rFonts w:ascii="Times New Roman" w:hAnsi="Times New Roman" w:cs="Times New Roman"/>
          <w:sz w:val="24"/>
          <w:szCs w:val="24"/>
        </w:rPr>
        <w:t xml:space="preserve"> e o tratamento realizado</w:t>
      </w:r>
      <w:r w:rsidR="00FF57F4" w:rsidRPr="00FF57F4">
        <w:rPr>
          <w:rFonts w:ascii="Times New Roman" w:hAnsi="Times New Roman" w:cs="Times New Roman"/>
          <w:sz w:val="24"/>
          <w:szCs w:val="24"/>
        </w:rPr>
        <w:t>. Já a seção 6</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reporta</w:t>
      </w:r>
      <w:r w:rsidR="00412CF6" w:rsidRPr="00FF57F4">
        <w:rPr>
          <w:rFonts w:ascii="Times New Roman" w:hAnsi="Times New Roman" w:cs="Times New Roman"/>
          <w:sz w:val="24"/>
          <w:szCs w:val="24"/>
        </w:rPr>
        <w:t xml:space="preserve"> os resultados </w:t>
      </w:r>
      <w:r w:rsidR="00FF57F4" w:rsidRPr="00FF57F4">
        <w:rPr>
          <w:rFonts w:ascii="Times New Roman" w:hAnsi="Times New Roman" w:cs="Times New Roman"/>
          <w:sz w:val="24"/>
          <w:szCs w:val="24"/>
        </w:rPr>
        <w:t>da estimação</w:t>
      </w:r>
      <w:r>
        <w:rPr>
          <w:rFonts w:ascii="Times New Roman" w:hAnsi="Times New Roman" w:cs="Times New Roman"/>
          <w:sz w:val="24"/>
          <w:szCs w:val="24"/>
        </w:rPr>
        <w:t xml:space="preserve"> econométrica multivariada</w:t>
      </w:r>
      <w:r w:rsidR="00FF57F4" w:rsidRPr="00FF57F4">
        <w:rPr>
          <w:rFonts w:ascii="Times New Roman" w:hAnsi="Times New Roman" w:cs="Times New Roman"/>
          <w:sz w:val="24"/>
          <w:szCs w:val="24"/>
        </w:rPr>
        <w:t>. Por fim, a seção 7</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conclui o estudo</w:t>
      </w:r>
      <w:r w:rsidR="00FF57F4" w:rsidRPr="00FF57F4">
        <w:rPr>
          <w:rFonts w:ascii="Times New Roman" w:hAnsi="Times New Roman" w:cs="Times New Roman"/>
          <w:sz w:val="24"/>
          <w:szCs w:val="24"/>
        </w:rPr>
        <w:t>.</w:t>
      </w:r>
    </w:p>
    <w:p w:rsidR="00FF57F4" w:rsidRPr="00EB6427" w:rsidRDefault="00FF57F4" w:rsidP="00230341">
      <w:pPr>
        <w:spacing w:after="0" w:line="360" w:lineRule="auto"/>
        <w:ind w:firstLine="708"/>
        <w:jc w:val="both"/>
        <w:rPr>
          <w:rFonts w:ascii="Times New Roman" w:hAnsi="Times New Roman" w:cs="Times New Roman"/>
          <w:sz w:val="24"/>
          <w:szCs w:val="24"/>
        </w:rPr>
      </w:pPr>
    </w:p>
    <w:p w:rsidR="001A3BB2" w:rsidRPr="00FE4276" w:rsidRDefault="001A3BB2" w:rsidP="00230341">
      <w:pPr>
        <w:spacing w:after="0" w:line="360" w:lineRule="auto"/>
        <w:jc w:val="both"/>
        <w:rPr>
          <w:rFonts w:ascii="Times New Roman" w:hAnsi="Times New Roman" w:cs="Times New Roman"/>
          <w:b/>
          <w:sz w:val="24"/>
          <w:szCs w:val="24"/>
        </w:rPr>
      </w:pPr>
      <w:r w:rsidRPr="00FE4276">
        <w:rPr>
          <w:rFonts w:ascii="Times New Roman" w:hAnsi="Times New Roman" w:cs="Times New Roman"/>
          <w:b/>
          <w:sz w:val="24"/>
          <w:szCs w:val="24"/>
        </w:rPr>
        <w:t>2. Revisão de Literatura</w:t>
      </w:r>
    </w:p>
    <w:p w:rsidR="008C60F3" w:rsidRDefault="008C60F3" w:rsidP="00ED2996">
      <w:pPr>
        <w:spacing w:after="0" w:line="360" w:lineRule="auto"/>
        <w:ind w:firstLine="708"/>
        <w:jc w:val="both"/>
        <w:rPr>
          <w:rFonts w:ascii="Times New Roman" w:hAnsi="Times New Roman" w:cs="Times New Roman"/>
          <w:color w:val="000000" w:themeColor="text1"/>
          <w:sz w:val="24"/>
          <w:szCs w:val="24"/>
        </w:rPr>
      </w:pPr>
    </w:p>
    <w:p w:rsidR="00AD2648" w:rsidRPr="00EB6427" w:rsidRDefault="00ED2996" w:rsidP="00ED2996">
      <w:pPr>
        <w:spacing w:after="0" w:line="360" w:lineRule="auto"/>
        <w:ind w:firstLine="708"/>
        <w:jc w:val="both"/>
        <w:rPr>
          <w:rFonts w:ascii="Times New Roman" w:hAnsi="Times New Roman" w:cs="Times New Roman"/>
          <w:b/>
          <w:sz w:val="24"/>
          <w:szCs w:val="24"/>
        </w:rPr>
      </w:pPr>
      <w:r w:rsidRPr="00EB6427">
        <w:rPr>
          <w:rFonts w:ascii="Times New Roman" w:hAnsi="Times New Roman" w:cs="Times New Roman"/>
          <w:color w:val="000000" w:themeColor="text1"/>
          <w:sz w:val="24"/>
          <w:szCs w:val="24"/>
        </w:rPr>
        <w:t xml:space="preserve">A relação entre poupança e investimento tem sido muito discutida na literatura devido ao modelo pioneiro de </w:t>
      </w:r>
      <w:proofErr w:type="spellStart"/>
      <w:r w:rsidRPr="00EB6427">
        <w:rPr>
          <w:rFonts w:ascii="Times New Roman" w:hAnsi="Times New Roman" w:cs="Times New Roman"/>
          <w:color w:val="000000" w:themeColor="text1"/>
          <w:sz w:val="24"/>
          <w:szCs w:val="24"/>
        </w:rPr>
        <w:t>Feldstein</w:t>
      </w:r>
      <w:proofErr w:type="spellEnd"/>
      <w:r w:rsidRPr="00EB6427">
        <w:rPr>
          <w:rFonts w:ascii="Times New Roman" w:hAnsi="Times New Roman" w:cs="Times New Roman"/>
          <w:color w:val="000000" w:themeColor="text1"/>
          <w:sz w:val="24"/>
          <w:szCs w:val="24"/>
        </w:rPr>
        <w:t xml:space="preserve"> e </w:t>
      </w:r>
      <w:proofErr w:type="spellStart"/>
      <w:r w:rsidRPr="00EB6427">
        <w:rPr>
          <w:rFonts w:ascii="Times New Roman" w:hAnsi="Times New Roman" w:cs="Times New Roman"/>
          <w:color w:val="000000" w:themeColor="text1"/>
          <w:sz w:val="24"/>
          <w:szCs w:val="24"/>
        </w:rPr>
        <w:t>Horioka</w:t>
      </w:r>
      <w:proofErr w:type="spellEnd"/>
      <w:r w:rsidRPr="00EB6427">
        <w:rPr>
          <w:rFonts w:ascii="Times New Roman" w:hAnsi="Times New Roman" w:cs="Times New Roman"/>
          <w:color w:val="000000" w:themeColor="text1"/>
          <w:sz w:val="24"/>
          <w:szCs w:val="24"/>
        </w:rPr>
        <w:t xml:space="preserve"> (1980</w:t>
      </w:r>
      <w:r w:rsidRPr="0021764B">
        <w:rPr>
          <w:rFonts w:ascii="Times New Roman" w:hAnsi="Times New Roman" w:cs="Times New Roman"/>
          <w:color w:val="000000" w:themeColor="text1"/>
          <w:sz w:val="24"/>
          <w:szCs w:val="24"/>
        </w:rPr>
        <w:t>).</w:t>
      </w:r>
      <w:r w:rsidRPr="0021764B">
        <w:rPr>
          <w:rStyle w:val="apple-converted-space"/>
          <w:rFonts w:ascii="Times New Roman" w:hAnsi="Times New Roman" w:cs="Times New Roman"/>
          <w:color w:val="000000" w:themeColor="text1"/>
          <w:sz w:val="24"/>
          <w:szCs w:val="24"/>
        </w:rPr>
        <w:t>  </w:t>
      </w:r>
      <w:r w:rsidR="0021764B" w:rsidRPr="0021764B">
        <w:rPr>
          <w:rFonts w:ascii="Times New Roman" w:hAnsi="Times New Roman" w:cs="Times New Roman"/>
          <w:color w:val="000000" w:themeColor="text1"/>
          <w:sz w:val="24"/>
          <w:szCs w:val="24"/>
        </w:rPr>
        <w:t xml:space="preserve">Alguns estudos recentes buscaram verificar a relação entre poupança e investimento por meio do teste de causalidade de Granger. </w:t>
      </w:r>
      <w:proofErr w:type="spellStart"/>
      <w:r w:rsidR="00EB6427" w:rsidRPr="00EB6427">
        <w:rPr>
          <w:rFonts w:ascii="Times New Roman" w:hAnsi="Times New Roman" w:cs="Times New Roman"/>
          <w:color w:val="000000" w:themeColor="text1"/>
          <w:sz w:val="24"/>
          <w:szCs w:val="24"/>
          <w:shd w:val="clear" w:color="auto" w:fill="FFFFFF"/>
        </w:rPr>
        <w:t>Anoruo</w:t>
      </w:r>
      <w:proofErr w:type="spellEnd"/>
      <w:r w:rsidR="00EB6427" w:rsidRPr="00EB6427">
        <w:rPr>
          <w:rFonts w:ascii="Times New Roman" w:hAnsi="Times New Roman" w:cs="Times New Roman"/>
          <w:color w:val="000000" w:themeColor="text1"/>
          <w:sz w:val="24"/>
          <w:szCs w:val="24"/>
          <w:shd w:val="clear" w:color="auto" w:fill="FFFFFF"/>
        </w:rPr>
        <w:t xml:space="preserve"> (2001), utilizando-se de um procedimento de cointegração em séries temporais, constatou que o investimento Granger causa a poupança na </w:t>
      </w:r>
      <w:proofErr w:type="spellStart"/>
      <w:r w:rsidR="00EB6427" w:rsidRPr="00EB6427">
        <w:rPr>
          <w:rFonts w:ascii="Times New Roman" w:hAnsi="Times New Roman" w:cs="Times New Roman"/>
          <w:color w:val="000000" w:themeColor="text1"/>
          <w:sz w:val="24"/>
          <w:szCs w:val="24"/>
          <w:shd w:val="clear" w:color="auto" w:fill="FFFFFF"/>
        </w:rPr>
        <w:t>Indonesia</w:t>
      </w:r>
      <w:proofErr w:type="spellEnd"/>
      <w:r w:rsidR="00EB6427" w:rsidRPr="00EB6427">
        <w:rPr>
          <w:rFonts w:ascii="Times New Roman" w:hAnsi="Times New Roman" w:cs="Times New Roman"/>
          <w:color w:val="000000" w:themeColor="text1"/>
          <w:sz w:val="24"/>
          <w:szCs w:val="24"/>
          <w:shd w:val="clear" w:color="auto" w:fill="FFFFFF"/>
        </w:rPr>
        <w:t xml:space="preserve"> e Singapura no período de 1960 a 1996. Já para as Filipinas, a poupança Granger causa o investimento no mesmo período. Finalmente, para Malásia e Tailândia, foi verificada uma relação de </w:t>
      </w:r>
      <w:r w:rsidR="00EB6427" w:rsidRPr="00EB6427">
        <w:rPr>
          <w:rFonts w:ascii="Times New Roman" w:hAnsi="Times New Roman" w:cs="Times New Roman"/>
          <w:color w:val="000000" w:themeColor="text1"/>
          <w:sz w:val="24"/>
          <w:szCs w:val="24"/>
          <w:shd w:val="clear" w:color="auto" w:fill="FFFFFF"/>
        </w:rPr>
        <w:lastRenderedPageBreak/>
        <w:t>bicausalidade Granger entre poupança e investimento no período indicado.</w:t>
      </w:r>
      <w:r w:rsidR="00EB6427" w:rsidRPr="00EB6427">
        <w:rPr>
          <w:rFonts w:ascii="Times New Roman" w:hAnsi="Times New Roman" w:cs="Times New Roman"/>
          <w:color w:val="000000" w:themeColor="text1"/>
          <w:sz w:val="24"/>
          <w:szCs w:val="24"/>
        </w:rPr>
        <w:t xml:space="preserve"> Para chegar a tais resultados, três procedimentos foram realizados.</w:t>
      </w:r>
      <w:r w:rsidRPr="00EB6427">
        <w:rPr>
          <w:rFonts w:ascii="Times New Roman" w:hAnsi="Times New Roman" w:cs="Times New Roman"/>
          <w:color w:val="000000" w:themeColor="text1"/>
          <w:sz w:val="24"/>
          <w:szCs w:val="24"/>
        </w:rPr>
        <w:t xml:space="preserve"> </w:t>
      </w:r>
      <w:r w:rsidR="00EB6427" w:rsidRPr="00EB6427">
        <w:rPr>
          <w:rFonts w:ascii="Times New Roman" w:hAnsi="Times New Roman" w:cs="Times New Roman"/>
          <w:color w:val="000000" w:themeColor="text1"/>
          <w:sz w:val="24"/>
          <w:szCs w:val="24"/>
        </w:rPr>
        <w:t>Primeiro, testou-se a ordem de integração da poupança e do investimento por meio do teste de Dickey-Fuller (DF) e</w:t>
      </w:r>
      <w:r w:rsidRPr="00EB6427">
        <w:rPr>
          <w:rFonts w:ascii="Times New Roman" w:hAnsi="Times New Roman" w:cs="Times New Roman"/>
          <w:color w:val="000000" w:themeColor="text1"/>
          <w:sz w:val="24"/>
          <w:szCs w:val="24"/>
        </w:rPr>
        <w:t xml:space="preserve"> Dickey-Fuller</w:t>
      </w:r>
      <w:r w:rsidR="00EB6427" w:rsidRPr="00EB6427">
        <w:rPr>
          <w:rFonts w:ascii="Times New Roman" w:hAnsi="Times New Roman" w:cs="Times New Roman"/>
          <w:color w:val="000000" w:themeColor="text1"/>
          <w:sz w:val="24"/>
          <w:szCs w:val="24"/>
        </w:rPr>
        <w:t xml:space="preserve"> aumentado (ADF)</w:t>
      </w:r>
      <w:r w:rsidRPr="00EB6427">
        <w:rPr>
          <w:rFonts w:ascii="Times New Roman" w:hAnsi="Times New Roman" w:cs="Times New Roman"/>
          <w:color w:val="000000" w:themeColor="text1"/>
          <w:sz w:val="24"/>
          <w:szCs w:val="24"/>
        </w:rPr>
        <w:t xml:space="preserve">. </w:t>
      </w:r>
      <w:r w:rsidR="00EB6427" w:rsidRPr="00EB6427">
        <w:rPr>
          <w:rFonts w:ascii="Times New Roman" w:hAnsi="Times New Roman" w:cs="Times New Roman"/>
          <w:color w:val="000000" w:themeColor="text1"/>
          <w:sz w:val="24"/>
          <w:szCs w:val="24"/>
        </w:rPr>
        <w:t xml:space="preserve">Depois, utilizou-se dos testes de cointegração propostos por </w:t>
      </w:r>
      <w:proofErr w:type="spellStart"/>
      <w:r w:rsidR="00EB6427" w:rsidRPr="00EB6427">
        <w:rPr>
          <w:rFonts w:ascii="Times New Roman" w:hAnsi="Times New Roman" w:cs="Times New Roman"/>
          <w:color w:val="000000" w:themeColor="text1"/>
          <w:sz w:val="24"/>
          <w:szCs w:val="24"/>
        </w:rPr>
        <w:t>Johansen</w:t>
      </w:r>
      <w:proofErr w:type="spellEnd"/>
      <w:r w:rsidR="00EB6427" w:rsidRPr="00EB6427">
        <w:rPr>
          <w:rFonts w:ascii="Times New Roman" w:hAnsi="Times New Roman" w:cs="Times New Roman"/>
          <w:color w:val="000000" w:themeColor="text1"/>
          <w:sz w:val="24"/>
          <w:szCs w:val="24"/>
        </w:rPr>
        <w:t xml:space="preserve"> </w:t>
      </w:r>
      <w:r w:rsidR="00FE4276">
        <w:rPr>
          <w:rFonts w:ascii="Times New Roman" w:hAnsi="Times New Roman" w:cs="Times New Roman"/>
          <w:color w:val="000000" w:themeColor="text1"/>
          <w:sz w:val="24"/>
          <w:szCs w:val="24"/>
        </w:rPr>
        <w:t>e</w:t>
      </w:r>
      <w:r w:rsidR="00EB6427" w:rsidRPr="00EB6427">
        <w:rPr>
          <w:rFonts w:ascii="Times New Roman" w:hAnsi="Times New Roman" w:cs="Times New Roman"/>
          <w:color w:val="000000" w:themeColor="text1"/>
          <w:sz w:val="24"/>
          <w:szCs w:val="24"/>
        </w:rPr>
        <w:t xml:space="preserve"> </w:t>
      </w:r>
      <w:proofErr w:type="spellStart"/>
      <w:r w:rsidR="00EB6427" w:rsidRPr="00EB6427">
        <w:rPr>
          <w:rFonts w:ascii="Times New Roman" w:hAnsi="Times New Roman" w:cs="Times New Roman"/>
          <w:color w:val="000000" w:themeColor="text1"/>
          <w:sz w:val="24"/>
          <w:szCs w:val="24"/>
        </w:rPr>
        <w:t>Juselius</w:t>
      </w:r>
      <w:proofErr w:type="spellEnd"/>
      <w:r w:rsidR="00EB6427" w:rsidRPr="00EB6427">
        <w:rPr>
          <w:rFonts w:ascii="Times New Roman" w:hAnsi="Times New Roman" w:cs="Times New Roman"/>
          <w:color w:val="000000" w:themeColor="text1"/>
          <w:sz w:val="24"/>
          <w:szCs w:val="24"/>
        </w:rPr>
        <w:t xml:space="preserve"> (1990) a fim de verificar a relação de equilíbrio de longo prazo entre poupança e investimento. Por fim, empregou-se o teste de causalidade de Granger para averiguar a direção dessa causalidade</w:t>
      </w:r>
      <w:r w:rsidR="00EB6427" w:rsidRPr="00EB6427">
        <w:rPr>
          <w:rFonts w:ascii="Times New Roman" w:hAnsi="Times New Roman" w:cs="Times New Roman"/>
          <w:color w:val="333333"/>
          <w:sz w:val="24"/>
          <w:szCs w:val="24"/>
        </w:rPr>
        <w:t>.</w:t>
      </w:r>
    </w:p>
    <w:p w:rsidR="0080168A" w:rsidRPr="00F92685" w:rsidRDefault="007D186C" w:rsidP="00F92685">
      <w:pPr>
        <w:spacing w:after="0" w:line="360" w:lineRule="auto"/>
        <w:ind w:firstLine="708"/>
        <w:jc w:val="both"/>
        <w:rPr>
          <w:rFonts w:ascii="Times New Roman" w:hAnsi="Times New Roman" w:cs="Times New Roman"/>
          <w:sz w:val="24"/>
          <w:szCs w:val="24"/>
          <w:shd w:val="clear" w:color="auto" w:fill="FFFFFF"/>
        </w:rPr>
      </w:pPr>
      <w:proofErr w:type="spellStart"/>
      <w:r w:rsidRPr="00A06B49">
        <w:rPr>
          <w:rFonts w:ascii="Times New Roman" w:hAnsi="Times New Roman" w:cs="Times New Roman"/>
          <w:sz w:val="24"/>
          <w:szCs w:val="24"/>
        </w:rPr>
        <w:t>Sinha</w:t>
      </w:r>
      <w:proofErr w:type="spellEnd"/>
      <w:r w:rsidRPr="00A06B49">
        <w:rPr>
          <w:rFonts w:ascii="Times New Roman" w:hAnsi="Times New Roman" w:cs="Times New Roman"/>
          <w:sz w:val="24"/>
          <w:szCs w:val="24"/>
        </w:rPr>
        <w:t xml:space="preserve"> (2002)</w:t>
      </w:r>
      <w:r w:rsidR="0021764B" w:rsidRPr="00A06B49">
        <w:rPr>
          <w:rFonts w:ascii="Times New Roman" w:hAnsi="Times New Roman" w:cs="Times New Roman"/>
          <w:sz w:val="24"/>
          <w:szCs w:val="24"/>
        </w:rPr>
        <w:t>, por sua vez, faze</w:t>
      </w:r>
      <w:r w:rsidR="00F92685" w:rsidRPr="00A06B49">
        <w:rPr>
          <w:rFonts w:ascii="Times New Roman" w:hAnsi="Times New Roman" w:cs="Times New Roman"/>
          <w:sz w:val="24"/>
          <w:szCs w:val="24"/>
        </w:rPr>
        <w:t>ndo uso de um modelo de cointegração,</w:t>
      </w:r>
      <w:r w:rsidR="00CB6DB1" w:rsidRPr="00A06B49">
        <w:rPr>
          <w:rFonts w:ascii="Times New Roman" w:hAnsi="Times New Roman" w:cs="Times New Roman"/>
          <w:sz w:val="24"/>
          <w:szCs w:val="24"/>
        </w:rPr>
        <w:t xml:space="preserve"> identificou que o crescimento da poupança Granger causa o crescimento do investimento no Japão, Malásia, Singapura, Sri Lanka e Tailândia</w:t>
      </w:r>
      <w:r w:rsidR="0080168A" w:rsidRPr="00A06B49">
        <w:rPr>
          <w:rFonts w:ascii="Times New Roman" w:hAnsi="Times New Roman" w:cs="Times New Roman"/>
          <w:sz w:val="24"/>
          <w:szCs w:val="24"/>
        </w:rPr>
        <w:t xml:space="preserve"> no período </w:t>
      </w:r>
      <w:r w:rsidR="00F92685" w:rsidRPr="00A06B49">
        <w:rPr>
          <w:rFonts w:ascii="Times New Roman" w:hAnsi="Times New Roman" w:cs="Times New Roman"/>
          <w:sz w:val="24"/>
          <w:szCs w:val="24"/>
        </w:rPr>
        <w:t xml:space="preserve">1961 a 1996. Entretanto, causalidade reversa foi verificada para Japão, </w:t>
      </w:r>
      <w:proofErr w:type="spellStart"/>
      <w:r w:rsidR="00F92685" w:rsidRPr="00A06B49">
        <w:rPr>
          <w:rFonts w:ascii="Times New Roman" w:hAnsi="Times New Roman" w:cs="Times New Roman"/>
          <w:sz w:val="24"/>
          <w:szCs w:val="24"/>
        </w:rPr>
        <w:t>Hong</w:t>
      </w:r>
      <w:proofErr w:type="spellEnd"/>
      <w:r w:rsidR="00F92685" w:rsidRPr="00A06B49">
        <w:rPr>
          <w:rFonts w:ascii="Times New Roman" w:hAnsi="Times New Roman" w:cs="Times New Roman"/>
          <w:sz w:val="24"/>
          <w:szCs w:val="24"/>
        </w:rPr>
        <w:t xml:space="preserve"> Kong, Índia, </w:t>
      </w:r>
      <w:proofErr w:type="spellStart"/>
      <w:r w:rsidR="00F92685" w:rsidRPr="00A06B49">
        <w:rPr>
          <w:rFonts w:ascii="Times New Roman" w:hAnsi="Times New Roman" w:cs="Times New Roman"/>
          <w:sz w:val="24"/>
          <w:szCs w:val="24"/>
        </w:rPr>
        <w:t>Malasia</w:t>
      </w:r>
      <w:proofErr w:type="spellEnd"/>
      <w:r w:rsidR="00F92685" w:rsidRPr="00A06B49">
        <w:rPr>
          <w:rFonts w:ascii="Times New Roman" w:hAnsi="Times New Roman" w:cs="Times New Roman"/>
          <w:sz w:val="24"/>
          <w:szCs w:val="24"/>
        </w:rPr>
        <w:t xml:space="preserve">, </w:t>
      </w:r>
      <w:proofErr w:type="spellStart"/>
      <w:r w:rsidR="00F92685" w:rsidRPr="00A06B49">
        <w:rPr>
          <w:rFonts w:ascii="Times New Roman" w:hAnsi="Times New Roman" w:cs="Times New Roman"/>
          <w:sz w:val="24"/>
          <w:szCs w:val="24"/>
        </w:rPr>
        <w:t>Myanmar</w:t>
      </w:r>
      <w:proofErr w:type="spellEnd"/>
      <w:r w:rsidR="00F92685" w:rsidRPr="00A06B49">
        <w:rPr>
          <w:rFonts w:ascii="Times New Roman" w:hAnsi="Times New Roman" w:cs="Times New Roman"/>
          <w:sz w:val="24"/>
          <w:szCs w:val="24"/>
        </w:rPr>
        <w:t xml:space="preserve"> e Singapura. Para tanto, utilizou</w:t>
      </w:r>
      <w:r w:rsidR="00F92685">
        <w:rPr>
          <w:rFonts w:ascii="Times New Roman" w:hAnsi="Times New Roman" w:cs="Times New Roman"/>
          <w:sz w:val="24"/>
          <w:szCs w:val="24"/>
          <w:shd w:val="clear" w:color="auto" w:fill="FFFFFF"/>
        </w:rPr>
        <w:t xml:space="preserve"> o teste de </w:t>
      </w:r>
      <w:r w:rsidR="00F92685" w:rsidRPr="00EB6427">
        <w:rPr>
          <w:rFonts w:ascii="Times New Roman" w:hAnsi="Times New Roman" w:cs="Times New Roman"/>
          <w:color w:val="000000" w:themeColor="text1"/>
          <w:sz w:val="24"/>
          <w:szCs w:val="24"/>
        </w:rPr>
        <w:t>Dickey-Fuller aumentado (ADF)</w:t>
      </w:r>
      <w:r w:rsidR="00F92685">
        <w:rPr>
          <w:rFonts w:ascii="Times New Roman" w:hAnsi="Times New Roman" w:cs="Times New Roman"/>
          <w:color w:val="000000" w:themeColor="text1"/>
          <w:sz w:val="24"/>
          <w:szCs w:val="24"/>
        </w:rPr>
        <w:t xml:space="preserve"> e o teste de </w:t>
      </w:r>
      <w:proofErr w:type="spellStart"/>
      <w:r w:rsidR="00F92685" w:rsidRPr="00F92685">
        <w:rPr>
          <w:rFonts w:ascii="Times New Roman" w:hAnsi="Times New Roman" w:cs="Times New Roman"/>
          <w:color w:val="000000" w:themeColor="text1"/>
          <w:sz w:val="24"/>
          <w:szCs w:val="24"/>
        </w:rPr>
        <w:t>Phillips-Perron</w:t>
      </w:r>
      <w:proofErr w:type="spellEnd"/>
      <w:r w:rsidR="00F92685">
        <w:rPr>
          <w:rFonts w:ascii="Times New Roman" w:hAnsi="Times New Roman" w:cs="Times New Roman"/>
          <w:color w:val="000000" w:themeColor="text1"/>
          <w:sz w:val="24"/>
          <w:szCs w:val="24"/>
        </w:rPr>
        <w:t xml:space="preserve"> para testar raiz unitária. </w:t>
      </w:r>
      <w:r w:rsidR="00F92685" w:rsidRPr="00F92685">
        <w:rPr>
          <w:rFonts w:ascii="Times New Roman" w:hAnsi="Times New Roman" w:cs="Times New Roman"/>
          <w:color w:val="000000" w:themeColor="text1"/>
          <w:sz w:val="24"/>
          <w:szCs w:val="24"/>
        </w:rPr>
        <w:t>Além disso, constatou</w:t>
      </w:r>
      <w:r w:rsidR="00F92685">
        <w:rPr>
          <w:rFonts w:ascii="Times New Roman" w:hAnsi="Times New Roman" w:cs="Times New Roman"/>
          <w:color w:val="000000" w:themeColor="text1"/>
          <w:sz w:val="24"/>
          <w:szCs w:val="24"/>
        </w:rPr>
        <w:t>-se</w:t>
      </w:r>
      <w:r w:rsidR="00F92685" w:rsidRPr="00F92685">
        <w:rPr>
          <w:rFonts w:ascii="Times New Roman" w:hAnsi="Times New Roman" w:cs="Times New Roman"/>
          <w:color w:val="000000" w:themeColor="text1"/>
          <w:sz w:val="24"/>
          <w:szCs w:val="24"/>
        </w:rPr>
        <w:t>, por meio do modelo multivariado de cointegraç</w:t>
      </w:r>
      <w:r w:rsidR="00F92685">
        <w:rPr>
          <w:rFonts w:ascii="Times New Roman" w:hAnsi="Times New Roman" w:cs="Times New Roman"/>
          <w:color w:val="000000" w:themeColor="text1"/>
          <w:sz w:val="24"/>
          <w:szCs w:val="24"/>
        </w:rPr>
        <w:t xml:space="preserve">ão de </w:t>
      </w:r>
      <w:proofErr w:type="spellStart"/>
      <w:r w:rsidR="00F92685">
        <w:rPr>
          <w:rFonts w:ascii="Times New Roman" w:hAnsi="Times New Roman" w:cs="Times New Roman"/>
          <w:color w:val="000000" w:themeColor="text1"/>
          <w:sz w:val="24"/>
          <w:szCs w:val="24"/>
        </w:rPr>
        <w:t>Johansen</w:t>
      </w:r>
      <w:proofErr w:type="spellEnd"/>
      <w:r w:rsidR="00F92685">
        <w:rPr>
          <w:rFonts w:ascii="Times New Roman" w:hAnsi="Times New Roman" w:cs="Times New Roman"/>
          <w:color w:val="000000" w:themeColor="text1"/>
          <w:sz w:val="24"/>
          <w:szCs w:val="24"/>
        </w:rPr>
        <w:t>, que apenas</w:t>
      </w:r>
      <w:r w:rsidR="00F92685" w:rsidRPr="00F92685">
        <w:rPr>
          <w:rFonts w:ascii="Times New Roman" w:hAnsi="Times New Roman" w:cs="Times New Roman"/>
          <w:color w:val="000000" w:themeColor="text1"/>
          <w:sz w:val="24"/>
          <w:szCs w:val="24"/>
        </w:rPr>
        <w:t xml:space="preserve"> Jap</w:t>
      </w:r>
      <w:r w:rsidR="00F92685">
        <w:rPr>
          <w:rFonts w:ascii="Times New Roman" w:hAnsi="Times New Roman" w:cs="Times New Roman"/>
          <w:color w:val="000000" w:themeColor="text1"/>
          <w:sz w:val="24"/>
          <w:szCs w:val="24"/>
        </w:rPr>
        <w:t>ã</w:t>
      </w:r>
      <w:r w:rsidR="00F92685" w:rsidRPr="00F92685">
        <w:rPr>
          <w:rFonts w:ascii="Times New Roman" w:hAnsi="Times New Roman" w:cs="Times New Roman"/>
          <w:color w:val="000000" w:themeColor="text1"/>
          <w:sz w:val="24"/>
          <w:szCs w:val="24"/>
        </w:rPr>
        <w:t>o</w:t>
      </w:r>
      <w:r w:rsidR="00F92685">
        <w:rPr>
          <w:rFonts w:ascii="Times New Roman" w:hAnsi="Times New Roman" w:cs="Times New Roman"/>
          <w:color w:val="000000" w:themeColor="text1"/>
          <w:sz w:val="24"/>
          <w:szCs w:val="24"/>
        </w:rPr>
        <w:t>, Indoné</w:t>
      </w:r>
      <w:r w:rsidR="00F92685" w:rsidRPr="00F92685">
        <w:rPr>
          <w:rFonts w:ascii="Times New Roman" w:hAnsi="Times New Roman" w:cs="Times New Roman"/>
          <w:color w:val="000000" w:themeColor="text1"/>
          <w:sz w:val="24"/>
          <w:szCs w:val="24"/>
        </w:rPr>
        <w:t xml:space="preserve">sia </w:t>
      </w:r>
      <w:r w:rsidR="00F92685">
        <w:rPr>
          <w:rFonts w:ascii="Times New Roman" w:hAnsi="Times New Roman" w:cs="Times New Roman"/>
          <w:color w:val="000000" w:themeColor="text1"/>
          <w:sz w:val="24"/>
          <w:szCs w:val="24"/>
        </w:rPr>
        <w:t>e</w:t>
      </w:r>
      <w:r w:rsidR="00F92685" w:rsidRPr="00F92685">
        <w:rPr>
          <w:rFonts w:ascii="Times New Roman" w:hAnsi="Times New Roman" w:cs="Times New Roman"/>
          <w:color w:val="000000" w:themeColor="text1"/>
          <w:sz w:val="24"/>
          <w:szCs w:val="24"/>
        </w:rPr>
        <w:t xml:space="preserve"> Tailândi</w:t>
      </w:r>
      <w:r w:rsidR="00F92685">
        <w:rPr>
          <w:rFonts w:ascii="Times New Roman" w:hAnsi="Times New Roman" w:cs="Times New Roman"/>
          <w:color w:val="000000" w:themeColor="text1"/>
          <w:sz w:val="24"/>
          <w:szCs w:val="24"/>
        </w:rPr>
        <w:t xml:space="preserve">a apresentam uma relação de equilíbrio de </w:t>
      </w:r>
      <w:proofErr w:type="gramStart"/>
      <w:r w:rsidR="00F92685">
        <w:rPr>
          <w:rFonts w:ascii="Times New Roman" w:hAnsi="Times New Roman" w:cs="Times New Roman"/>
          <w:color w:val="000000" w:themeColor="text1"/>
          <w:sz w:val="24"/>
          <w:szCs w:val="24"/>
        </w:rPr>
        <w:t>longa prazo</w:t>
      </w:r>
      <w:proofErr w:type="gramEnd"/>
      <w:r w:rsidR="00F92685">
        <w:rPr>
          <w:rFonts w:ascii="Times New Roman" w:hAnsi="Times New Roman" w:cs="Times New Roman"/>
          <w:color w:val="000000" w:themeColor="text1"/>
          <w:sz w:val="24"/>
          <w:szCs w:val="24"/>
        </w:rPr>
        <w:t xml:space="preserve"> entre poupança e investimento.</w:t>
      </w:r>
    </w:p>
    <w:p w:rsidR="003E0504" w:rsidRPr="00181966" w:rsidRDefault="007D186C" w:rsidP="003E0504">
      <w:pPr>
        <w:spacing w:after="0" w:line="360" w:lineRule="auto"/>
        <w:ind w:firstLine="708"/>
        <w:jc w:val="both"/>
        <w:rPr>
          <w:rFonts w:ascii="Times New Roman" w:hAnsi="Times New Roman" w:cs="Times New Roman"/>
          <w:sz w:val="24"/>
          <w:szCs w:val="24"/>
        </w:rPr>
      </w:pPr>
      <w:proofErr w:type="spellStart"/>
      <w:r w:rsidRPr="00E332D8">
        <w:rPr>
          <w:rFonts w:ascii="Times New Roman" w:hAnsi="Times New Roman" w:cs="Times New Roman"/>
          <w:sz w:val="24"/>
          <w:szCs w:val="24"/>
        </w:rPr>
        <w:t>Alexious</w:t>
      </w:r>
      <w:proofErr w:type="spellEnd"/>
      <w:r w:rsidRPr="00E332D8">
        <w:rPr>
          <w:rFonts w:ascii="Times New Roman" w:hAnsi="Times New Roman" w:cs="Times New Roman"/>
          <w:sz w:val="24"/>
          <w:szCs w:val="24"/>
        </w:rPr>
        <w:t xml:space="preserve"> (2004)</w:t>
      </w:r>
      <w:r w:rsidR="00E23014">
        <w:rPr>
          <w:rFonts w:ascii="Times New Roman" w:hAnsi="Times New Roman" w:cs="Times New Roman"/>
          <w:sz w:val="24"/>
          <w:szCs w:val="24"/>
        </w:rPr>
        <w:t xml:space="preserve"> encontrou, por meio do modelo VAR, </w:t>
      </w:r>
      <w:r w:rsidR="00CB6DB1" w:rsidRPr="00E332D8">
        <w:rPr>
          <w:rFonts w:ascii="Times New Roman" w:hAnsi="Times New Roman" w:cs="Times New Roman"/>
          <w:sz w:val="24"/>
          <w:szCs w:val="24"/>
        </w:rPr>
        <w:t>que o investimento Granger causa a poupança privada para cinco países europeus</w:t>
      </w:r>
      <w:r w:rsidR="0080168A" w:rsidRPr="00E332D8">
        <w:rPr>
          <w:rFonts w:ascii="Times New Roman" w:hAnsi="Times New Roman" w:cs="Times New Roman"/>
          <w:sz w:val="24"/>
          <w:szCs w:val="24"/>
        </w:rPr>
        <w:t xml:space="preserve"> </w:t>
      </w:r>
      <w:r w:rsidR="00E23014">
        <w:rPr>
          <w:rFonts w:ascii="Times New Roman" w:hAnsi="Times New Roman" w:cs="Times New Roman"/>
          <w:sz w:val="24"/>
          <w:szCs w:val="24"/>
          <w:shd w:val="clear" w:color="auto" w:fill="FFFFFF"/>
        </w:rPr>
        <w:t xml:space="preserve">no período 1972 a 1998: </w:t>
      </w:r>
      <w:r w:rsidR="00CB6DB1" w:rsidRPr="00E332D8">
        <w:rPr>
          <w:rFonts w:ascii="Times New Roman" w:hAnsi="Times New Roman" w:cs="Times New Roman"/>
          <w:sz w:val="24"/>
          <w:szCs w:val="24"/>
        </w:rPr>
        <w:t xml:space="preserve">França, Inglaterra, Bélgica, Alemanha e Holanda. </w:t>
      </w:r>
      <w:r w:rsidR="003E0504" w:rsidRPr="00E332D8">
        <w:rPr>
          <w:rFonts w:ascii="Times New Roman" w:hAnsi="Times New Roman" w:cs="Times New Roman"/>
          <w:sz w:val="24"/>
          <w:szCs w:val="24"/>
        </w:rPr>
        <w:t xml:space="preserve">Afzal (2007) realizou um estudo empírico </w:t>
      </w:r>
      <w:r w:rsidR="00977EA2">
        <w:rPr>
          <w:rFonts w:ascii="Times New Roman" w:hAnsi="Times New Roman" w:cs="Times New Roman"/>
          <w:sz w:val="24"/>
          <w:szCs w:val="24"/>
        </w:rPr>
        <w:t>para o período de 1960 a 2006</w:t>
      </w:r>
      <w:r w:rsidR="00977EA2" w:rsidRPr="00E332D8">
        <w:rPr>
          <w:rFonts w:ascii="Times New Roman" w:hAnsi="Times New Roman" w:cs="Times New Roman"/>
          <w:sz w:val="24"/>
          <w:szCs w:val="24"/>
        </w:rPr>
        <w:t xml:space="preserve"> </w:t>
      </w:r>
      <w:r w:rsidR="003E0504" w:rsidRPr="00E332D8">
        <w:rPr>
          <w:rFonts w:ascii="Times New Roman" w:hAnsi="Times New Roman" w:cs="Times New Roman"/>
          <w:sz w:val="24"/>
          <w:szCs w:val="24"/>
        </w:rPr>
        <w:t xml:space="preserve">no qual verificou uma relação de bicausalidade Granger entre investimento e poupança para a África do Sul e uma causalidade de Granger unidirecional da poupança para o Paquistão e o Sri </w:t>
      </w:r>
      <w:r w:rsidR="003E0504" w:rsidRPr="00181966">
        <w:rPr>
          <w:rFonts w:ascii="Times New Roman" w:hAnsi="Times New Roman" w:cs="Times New Roman"/>
          <w:sz w:val="24"/>
          <w:szCs w:val="24"/>
        </w:rPr>
        <w:t xml:space="preserve">Lanka. Para Índia, Filipinas, </w:t>
      </w:r>
      <w:proofErr w:type="gramStart"/>
      <w:r w:rsidR="003E0504" w:rsidRPr="00181966">
        <w:rPr>
          <w:rFonts w:ascii="Times New Roman" w:hAnsi="Times New Roman" w:cs="Times New Roman"/>
          <w:sz w:val="24"/>
          <w:szCs w:val="24"/>
        </w:rPr>
        <w:t>Malásia e Irã não foi</w:t>
      </w:r>
      <w:proofErr w:type="gramEnd"/>
      <w:r w:rsidR="003E0504" w:rsidRPr="00181966">
        <w:rPr>
          <w:rFonts w:ascii="Times New Roman" w:hAnsi="Times New Roman" w:cs="Times New Roman"/>
          <w:sz w:val="24"/>
          <w:szCs w:val="24"/>
        </w:rPr>
        <w:t xml:space="preserve"> verificada nenhuma relação de causalidade, no sentido de precedência temporal. </w:t>
      </w:r>
      <w:r w:rsidR="00091C86" w:rsidRPr="00181966">
        <w:rPr>
          <w:rFonts w:ascii="Times New Roman" w:hAnsi="Times New Roman" w:cs="Times New Roman"/>
          <w:sz w:val="24"/>
          <w:szCs w:val="24"/>
        </w:rPr>
        <w:t xml:space="preserve">Para tanto, foram realizados procedimentos econométricos, tais como </w:t>
      </w:r>
      <w:proofErr w:type="gramStart"/>
      <w:r w:rsidR="00091C86" w:rsidRPr="00181966">
        <w:rPr>
          <w:rFonts w:ascii="Times New Roman" w:hAnsi="Times New Roman" w:cs="Times New Roman"/>
          <w:sz w:val="24"/>
          <w:szCs w:val="24"/>
        </w:rPr>
        <w:t xml:space="preserve">testes de </w:t>
      </w:r>
      <w:r w:rsidR="00181966" w:rsidRPr="00181966">
        <w:rPr>
          <w:rFonts w:ascii="Times New Roman" w:hAnsi="Times New Roman" w:cs="Times New Roman"/>
          <w:sz w:val="24"/>
          <w:szCs w:val="24"/>
        </w:rPr>
        <w:t>raiz</w:t>
      </w:r>
      <w:r w:rsidR="00091C86" w:rsidRPr="00181966">
        <w:rPr>
          <w:rFonts w:ascii="Times New Roman" w:hAnsi="Times New Roman" w:cs="Times New Roman"/>
          <w:sz w:val="24"/>
          <w:szCs w:val="24"/>
        </w:rPr>
        <w:t xml:space="preserve"> unitária</w:t>
      </w:r>
      <w:proofErr w:type="gramEnd"/>
      <w:r w:rsidR="00091C86" w:rsidRPr="00181966">
        <w:rPr>
          <w:rFonts w:ascii="Times New Roman" w:hAnsi="Times New Roman" w:cs="Times New Roman"/>
          <w:sz w:val="24"/>
          <w:szCs w:val="24"/>
        </w:rPr>
        <w:t xml:space="preserve">, teste de cointegração de </w:t>
      </w:r>
      <w:proofErr w:type="spellStart"/>
      <w:r w:rsidR="00091C86" w:rsidRPr="00181966">
        <w:rPr>
          <w:rFonts w:ascii="Times New Roman" w:hAnsi="Times New Roman" w:cs="Times New Roman"/>
          <w:sz w:val="24"/>
          <w:szCs w:val="24"/>
        </w:rPr>
        <w:t>Johansen</w:t>
      </w:r>
      <w:proofErr w:type="spellEnd"/>
      <w:r w:rsidR="00091C86" w:rsidRPr="00181966">
        <w:rPr>
          <w:rFonts w:ascii="Times New Roman" w:hAnsi="Times New Roman" w:cs="Times New Roman"/>
          <w:sz w:val="24"/>
          <w:szCs w:val="24"/>
        </w:rPr>
        <w:t xml:space="preserve"> e teste de causalidade de Granger. </w:t>
      </w:r>
    </w:p>
    <w:p w:rsidR="00181966" w:rsidRPr="00181966" w:rsidRDefault="00181966" w:rsidP="003E0504">
      <w:pPr>
        <w:spacing w:after="0" w:line="360" w:lineRule="auto"/>
        <w:ind w:firstLine="708"/>
        <w:jc w:val="both"/>
        <w:rPr>
          <w:rFonts w:ascii="Times New Roman" w:hAnsi="Times New Roman" w:cs="Times New Roman"/>
          <w:sz w:val="24"/>
          <w:szCs w:val="24"/>
        </w:rPr>
      </w:pPr>
      <w:r w:rsidRPr="00181966">
        <w:rPr>
          <w:rFonts w:ascii="Times New Roman" w:hAnsi="Times New Roman" w:cs="Times New Roman"/>
          <w:sz w:val="24"/>
          <w:szCs w:val="24"/>
        </w:rPr>
        <w:t xml:space="preserve">Esso e </w:t>
      </w:r>
      <w:proofErr w:type="spellStart"/>
      <w:r w:rsidRPr="00181966">
        <w:rPr>
          <w:rFonts w:ascii="Times New Roman" w:hAnsi="Times New Roman" w:cs="Times New Roman"/>
          <w:sz w:val="24"/>
          <w:szCs w:val="24"/>
        </w:rPr>
        <w:t>Keho</w:t>
      </w:r>
      <w:proofErr w:type="spellEnd"/>
      <w:r w:rsidRPr="00181966">
        <w:rPr>
          <w:rFonts w:ascii="Times New Roman" w:hAnsi="Times New Roman" w:cs="Times New Roman"/>
          <w:sz w:val="24"/>
          <w:szCs w:val="24"/>
        </w:rPr>
        <w:t xml:space="preserve"> (2010) testam cointegração e causalidade entre poupança e investimento</w:t>
      </w:r>
      <w:r>
        <w:rPr>
          <w:rFonts w:ascii="Times New Roman" w:hAnsi="Times New Roman" w:cs="Times New Roman"/>
          <w:sz w:val="24"/>
          <w:szCs w:val="24"/>
        </w:rPr>
        <w:t xml:space="preserve"> em dados de séries temporais de países membros da UEMOA (</w:t>
      </w:r>
      <w:r w:rsidRPr="00181966">
        <w:rPr>
          <w:rFonts w:ascii="Times New Roman" w:hAnsi="Times New Roman" w:cs="Times New Roman"/>
          <w:i/>
          <w:sz w:val="24"/>
          <w:szCs w:val="24"/>
        </w:rPr>
        <w:t xml:space="preserve">West </w:t>
      </w:r>
      <w:proofErr w:type="spellStart"/>
      <w:r w:rsidRPr="00181966">
        <w:rPr>
          <w:rFonts w:ascii="Times New Roman" w:hAnsi="Times New Roman" w:cs="Times New Roman"/>
          <w:i/>
          <w:sz w:val="24"/>
          <w:szCs w:val="24"/>
        </w:rPr>
        <w:t>African</w:t>
      </w:r>
      <w:proofErr w:type="spellEnd"/>
      <w:r w:rsidRPr="00181966">
        <w:rPr>
          <w:rFonts w:ascii="Times New Roman" w:hAnsi="Times New Roman" w:cs="Times New Roman"/>
          <w:i/>
          <w:sz w:val="24"/>
          <w:szCs w:val="24"/>
        </w:rPr>
        <w:t xml:space="preserve"> </w:t>
      </w:r>
      <w:proofErr w:type="spellStart"/>
      <w:r w:rsidRPr="00181966">
        <w:rPr>
          <w:rFonts w:ascii="Times New Roman" w:hAnsi="Times New Roman" w:cs="Times New Roman"/>
          <w:i/>
          <w:sz w:val="24"/>
          <w:szCs w:val="24"/>
        </w:rPr>
        <w:t>Economic</w:t>
      </w:r>
      <w:proofErr w:type="spellEnd"/>
      <w:r w:rsidRPr="00181966">
        <w:rPr>
          <w:rFonts w:ascii="Times New Roman" w:hAnsi="Times New Roman" w:cs="Times New Roman"/>
          <w:i/>
          <w:sz w:val="24"/>
          <w:szCs w:val="24"/>
        </w:rPr>
        <w:t xml:space="preserve"> </w:t>
      </w:r>
      <w:proofErr w:type="spellStart"/>
      <w:r w:rsidRPr="00181966">
        <w:rPr>
          <w:rFonts w:ascii="Times New Roman" w:hAnsi="Times New Roman" w:cs="Times New Roman"/>
          <w:i/>
          <w:sz w:val="24"/>
          <w:szCs w:val="24"/>
        </w:rPr>
        <w:t>and</w:t>
      </w:r>
      <w:proofErr w:type="spellEnd"/>
      <w:r w:rsidRPr="00181966">
        <w:rPr>
          <w:rFonts w:ascii="Times New Roman" w:hAnsi="Times New Roman" w:cs="Times New Roman"/>
          <w:i/>
          <w:sz w:val="24"/>
          <w:szCs w:val="24"/>
        </w:rPr>
        <w:t xml:space="preserve"> </w:t>
      </w:r>
      <w:proofErr w:type="spellStart"/>
      <w:r w:rsidRPr="00181966">
        <w:rPr>
          <w:rFonts w:ascii="Times New Roman" w:hAnsi="Times New Roman" w:cs="Times New Roman"/>
          <w:i/>
          <w:sz w:val="24"/>
          <w:szCs w:val="24"/>
        </w:rPr>
        <w:t>Monetary</w:t>
      </w:r>
      <w:proofErr w:type="spellEnd"/>
      <w:r w:rsidRPr="00181966">
        <w:rPr>
          <w:rFonts w:ascii="Times New Roman" w:hAnsi="Times New Roman" w:cs="Times New Roman"/>
          <w:i/>
          <w:sz w:val="24"/>
          <w:szCs w:val="24"/>
        </w:rPr>
        <w:t xml:space="preserve"> </w:t>
      </w:r>
      <w:proofErr w:type="spellStart"/>
      <w:r w:rsidRPr="00181966">
        <w:rPr>
          <w:rFonts w:ascii="Times New Roman" w:hAnsi="Times New Roman" w:cs="Times New Roman"/>
          <w:i/>
          <w:sz w:val="24"/>
          <w:szCs w:val="24"/>
        </w:rPr>
        <w:t>Union</w:t>
      </w:r>
      <w:proofErr w:type="spellEnd"/>
      <w:r>
        <w:rPr>
          <w:rFonts w:ascii="Times New Roman" w:hAnsi="Times New Roman" w:cs="Times New Roman"/>
          <w:sz w:val="24"/>
          <w:szCs w:val="24"/>
        </w:rPr>
        <w:t xml:space="preserve">). Os resultados obtidos indicaram que a poupança doméstica exerce um papel ativo no financiamento do investimento em Benin, Costa do Marfim e Nigéria, sendo caracterizados por imperfeita mobilidade de capitais. Para os demais países, não se constatou relação de causalidade de Granger. </w:t>
      </w:r>
    </w:p>
    <w:p w:rsidR="0080168A" w:rsidRDefault="00CB6DB1" w:rsidP="005125E2">
      <w:pPr>
        <w:spacing w:after="0" w:line="360" w:lineRule="auto"/>
        <w:ind w:firstLine="708"/>
        <w:jc w:val="both"/>
        <w:rPr>
          <w:rFonts w:ascii="Times New Roman" w:hAnsi="Times New Roman" w:cs="Times New Roman"/>
          <w:sz w:val="24"/>
          <w:szCs w:val="24"/>
          <w:shd w:val="clear" w:color="auto" w:fill="FFFFFF"/>
        </w:rPr>
      </w:pPr>
      <w:r w:rsidRPr="00181966">
        <w:rPr>
          <w:rFonts w:ascii="Times New Roman" w:hAnsi="Times New Roman" w:cs="Times New Roman"/>
          <w:sz w:val="24"/>
          <w:szCs w:val="24"/>
        </w:rPr>
        <w:t xml:space="preserve">Já </w:t>
      </w:r>
      <w:proofErr w:type="spellStart"/>
      <w:r w:rsidR="00B72C03" w:rsidRPr="00181966">
        <w:rPr>
          <w:rFonts w:ascii="Times New Roman" w:hAnsi="Times New Roman" w:cs="Times New Roman"/>
          <w:sz w:val="24"/>
          <w:szCs w:val="24"/>
        </w:rPr>
        <w:t>Onafowara</w:t>
      </w:r>
      <w:proofErr w:type="spellEnd"/>
      <w:r w:rsidRPr="00181966">
        <w:rPr>
          <w:rFonts w:ascii="Times New Roman" w:hAnsi="Times New Roman" w:cs="Times New Roman"/>
          <w:sz w:val="24"/>
          <w:szCs w:val="24"/>
        </w:rPr>
        <w:t xml:space="preserve"> </w:t>
      </w:r>
      <w:proofErr w:type="spellStart"/>
      <w:proofErr w:type="gramStart"/>
      <w:r w:rsidRPr="00181966">
        <w:rPr>
          <w:rFonts w:ascii="Times New Roman" w:hAnsi="Times New Roman" w:cs="Times New Roman"/>
          <w:sz w:val="24"/>
          <w:szCs w:val="24"/>
        </w:rPr>
        <w:t>et</w:t>
      </w:r>
      <w:proofErr w:type="spellEnd"/>
      <w:proofErr w:type="gramEnd"/>
      <w:r w:rsidRPr="00181966">
        <w:rPr>
          <w:rFonts w:ascii="Times New Roman" w:hAnsi="Times New Roman" w:cs="Times New Roman"/>
          <w:sz w:val="24"/>
          <w:szCs w:val="24"/>
        </w:rPr>
        <w:t xml:space="preserve"> al. </w:t>
      </w:r>
      <w:r w:rsidR="007D186C" w:rsidRPr="00181966">
        <w:rPr>
          <w:rFonts w:ascii="Times New Roman" w:hAnsi="Times New Roman" w:cs="Times New Roman"/>
          <w:sz w:val="24"/>
          <w:szCs w:val="24"/>
        </w:rPr>
        <w:t>(</w:t>
      </w:r>
      <w:r w:rsidRPr="00181966">
        <w:rPr>
          <w:rFonts w:ascii="Times New Roman" w:hAnsi="Times New Roman" w:cs="Times New Roman"/>
          <w:sz w:val="24"/>
          <w:szCs w:val="24"/>
        </w:rPr>
        <w:t>2011</w:t>
      </w:r>
      <w:r w:rsidR="007D186C" w:rsidRPr="00181966">
        <w:rPr>
          <w:rFonts w:ascii="Times New Roman" w:hAnsi="Times New Roman" w:cs="Times New Roman"/>
          <w:sz w:val="24"/>
          <w:szCs w:val="24"/>
        </w:rPr>
        <w:t>)</w:t>
      </w:r>
      <w:r w:rsidR="00455270" w:rsidRPr="00181966">
        <w:rPr>
          <w:rFonts w:ascii="Times New Roman" w:hAnsi="Times New Roman" w:cs="Times New Roman"/>
          <w:sz w:val="24"/>
          <w:szCs w:val="24"/>
        </w:rPr>
        <w:t>, ao testar cointegração, causalidade</w:t>
      </w:r>
      <w:r w:rsidR="00455270" w:rsidRPr="00455270">
        <w:rPr>
          <w:rFonts w:ascii="Times New Roman" w:hAnsi="Times New Roman" w:cs="Times New Roman"/>
          <w:sz w:val="24"/>
          <w:szCs w:val="24"/>
        </w:rPr>
        <w:t xml:space="preserve"> e os efeitos dinâmicos de choques de poupança e investimento</w:t>
      </w:r>
      <w:r w:rsidR="005E327E">
        <w:rPr>
          <w:rFonts w:ascii="Times New Roman" w:hAnsi="Times New Roman" w:cs="Times New Roman"/>
          <w:sz w:val="24"/>
          <w:szCs w:val="24"/>
        </w:rPr>
        <w:t xml:space="preserve"> usando </w:t>
      </w:r>
      <w:r w:rsidR="00455270" w:rsidRPr="00455270">
        <w:rPr>
          <w:rFonts w:ascii="Times New Roman" w:hAnsi="Times New Roman" w:cs="Times New Roman"/>
          <w:sz w:val="24"/>
          <w:szCs w:val="24"/>
        </w:rPr>
        <w:t>ARDL</w:t>
      </w:r>
      <w:r w:rsidR="005E327E">
        <w:rPr>
          <w:rFonts w:ascii="Times New Roman" w:hAnsi="Times New Roman" w:cs="Times New Roman"/>
          <w:sz w:val="24"/>
          <w:szCs w:val="24"/>
        </w:rPr>
        <w:t xml:space="preserve"> e um modelo VAR para decomposição do erro da variância, </w:t>
      </w:r>
      <w:r w:rsidR="00455270" w:rsidRPr="00455270">
        <w:rPr>
          <w:rFonts w:ascii="Times New Roman" w:hAnsi="Times New Roman" w:cs="Times New Roman"/>
          <w:sz w:val="24"/>
          <w:szCs w:val="24"/>
        </w:rPr>
        <w:t xml:space="preserve"> </w:t>
      </w:r>
      <w:r w:rsidR="00455270">
        <w:rPr>
          <w:rFonts w:ascii="Times New Roman" w:hAnsi="Times New Roman" w:cs="Times New Roman"/>
          <w:sz w:val="24"/>
          <w:szCs w:val="24"/>
        </w:rPr>
        <w:t>verificaram</w:t>
      </w:r>
      <w:r w:rsidRPr="00E332D8">
        <w:rPr>
          <w:rFonts w:ascii="Times New Roman" w:hAnsi="Times New Roman" w:cs="Times New Roman"/>
          <w:sz w:val="24"/>
          <w:szCs w:val="24"/>
        </w:rPr>
        <w:t xml:space="preserve"> uma</w:t>
      </w:r>
      <w:r w:rsidR="0080168A" w:rsidRPr="00E332D8">
        <w:rPr>
          <w:rFonts w:ascii="Times New Roman" w:hAnsi="Times New Roman" w:cs="Times New Roman"/>
          <w:sz w:val="24"/>
          <w:szCs w:val="24"/>
        </w:rPr>
        <w:t xml:space="preserve"> relação de</w:t>
      </w:r>
      <w:r w:rsidRPr="00E332D8">
        <w:rPr>
          <w:rFonts w:ascii="Times New Roman" w:hAnsi="Times New Roman" w:cs="Times New Roman"/>
          <w:sz w:val="24"/>
          <w:szCs w:val="24"/>
        </w:rPr>
        <w:t xml:space="preserve"> bicausalidade </w:t>
      </w:r>
      <w:r w:rsidR="0080168A" w:rsidRPr="00E332D8">
        <w:rPr>
          <w:rFonts w:ascii="Times New Roman" w:hAnsi="Times New Roman" w:cs="Times New Roman"/>
          <w:sz w:val="24"/>
          <w:szCs w:val="24"/>
        </w:rPr>
        <w:t xml:space="preserve">de </w:t>
      </w:r>
      <w:r w:rsidRPr="00E332D8">
        <w:rPr>
          <w:rFonts w:ascii="Times New Roman" w:hAnsi="Times New Roman" w:cs="Times New Roman"/>
          <w:sz w:val="24"/>
          <w:szCs w:val="24"/>
        </w:rPr>
        <w:t xml:space="preserve">Granger entre poupança e </w:t>
      </w:r>
      <w:r w:rsidRPr="00E332D8">
        <w:rPr>
          <w:rFonts w:ascii="Times New Roman" w:hAnsi="Times New Roman" w:cs="Times New Roman"/>
          <w:sz w:val="24"/>
          <w:szCs w:val="24"/>
        </w:rPr>
        <w:lastRenderedPageBreak/>
        <w:t>investimento na Bélgica</w:t>
      </w:r>
      <w:r w:rsidR="005125E2">
        <w:rPr>
          <w:rFonts w:ascii="Times New Roman" w:hAnsi="Times New Roman" w:cs="Times New Roman"/>
          <w:sz w:val="24"/>
          <w:szCs w:val="24"/>
        </w:rPr>
        <w:t xml:space="preserve"> e uma </w:t>
      </w:r>
      <w:r w:rsidR="00A574B0">
        <w:rPr>
          <w:rFonts w:ascii="Times New Roman" w:hAnsi="Times New Roman" w:cs="Times New Roman"/>
          <w:sz w:val="24"/>
          <w:szCs w:val="24"/>
        </w:rPr>
        <w:t xml:space="preserve">relação de </w:t>
      </w:r>
      <w:r w:rsidR="005125E2">
        <w:rPr>
          <w:rFonts w:ascii="Times New Roman" w:hAnsi="Times New Roman" w:cs="Times New Roman"/>
          <w:sz w:val="24"/>
          <w:szCs w:val="24"/>
        </w:rPr>
        <w:t xml:space="preserve">causalidade </w:t>
      </w:r>
      <w:r w:rsidR="00A574B0">
        <w:rPr>
          <w:rFonts w:ascii="Times New Roman" w:hAnsi="Times New Roman" w:cs="Times New Roman"/>
          <w:sz w:val="24"/>
          <w:szCs w:val="24"/>
        </w:rPr>
        <w:t xml:space="preserve">de </w:t>
      </w:r>
      <w:r w:rsidR="005125E2">
        <w:rPr>
          <w:rFonts w:ascii="Times New Roman" w:hAnsi="Times New Roman" w:cs="Times New Roman"/>
          <w:sz w:val="24"/>
          <w:szCs w:val="24"/>
        </w:rPr>
        <w:t xml:space="preserve">Granger </w:t>
      </w:r>
      <w:r w:rsidR="00BC6522">
        <w:rPr>
          <w:rFonts w:ascii="Times New Roman" w:hAnsi="Times New Roman" w:cs="Times New Roman"/>
          <w:sz w:val="24"/>
          <w:szCs w:val="24"/>
        </w:rPr>
        <w:t>da</w:t>
      </w:r>
      <w:r w:rsidR="005125E2">
        <w:rPr>
          <w:rFonts w:ascii="Times New Roman" w:hAnsi="Times New Roman" w:cs="Times New Roman"/>
          <w:sz w:val="24"/>
          <w:szCs w:val="24"/>
        </w:rPr>
        <w:t xml:space="preserve"> poupança </w:t>
      </w:r>
      <w:r w:rsidR="00BC6522">
        <w:rPr>
          <w:rFonts w:ascii="Times New Roman" w:hAnsi="Times New Roman" w:cs="Times New Roman"/>
          <w:sz w:val="24"/>
          <w:szCs w:val="24"/>
        </w:rPr>
        <w:t xml:space="preserve">para o </w:t>
      </w:r>
      <w:r w:rsidR="005125E2">
        <w:rPr>
          <w:rFonts w:ascii="Times New Roman" w:hAnsi="Times New Roman" w:cs="Times New Roman"/>
          <w:sz w:val="24"/>
          <w:szCs w:val="24"/>
        </w:rPr>
        <w:t xml:space="preserve">investimento na Dinamarca, Alemanha e Luxemburgo </w:t>
      </w:r>
      <w:r w:rsidR="0080168A" w:rsidRPr="00E332D8">
        <w:rPr>
          <w:rFonts w:ascii="Times New Roman" w:hAnsi="Times New Roman" w:cs="Times New Roman"/>
          <w:sz w:val="24"/>
          <w:szCs w:val="24"/>
          <w:shd w:val="clear" w:color="auto" w:fill="FFFFFF"/>
        </w:rPr>
        <w:t>no</w:t>
      </w:r>
      <w:r w:rsidR="005125E2">
        <w:rPr>
          <w:rFonts w:ascii="Times New Roman" w:hAnsi="Times New Roman" w:cs="Times New Roman"/>
          <w:sz w:val="24"/>
          <w:szCs w:val="24"/>
          <w:shd w:val="clear" w:color="auto" w:fill="FFFFFF"/>
        </w:rPr>
        <w:t xml:space="preserve"> período de</w:t>
      </w:r>
      <w:r w:rsidR="0080168A" w:rsidRPr="00E332D8">
        <w:rPr>
          <w:rFonts w:ascii="Times New Roman" w:hAnsi="Times New Roman" w:cs="Times New Roman"/>
          <w:sz w:val="24"/>
          <w:szCs w:val="24"/>
          <w:shd w:val="clear" w:color="auto" w:fill="FFFFFF"/>
        </w:rPr>
        <w:t xml:space="preserve"> </w:t>
      </w:r>
      <w:r w:rsidR="005E327E" w:rsidRPr="005E327E">
        <w:rPr>
          <w:rFonts w:ascii="Times New Roman" w:hAnsi="Times New Roman" w:cs="Times New Roman"/>
          <w:sz w:val="24"/>
          <w:szCs w:val="24"/>
          <w:shd w:val="clear" w:color="auto" w:fill="FFFFFF"/>
        </w:rPr>
        <w:t xml:space="preserve">1970 </w:t>
      </w:r>
      <w:r w:rsidR="005125E2">
        <w:rPr>
          <w:rFonts w:ascii="Times New Roman" w:hAnsi="Times New Roman" w:cs="Times New Roman"/>
          <w:sz w:val="24"/>
          <w:szCs w:val="24"/>
          <w:shd w:val="clear" w:color="auto" w:fill="FFFFFF"/>
        </w:rPr>
        <w:t>a</w:t>
      </w:r>
      <w:r w:rsidR="005E327E" w:rsidRPr="005E327E">
        <w:rPr>
          <w:rFonts w:ascii="Times New Roman" w:hAnsi="Times New Roman" w:cs="Times New Roman"/>
          <w:sz w:val="24"/>
          <w:szCs w:val="24"/>
          <w:shd w:val="clear" w:color="auto" w:fill="FFFFFF"/>
        </w:rPr>
        <w:t xml:space="preserve"> 2008.</w:t>
      </w:r>
    </w:p>
    <w:p w:rsidR="00A06B49" w:rsidRDefault="00A06B49" w:rsidP="005125E2">
      <w:pPr>
        <w:spacing w:after="0" w:line="360" w:lineRule="auto"/>
        <w:ind w:firstLine="708"/>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Ramakrishna</w:t>
      </w:r>
      <w:proofErr w:type="spellEnd"/>
      <w:r>
        <w:rPr>
          <w:rFonts w:ascii="Times New Roman" w:hAnsi="Times New Roman" w:cs="Times New Roman"/>
          <w:sz w:val="24"/>
          <w:szCs w:val="24"/>
          <w:shd w:val="clear" w:color="auto" w:fill="FFFFFF"/>
        </w:rPr>
        <w:t xml:space="preserve"> e </w:t>
      </w:r>
      <w:proofErr w:type="spellStart"/>
      <w:r>
        <w:rPr>
          <w:rFonts w:ascii="Times New Roman" w:hAnsi="Times New Roman" w:cs="Times New Roman"/>
          <w:sz w:val="24"/>
          <w:szCs w:val="24"/>
          <w:shd w:val="clear" w:color="auto" w:fill="FFFFFF"/>
        </w:rPr>
        <w:t>Rao</w:t>
      </w:r>
      <w:proofErr w:type="spellEnd"/>
      <w:r>
        <w:rPr>
          <w:rFonts w:ascii="Times New Roman" w:hAnsi="Times New Roman" w:cs="Times New Roman"/>
          <w:sz w:val="24"/>
          <w:szCs w:val="24"/>
          <w:shd w:val="clear" w:color="auto" w:fill="FFFFFF"/>
        </w:rPr>
        <w:t xml:space="preserve"> (2012) investigaram a relação de longo prazo entre poupança e investimento para a Etiópia no período 1981-2009. Os resultados obtidos a partir da estimação de um modelo vetorial autorregressivo (VEC) indicaram a ausência de relação de causalidade de Granger entre poupança e investimento, recomendando uma maior iniciativa entre as políticas fiscal e monetária para assegurar o equilíbrio entre recursos domésticos e financiamento na economia. </w:t>
      </w:r>
    </w:p>
    <w:p w:rsidR="008C60F3" w:rsidRPr="005125E2" w:rsidRDefault="00BC6522" w:rsidP="005125E2">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 caso brasileiro, a literatura é escassa, mas alguns estudos se destacam. Ao aplicar testes de exogeneidade sobre a correlação poupança doméstica e investimento</w:t>
      </w:r>
      <w:r w:rsidR="00E94572">
        <w:rPr>
          <w:rFonts w:ascii="Times New Roman" w:hAnsi="Times New Roman" w:cs="Times New Roman"/>
          <w:sz w:val="24"/>
          <w:szCs w:val="24"/>
          <w:shd w:val="clear" w:color="auto" w:fill="FFFFFF"/>
        </w:rPr>
        <w:t xml:space="preserve"> em dados anuais cobrindo o período 1947 </w:t>
      </w:r>
      <w:proofErr w:type="gramStart"/>
      <w:r w:rsidR="00E94572">
        <w:rPr>
          <w:rFonts w:ascii="Times New Roman" w:hAnsi="Times New Roman" w:cs="Times New Roman"/>
          <w:sz w:val="24"/>
          <w:szCs w:val="24"/>
          <w:shd w:val="clear" w:color="auto" w:fill="FFFFFF"/>
        </w:rPr>
        <w:t>à</w:t>
      </w:r>
      <w:proofErr w:type="gramEnd"/>
      <w:r w:rsidR="00E94572">
        <w:rPr>
          <w:rFonts w:ascii="Times New Roman" w:hAnsi="Times New Roman" w:cs="Times New Roman"/>
          <w:sz w:val="24"/>
          <w:szCs w:val="24"/>
          <w:shd w:val="clear" w:color="auto" w:fill="FFFFFF"/>
        </w:rPr>
        <w:t xml:space="preserve"> 1995</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Sachsida</w:t>
      </w:r>
      <w:proofErr w:type="spellEnd"/>
      <w:r>
        <w:rPr>
          <w:rFonts w:ascii="Times New Roman" w:hAnsi="Times New Roman" w:cs="Times New Roman"/>
          <w:sz w:val="24"/>
          <w:szCs w:val="24"/>
          <w:shd w:val="clear" w:color="auto" w:fill="FFFFFF"/>
        </w:rPr>
        <w:t xml:space="preserve"> (1999) </w:t>
      </w:r>
      <w:r w:rsidR="00F653CA">
        <w:rPr>
          <w:rFonts w:ascii="Times New Roman" w:hAnsi="Times New Roman" w:cs="Times New Roman"/>
          <w:sz w:val="24"/>
          <w:szCs w:val="24"/>
          <w:shd w:val="clear" w:color="auto" w:fill="FFFFFF"/>
        </w:rPr>
        <w:t xml:space="preserve">e </w:t>
      </w:r>
      <w:proofErr w:type="spellStart"/>
      <w:r w:rsidR="00F653CA">
        <w:rPr>
          <w:rFonts w:ascii="Times New Roman" w:hAnsi="Times New Roman" w:cs="Times New Roman"/>
          <w:sz w:val="24"/>
          <w:szCs w:val="24"/>
          <w:shd w:val="clear" w:color="auto" w:fill="FFFFFF"/>
        </w:rPr>
        <w:t>Sachsida</w:t>
      </w:r>
      <w:proofErr w:type="spellEnd"/>
      <w:r w:rsidR="00F653CA">
        <w:rPr>
          <w:rFonts w:ascii="Times New Roman" w:hAnsi="Times New Roman" w:cs="Times New Roman"/>
          <w:sz w:val="24"/>
          <w:szCs w:val="24"/>
          <w:shd w:val="clear" w:color="auto" w:fill="FFFFFF"/>
        </w:rPr>
        <w:t xml:space="preserve"> e Mendonça (2006) </w:t>
      </w:r>
      <w:r>
        <w:rPr>
          <w:rFonts w:ascii="Times New Roman" w:hAnsi="Times New Roman" w:cs="Times New Roman"/>
          <w:sz w:val="24"/>
          <w:szCs w:val="24"/>
          <w:shd w:val="clear" w:color="auto" w:fill="FFFFFF"/>
        </w:rPr>
        <w:t>encontr</w:t>
      </w:r>
      <w:r w:rsidR="00F653CA">
        <w:rPr>
          <w:rFonts w:ascii="Times New Roman" w:hAnsi="Times New Roman" w:cs="Times New Roman"/>
          <w:sz w:val="24"/>
          <w:szCs w:val="24"/>
          <w:shd w:val="clear" w:color="auto" w:fill="FFFFFF"/>
        </w:rPr>
        <w:t>aram</w:t>
      </w:r>
      <w:r>
        <w:rPr>
          <w:rFonts w:ascii="Times New Roman" w:hAnsi="Times New Roman" w:cs="Times New Roman"/>
          <w:sz w:val="24"/>
          <w:szCs w:val="24"/>
          <w:shd w:val="clear" w:color="auto" w:fill="FFFFFF"/>
        </w:rPr>
        <w:t xml:space="preserve"> relação de causalidade de Granger unidirecional da razão investimento/PIB para a razão poupança/PIB, rejeitando-se a presença de exogeneidade forte. </w:t>
      </w:r>
      <w:r w:rsidR="008C60F3">
        <w:rPr>
          <w:rFonts w:ascii="Times New Roman" w:hAnsi="Times New Roman" w:cs="Times New Roman"/>
          <w:sz w:val="24"/>
          <w:szCs w:val="24"/>
          <w:shd w:val="clear" w:color="auto" w:fill="FFFFFF"/>
        </w:rPr>
        <w:t>Silva Jr e Félix (2013) investiga</w:t>
      </w:r>
      <w:r w:rsidR="007D7D21">
        <w:rPr>
          <w:rFonts w:ascii="Times New Roman" w:hAnsi="Times New Roman" w:cs="Times New Roman"/>
          <w:sz w:val="24"/>
          <w:szCs w:val="24"/>
          <w:shd w:val="clear" w:color="auto" w:fill="FFFFFF"/>
        </w:rPr>
        <w:t>ra</w:t>
      </w:r>
      <w:r w:rsidR="008C60F3">
        <w:rPr>
          <w:rFonts w:ascii="Times New Roman" w:hAnsi="Times New Roman" w:cs="Times New Roman"/>
          <w:sz w:val="24"/>
          <w:szCs w:val="24"/>
          <w:shd w:val="clear" w:color="auto" w:fill="FFFFFF"/>
        </w:rPr>
        <w:t>m a relação entre as variáveis poupança e crescimento, assim como poupança e investimento, a partir de um painel balanceado com informações anuais de 18 países latino americanos</w:t>
      </w:r>
      <w:r w:rsidR="007D7D21">
        <w:rPr>
          <w:rFonts w:ascii="Times New Roman" w:hAnsi="Times New Roman" w:cs="Times New Roman"/>
          <w:sz w:val="24"/>
          <w:szCs w:val="24"/>
          <w:shd w:val="clear" w:color="auto" w:fill="FFFFFF"/>
        </w:rPr>
        <w:t>, dentre eles o Brasil, entre o período 1980 e 2009. Os resultados obtidos indicaram relação de bicausalidade de Granger entre poupança e investimento neste grupo de países para o período analisado.</w:t>
      </w:r>
    </w:p>
    <w:p w:rsidR="006A5F90" w:rsidRPr="005125E2" w:rsidRDefault="006A5F90" w:rsidP="006A5F90">
      <w:pPr>
        <w:spacing w:after="0" w:line="360" w:lineRule="auto"/>
        <w:jc w:val="both"/>
        <w:rPr>
          <w:rFonts w:ascii="Times New Roman" w:hAnsi="Times New Roman" w:cs="Times New Roman"/>
          <w:sz w:val="24"/>
          <w:szCs w:val="24"/>
        </w:rPr>
      </w:pPr>
    </w:p>
    <w:p w:rsidR="006A5F90" w:rsidRPr="00E332D8" w:rsidRDefault="006A5F90" w:rsidP="006A5F90">
      <w:pPr>
        <w:spacing w:after="0" w:line="360" w:lineRule="auto"/>
        <w:jc w:val="both"/>
        <w:rPr>
          <w:rFonts w:ascii="Times New Roman" w:hAnsi="Times New Roman" w:cs="Times New Roman"/>
          <w:b/>
          <w:sz w:val="24"/>
          <w:szCs w:val="24"/>
        </w:rPr>
      </w:pPr>
      <w:r w:rsidRPr="00E332D8">
        <w:rPr>
          <w:rFonts w:ascii="Times New Roman" w:hAnsi="Times New Roman" w:cs="Times New Roman"/>
          <w:b/>
          <w:sz w:val="24"/>
          <w:szCs w:val="24"/>
        </w:rPr>
        <w:t>3. Modelo Teórico</w:t>
      </w:r>
    </w:p>
    <w:p w:rsidR="006A5F90" w:rsidRPr="00E332D8" w:rsidRDefault="006A5F90" w:rsidP="006A5F90">
      <w:pPr>
        <w:spacing w:after="0" w:line="360" w:lineRule="auto"/>
        <w:jc w:val="both"/>
        <w:rPr>
          <w:rFonts w:ascii="Times New Roman" w:hAnsi="Times New Roman" w:cs="Times New Roman"/>
          <w:sz w:val="24"/>
          <w:szCs w:val="24"/>
        </w:rPr>
      </w:pP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proofErr w:type="spellStart"/>
      <w:r w:rsidRPr="00E332D8">
        <w:rPr>
          <w:rFonts w:ascii="Times New Roman" w:hAnsi="Times New Roman" w:cs="Times New Roman"/>
          <w:sz w:val="24"/>
          <w:szCs w:val="24"/>
        </w:rPr>
        <w:t>Feldstein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Horioka</w:t>
      </w:r>
      <w:proofErr w:type="spellEnd"/>
      <w:r w:rsidRPr="00E332D8">
        <w:rPr>
          <w:rFonts w:ascii="Times New Roman" w:hAnsi="Times New Roman" w:cs="Times New Roman"/>
          <w:sz w:val="24"/>
          <w:szCs w:val="24"/>
        </w:rPr>
        <w:t xml:space="preserve"> (1980) propuseram como medida do grau de mobilidade de capitais a correlação entre poupança e investimento. Utilizaram, para tanto, uma amostra de 16 países da OCDE. Eles estimaram a seguinte regressão </w:t>
      </w:r>
      <w:proofErr w:type="spellStart"/>
      <w:r w:rsidRPr="00E332D8">
        <w:rPr>
          <w:rFonts w:ascii="Times New Roman" w:hAnsi="Times New Roman" w:cs="Times New Roman"/>
          <w:i/>
          <w:sz w:val="24"/>
          <w:szCs w:val="24"/>
        </w:rPr>
        <w:t>cross-section</w:t>
      </w:r>
      <w:proofErr w:type="spellEnd"/>
      <w:r w:rsidRPr="00E332D8">
        <w:rPr>
          <w:rFonts w:ascii="Times New Roman" w:hAnsi="Times New Roman" w:cs="Times New Roman"/>
          <w:sz w:val="24"/>
          <w:szCs w:val="24"/>
        </w:rPr>
        <w:t>:</w:t>
      </w:r>
    </w:p>
    <w:p w:rsidR="0011269D" w:rsidRPr="00E332D8" w:rsidRDefault="0011269D" w:rsidP="0011269D">
      <w:pPr>
        <w:autoSpaceDE w:val="0"/>
        <w:autoSpaceDN w:val="0"/>
        <w:adjustRightInd w:val="0"/>
        <w:spacing w:after="0" w:line="360" w:lineRule="auto"/>
        <w:jc w:val="both"/>
        <w:rPr>
          <w:rFonts w:ascii="Times New Roman" w:hAnsi="Times New Roman" w:cs="Times New Roman"/>
          <w:sz w:val="24"/>
          <w:szCs w:val="24"/>
        </w:rPr>
      </w:pPr>
    </w:p>
    <w:p w:rsidR="00F65F76" w:rsidRPr="00E332D8" w:rsidRDefault="004419A9" w:rsidP="0011269D">
      <w:pPr>
        <w:autoSpaceDE w:val="0"/>
        <w:autoSpaceDN w:val="0"/>
        <w:adjustRightInd w:val="0"/>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Y</m:t>
                      </m:r>
                    </m:den>
                  </m:f>
                </m:e>
              </m:d>
            </m:e>
            <m:sub>
              <m:r>
                <w:rPr>
                  <w:rFonts w:ascii="Cambria Math" w:hAnsi="Cambria Math" w:cs="Times New Roman"/>
                  <w:sz w:val="24"/>
                  <w:szCs w:val="24"/>
                </w:rPr>
                <m:t>i</m:t>
              </m:r>
            </m:sub>
          </m:sSub>
          <m:r>
            <w:rPr>
              <w:rFonts w:ascii="Cambria Math" w:hAnsi="Cambria Math" w:cs="Times New Roman"/>
              <w:sz w:val="24"/>
              <w:szCs w:val="24"/>
            </w:rPr>
            <m:t>=a+b</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Y</m:t>
                      </m:r>
                    </m:den>
                  </m:f>
                </m:e>
              </m:d>
            </m:e>
            <m:sub>
              <m:r>
                <w:rPr>
                  <w:rFonts w:ascii="Cambria Math" w:hAnsi="Cambria Math" w:cs="Times New Roman"/>
                  <w:sz w:val="24"/>
                  <w:szCs w:val="24"/>
                </w:rPr>
                <m:t>i</m:t>
              </m:r>
            </m:sub>
          </m:sSub>
          <m:r>
            <w:rPr>
              <w:rFonts w:ascii="Cambria Math" w:hAnsi="Cambria Math" w:cs="Times New Roman"/>
              <w:sz w:val="24"/>
              <w:szCs w:val="24"/>
            </w:rPr>
            <m:t xml:space="preserve">+ε                                                                                                                 </m:t>
          </m:r>
          <m:d>
            <m:dPr>
              <m:ctrlPr>
                <w:rPr>
                  <w:rFonts w:ascii="Cambria Math" w:hAnsi="Cambria Math" w:cs="Times New Roman"/>
                  <w:i/>
                  <w:sz w:val="24"/>
                  <w:szCs w:val="24"/>
                </w:rPr>
              </m:ctrlPr>
            </m:dPr>
            <m:e>
              <m:r>
                <w:rPr>
                  <w:rFonts w:ascii="Cambria Math" w:hAnsi="Cambria Math" w:cs="Times New Roman"/>
                  <w:sz w:val="24"/>
                  <w:szCs w:val="24"/>
                </w:rPr>
                <m:t>1</m:t>
              </m:r>
            </m:e>
          </m:d>
        </m:oMath>
      </m:oMathPara>
    </w:p>
    <w:p w:rsidR="00F65F76" w:rsidRPr="00E332D8" w:rsidRDefault="00F65F76" w:rsidP="0011269D">
      <w:pPr>
        <w:autoSpaceDE w:val="0"/>
        <w:autoSpaceDN w:val="0"/>
        <w:adjustRightInd w:val="0"/>
        <w:spacing w:after="0" w:line="360" w:lineRule="auto"/>
        <w:rPr>
          <w:rFonts w:ascii="Times New Roman" w:hAnsi="Times New Roman" w:cs="Times New Roman"/>
          <w:sz w:val="24"/>
          <w:szCs w:val="24"/>
        </w:rPr>
      </w:pPr>
    </w:p>
    <w:p w:rsidR="0011269D" w:rsidRPr="00E332D8" w:rsidRDefault="0011269D" w:rsidP="0011269D">
      <w:pPr>
        <w:autoSpaceDE w:val="0"/>
        <w:autoSpaceDN w:val="0"/>
        <w:adjustRightInd w:val="0"/>
        <w:spacing w:after="0" w:line="360" w:lineRule="auto"/>
        <w:jc w:val="both"/>
        <w:rPr>
          <w:rFonts w:ascii="Times New Roman" w:hAnsi="Times New Roman" w:cs="Times New Roman"/>
          <w:sz w:val="24"/>
          <w:szCs w:val="24"/>
        </w:rPr>
      </w:pPr>
      <w:proofErr w:type="gramStart"/>
      <w:r w:rsidRPr="00E332D8">
        <w:rPr>
          <w:rFonts w:ascii="Times New Roman" w:hAnsi="Times New Roman" w:cs="Times New Roman"/>
          <w:sz w:val="24"/>
          <w:szCs w:val="24"/>
        </w:rPr>
        <w:t>onde</w:t>
      </w:r>
      <w:proofErr w:type="gramEnd"/>
      <w:r w:rsidRPr="00E332D8">
        <w:rPr>
          <w:rFonts w:ascii="Times New Roman" w:hAnsi="Times New Roman" w:cs="Times New Roman"/>
          <w:sz w:val="24"/>
          <w:szCs w:val="24"/>
        </w:rPr>
        <w:t xml:space="preserve"> </w:t>
      </w:r>
      <m:oMath>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Y</m:t>
                </m:r>
              </m:den>
            </m:f>
          </m:e>
        </m:d>
      </m:oMath>
      <w:r w:rsidRPr="00E332D8">
        <w:rPr>
          <w:rFonts w:ascii="Times New Roman" w:hAnsi="Times New Roman" w:cs="Times New Roman"/>
          <w:sz w:val="24"/>
          <w:szCs w:val="24"/>
        </w:rPr>
        <w:t xml:space="preserve"> é a razão entre o investimento doméstico bruto e o produto nacional e </w:t>
      </w:r>
      <m:oMath>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Y</m:t>
                </m:r>
              </m:den>
            </m:f>
          </m:e>
        </m:d>
      </m:oMath>
      <w:r w:rsidRPr="00E332D8">
        <w:rPr>
          <w:rFonts w:ascii="Times New Roman" w:hAnsi="Times New Roman" w:cs="Times New Roman"/>
          <w:sz w:val="24"/>
          <w:szCs w:val="24"/>
        </w:rPr>
        <w:t xml:space="preserve"> é a razão entre a poupança doméstica bruta e o produto nacional. Já</w:t>
      </w:r>
      <w:r w:rsidRPr="00E332D8">
        <w:rPr>
          <w:rFonts w:ascii="Times New Roman" w:hAnsi="Times New Roman" w:cs="Times New Roman"/>
          <w:i/>
          <w:sz w:val="24"/>
          <w:szCs w:val="24"/>
        </w:rPr>
        <w:t xml:space="preserve"> i</w:t>
      </w:r>
      <w:r w:rsidRPr="00E332D8">
        <w:rPr>
          <w:rFonts w:ascii="Times New Roman" w:hAnsi="Times New Roman" w:cs="Times New Roman"/>
          <w:sz w:val="24"/>
          <w:szCs w:val="24"/>
        </w:rPr>
        <w:t xml:space="preserve"> é um índice de país, </w:t>
      </w:r>
      <w:r w:rsidRPr="00E332D8">
        <w:rPr>
          <w:rFonts w:ascii="Times New Roman" w:hAnsi="Times New Roman" w:cs="Times New Roman"/>
          <w:i/>
          <w:sz w:val="24"/>
          <w:szCs w:val="24"/>
        </w:rPr>
        <w:t>a</w:t>
      </w:r>
      <w:r w:rsidRPr="00E332D8">
        <w:rPr>
          <w:rFonts w:ascii="Times New Roman" w:hAnsi="Times New Roman" w:cs="Times New Roman"/>
          <w:sz w:val="24"/>
          <w:szCs w:val="24"/>
        </w:rPr>
        <w:t xml:space="preserve"> e </w:t>
      </w:r>
      <w:r w:rsidRPr="00E332D8">
        <w:rPr>
          <w:rFonts w:ascii="Times New Roman" w:hAnsi="Times New Roman" w:cs="Times New Roman"/>
          <w:i/>
          <w:sz w:val="24"/>
          <w:szCs w:val="24"/>
        </w:rPr>
        <w:t>b</w:t>
      </w:r>
      <w:r w:rsidRPr="00E332D8">
        <w:rPr>
          <w:rFonts w:ascii="Times New Roman" w:hAnsi="Times New Roman" w:cs="Times New Roman"/>
          <w:sz w:val="24"/>
          <w:szCs w:val="24"/>
        </w:rPr>
        <w:t xml:space="preserve"> representam parâmetros a serem estimados e </w:t>
      </w:r>
      <w:r w:rsidRPr="00E332D8">
        <w:rPr>
          <w:rFonts w:ascii="Times New Roman" w:hAnsi="Times New Roman" w:cs="Times New Roman"/>
          <w:i/>
          <w:sz w:val="24"/>
          <w:szCs w:val="24"/>
        </w:rPr>
        <w:t>u</w:t>
      </w:r>
      <w:r w:rsidRPr="00E332D8">
        <w:rPr>
          <w:rFonts w:ascii="Times New Roman" w:hAnsi="Times New Roman" w:cs="Times New Roman"/>
          <w:sz w:val="24"/>
          <w:szCs w:val="24"/>
        </w:rPr>
        <w:t xml:space="preserve"> é o termo de erro. </w:t>
      </w:r>
    </w:p>
    <w:p w:rsidR="0011269D"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Para países pequenos,</w:t>
      </w:r>
      <w:r w:rsidRPr="00E332D8">
        <w:rPr>
          <w:rFonts w:ascii="Times New Roman" w:hAnsi="Times New Roman" w:cs="Times New Roman"/>
          <w:i/>
          <w:sz w:val="24"/>
          <w:szCs w:val="24"/>
        </w:rPr>
        <w:t xml:space="preserve"> b</w:t>
      </w:r>
      <w:r w:rsidRPr="00E332D8">
        <w:rPr>
          <w:rFonts w:ascii="Times New Roman" w:hAnsi="Times New Roman" w:cs="Times New Roman"/>
          <w:sz w:val="24"/>
          <w:szCs w:val="24"/>
        </w:rPr>
        <w:t xml:space="preserve"> deveria ser próximo de zero sob a hipótese de perfeita mobilidade de capitais. Por um lado, quando </w:t>
      </w:r>
      <w:r w:rsidRPr="00E332D8">
        <w:rPr>
          <w:rFonts w:ascii="Times New Roman" w:hAnsi="Times New Roman" w:cs="Times New Roman"/>
          <w:i/>
          <w:sz w:val="24"/>
          <w:szCs w:val="24"/>
        </w:rPr>
        <w:t>b</w:t>
      </w:r>
      <w:r w:rsidRPr="00E332D8">
        <w:rPr>
          <w:rFonts w:ascii="Times New Roman" w:hAnsi="Times New Roman" w:cs="Times New Roman"/>
          <w:sz w:val="24"/>
          <w:szCs w:val="24"/>
        </w:rPr>
        <w:t xml:space="preserve"> é igual a zero não existe relação entre poupança doméstica e investimento doméstico. Por outro lado, quando </w:t>
      </w:r>
      <w:r w:rsidRPr="00E332D8">
        <w:rPr>
          <w:rFonts w:ascii="Times New Roman" w:hAnsi="Times New Roman" w:cs="Times New Roman"/>
          <w:i/>
          <w:sz w:val="24"/>
          <w:szCs w:val="24"/>
        </w:rPr>
        <w:t>b</w:t>
      </w:r>
      <w:r w:rsidRPr="00E332D8">
        <w:rPr>
          <w:rFonts w:ascii="Times New Roman" w:hAnsi="Times New Roman" w:cs="Times New Roman"/>
          <w:sz w:val="24"/>
          <w:szCs w:val="24"/>
        </w:rPr>
        <w:t xml:space="preserve"> é grande, o capital deve ser bastante móvel. Caso </w:t>
      </w:r>
      <w:r w:rsidRPr="00E332D8">
        <w:rPr>
          <w:rFonts w:ascii="Times New Roman" w:hAnsi="Times New Roman" w:cs="Times New Roman"/>
          <w:i/>
          <w:sz w:val="24"/>
          <w:szCs w:val="24"/>
        </w:rPr>
        <w:t>b</w:t>
      </w:r>
      <w:r w:rsidRPr="00E332D8">
        <w:rPr>
          <w:rFonts w:ascii="Times New Roman" w:hAnsi="Times New Roman" w:cs="Times New Roman"/>
          <w:sz w:val="24"/>
          <w:szCs w:val="24"/>
        </w:rPr>
        <w:t xml:space="preserve"> seja igual a </w:t>
      </w:r>
      <w:proofErr w:type="gramStart"/>
      <w:r w:rsidRPr="00E332D8">
        <w:rPr>
          <w:rFonts w:ascii="Times New Roman" w:hAnsi="Times New Roman" w:cs="Times New Roman"/>
          <w:sz w:val="24"/>
          <w:szCs w:val="24"/>
        </w:rPr>
        <w:t>1</w:t>
      </w:r>
      <w:proofErr w:type="gramEnd"/>
      <w:r w:rsidRPr="00E332D8">
        <w:rPr>
          <w:rFonts w:ascii="Times New Roman" w:hAnsi="Times New Roman" w:cs="Times New Roman"/>
          <w:sz w:val="24"/>
          <w:szCs w:val="24"/>
        </w:rPr>
        <w:t xml:space="preserve"> então toda a poupança adicional é usada para </w:t>
      </w:r>
      <w:r w:rsidRPr="00E332D8">
        <w:rPr>
          <w:rFonts w:ascii="Times New Roman" w:hAnsi="Times New Roman" w:cs="Times New Roman"/>
          <w:sz w:val="24"/>
          <w:szCs w:val="24"/>
        </w:rPr>
        <w:lastRenderedPageBreak/>
        <w:t xml:space="preserve">financiar investimento doméstico. </w:t>
      </w:r>
      <w:proofErr w:type="spellStart"/>
      <w:r w:rsidRPr="00E332D8">
        <w:rPr>
          <w:rFonts w:ascii="Times New Roman" w:hAnsi="Times New Roman" w:cs="Times New Roman"/>
          <w:sz w:val="24"/>
          <w:szCs w:val="24"/>
        </w:rPr>
        <w:t>Feldstein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Horioka</w:t>
      </w:r>
      <w:proofErr w:type="spellEnd"/>
      <w:r w:rsidRPr="00E332D8">
        <w:rPr>
          <w:rFonts w:ascii="Times New Roman" w:hAnsi="Times New Roman" w:cs="Times New Roman"/>
          <w:sz w:val="24"/>
          <w:szCs w:val="24"/>
        </w:rPr>
        <w:t xml:space="preserve"> (1980) obtiveram uma estimativa para </w:t>
      </w:r>
      <w:r w:rsidRPr="00E332D8">
        <w:rPr>
          <w:rFonts w:ascii="Times New Roman" w:hAnsi="Times New Roman" w:cs="Times New Roman"/>
          <w:i/>
          <w:sz w:val="24"/>
          <w:szCs w:val="24"/>
        </w:rPr>
        <w:t>b</w:t>
      </w:r>
      <w:r w:rsidRPr="00E332D8">
        <w:rPr>
          <w:rFonts w:ascii="Times New Roman" w:hAnsi="Times New Roman" w:cs="Times New Roman"/>
          <w:sz w:val="24"/>
          <w:szCs w:val="24"/>
        </w:rPr>
        <w:t xml:space="preserve"> de 0,89, o que foi interpretado como indicação de que havia um baixo grau de mobilidade de capitais entre os países industrializados, contrariando o senso comum de que esses países tinham poucas restrições ao movimento de capitais. Além disso, obtiveram como evidência que poupança e investimento eram altamente correlacionados. A correlação estimada era, ainda, extremamente estável ao longo do tempo, a despeito da crença de que a mobilidade de capitais teria aumentado depois de meados dos anos </w:t>
      </w:r>
      <w:r w:rsidR="005E5C38">
        <w:rPr>
          <w:rFonts w:ascii="Times New Roman" w:hAnsi="Times New Roman" w:cs="Times New Roman"/>
          <w:sz w:val="24"/>
          <w:szCs w:val="24"/>
        </w:rPr>
        <w:t>19</w:t>
      </w:r>
      <w:r w:rsidRPr="00E332D8">
        <w:rPr>
          <w:rFonts w:ascii="Times New Roman" w:hAnsi="Times New Roman" w:cs="Times New Roman"/>
          <w:sz w:val="24"/>
          <w:szCs w:val="24"/>
        </w:rPr>
        <w:t xml:space="preserve">70. </w:t>
      </w:r>
    </w:p>
    <w:p w:rsidR="00C36F2D" w:rsidRPr="00E332D8" w:rsidRDefault="00C36F2D"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Já </w:t>
      </w:r>
      <w:proofErr w:type="spellStart"/>
      <w:r>
        <w:rPr>
          <w:rFonts w:ascii="Times New Roman" w:hAnsi="Times New Roman" w:cs="Times New Roman"/>
          <w:sz w:val="24"/>
          <w:szCs w:val="24"/>
        </w:rPr>
        <w:t>Bayoumi</w:t>
      </w:r>
      <w:proofErr w:type="spellEnd"/>
      <w:r>
        <w:rPr>
          <w:rFonts w:ascii="Times New Roman" w:hAnsi="Times New Roman" w:cs="Times New Roman"/>
          <w:sz w:val="24"/>
          <w:szCs w:val="24"/>
        </w:rPr>
        <w:t xml:space="preserve"> (1990) argumenta que a correlação poupança-investimento pode indicar que o governo utiliza as políticas fiscal e monetária para afetar o saldo em conta corrente do balanço de pagamentos.</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lang w:val="en-US"/>
        </w:rPr>
        <w:t xml:space="preserve">Murphy (1984), </w:t>
      </w:r>
      <w:proofErr w:type="spellStart"/>
      <w:r w:rsidRPr="00E332D8">
        <w:rPr>
          <w:rFonts w:ascii="Times New Roman" w:hAnsi="Times New Roman" w:cs="Times New Roman"/>
          <w:sz w:val="24"/>
          <w:szCs w:val="24"/>
          <w:lang w:val="en-US"/>
        </w:rPr>
        <w:t>Obstfeld</w:t>
      </w:r>
      <w:proofErr w:type="spellEnd"/>
      <w:r w:rsidRPr="00E332D8">
        <w:rPr>
          <w:rFonts w:ascii="Times New Roman" w:hAnsi="Times New Roman" w:cs="Times New Roman"/>
          <w:sz w:val="24"/>
          <w:szCs w:val="24"/>
          <w:lang w:val="en-US"/>
        </w:rPr>
        <w:t xml:space="preserve"> (1986</w:t>
      </w:r>
      <w:r w:rsidR="005125E2">
        <w:rPr>
          <w:rFonts w:ascii="Times New Roman" w:hAnsi="Times New Roman" w:cs="Times New Roman"/>
          <w:sz w:val="24"/>
          <w:szCs w:val="24"/>
          <w:lang w:val="en-US"/>
        </w:rPr>
        <w:t>)</w:t>
      </w:r>
      <w:r w:rsidRPr="00E332D8">
        <w:rPr>
          <w:rFonts w:ascii="Times New Roman" w:hAnsi="Times New Roman" w:cs="Times New Roman"/>
          <w:sz w:val="24"/>
          <w:szCs w:val="24"/>
          <w:lang w:val="en-US"/>
        </w:rPr>
        <w:t xml:space="preserve"> Dooley et al. </w:t>
      </w:r>
      <w:r w:rsidRPr="00E332D8">
        <w:rPr>
          <w:rFonts w:ascii="Times New Roman" w:hAnsi="Times New Roman" w:cs="Times New Roman"/>
          <w:sz w:val="24"/>
          <w:szCs w:val="24"/>
        </w:rPr>
        <w:t>(1987) e Wong (1990</w:t>
      </w:r>
      <w:r w:rsidR="005125E2">
        <w:rPr>
          <w:rFonts w:ascii="Times New Roman" w:hAnsi="Times New Roman" w:cs="Times New Roman"/>
          <w:sz w:val="24"/>
          <w:szCs w:val="24"/>
        </w:rPr>
        <w:t xml:space="preserve">) </w:t>
      </w:r>
      <w:r w:rsidRPr="00E332D8">
        <w:rPr>
          <w:rFonts w:ascii="Times New Roman" w:hAnsi="Times New Roman" w:cs="Times New Roman"/>
          <w:sz w:val="24"/>
          <w:szCs w:val="24"/>
        </w:rPr>
        <w:t xml:space="preserve">também verificaram uma associação </w:t>
      </w:r>
      <w:proofErr w:type="gramStart"/>
      <w:r w:rsidRPr="00E332D8">
        <w:rPr>
          <w:rFonts w:ascii="Times New Roman" w:hAnsi="Times New Roman" w:cs="Times New Roman"/>
          <w:sz w:val="24"/>
          <w:szCs w:val="24"/>
        </w:rPr>
        <w:t>alta</w:t>
      </w:r>
      <w:proofErr w:type="gramEnd"/>
      <w:r w:rsidRPr="00E332D8">
        <w:rPr>
          <w:rFonts w:ascii="Times New Roman" w:hAnsi="Times New Roman" w:cs="Times New Roman"/>
          <w:sz w:val="24"/>
          <w:szCs w:val="24"/>
        </w:rPr>
        <w:t xml:space="preserve"> entre poupança e investimento para países industrializados menores e para países em desenvolvimento, embora as correlações estimadas fossem na média mais baixas. Contudo, as correlações estimadas eram também menores no período anterior a meados dos anos </w:t>
      </w:r>
      <w:r w:rsidR="006A5F90" w:rsidRPr="00E332D8">
        <w:rPr>
          <w:rFonts w:ascii="Times New Roman" w:hAnsi="Times New Roman" w:cs="Times New Roman"/>
          <w:sz w:val="24"/>
          <w:szCs w:val="24"/>
        </w:rPr>
        <w:t>19</w:t>
      </w:r>
      <w:r w:rsidRPr="00E332D8">
        <w:rPr>
          <w:rFonts w:ascii="Times New Roman" w:hAnsi="Times New Roman" w:cs="Times New Roman"/>
          <w:sz w:val="24"/>
          <w:szCs w:val="24"/>
        </w:rPr>
        <w:t xml:space="preserve">70, quando comparadas ao período posterior. A regularidade dos resultados fez com que a correlação poupança-investimento de </w:t>
      </w:r>
      <w:proofErr w:type="spellStart"/>
      <w:r w:rsidRPr="00E332D8">
        <w:rPr>
          <w:rFonts w:ascii="Times New Roman" w:hAnsi="Times New Roman" w:cs="Times New Roman"/>
          <w:sz w:val="24"/>
          <w:szCs w:val="24"/>
        </w:rPr>
        <w:t>Feldstein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Horioka</w:t>
      </w:r>
      <w:proofErr w:type="spellEnd"/>
      <w:r w:rsidRPr="00E332D8">
        <w:rPr>
          <w:rFonts w:ascii="Times New Roman" w:hAnsi="Times New Roman" w:cs="Times New Roman"/>
          <w:sz w:val="24"/>
          <w:szCs w:val="24"/>
        </w:rPr>
        <w:t xml:space="preserve"> se tornasse um dos mais importantes “puzzles” da macroeconomia internacional (</w:t>
      </w:r>
      <w:r w:rsidR="006A5F90" w:rsidRPr="00E332D8">
        <w:rPr>
          <w:rFonts w:ascii="Times New Roman" w:hAnsi="Times New Roman" w:cs="Times New Roman"/>
          <w:sz w:val="24"/>
          <w:szCs w:val="24"/>
        </w:rPr>
        <w:t xml:space="preserve">OBSTFELD e ROGOFF, </w:t>
      </w:r>
      <w:r w:rsidRPr="00E332D8">
        <w:rPr>
          <w:rFonts w:ascii="Times New Roman" w:hAnsi="Times New Roman" w:cs="Times New Roman"/>
          <w:sz w:val="24"/>
          <w:szCs w:val="24"/>
        </w:rPr>
        <w:t>2000</w:t>
      </w:r>
      <w:r w:rsidR="00AC7054">
        <w:rPr>
          <w:rFonts w:ascii="Times New Roman" w:hAnsi="Times New Roman" w:cs="Times New Roman"/>
          <w:sz w:val="24"/>
          <w:szCs w:val="24"/>
        </w:rPr>
        <w:t xml:space="preserve">). </w:t>
      </w:r>
      <w:r w:rsidRPr="00E332D8">
        <w:rPr>
          <w:rFonts w:ascii="Times New Roman" w:hAnsi="Times New Roman" w:cs="Times New Roman"/>
          <w:sz w:val="24"/>
          <w:szCs w:val="24"/>
        </w:rPr>
        <w:t xml:space="preserve">De fato, </w:t>
      </w:r>
      <w:proofErr w:type="spellStart"/>
      <w:r w:rsidRPr="00E332D8">
        <w:rPr>
          <w:rFonts w:ascii="Times New Roman" w:eastAsia="Times New Roman" w:hAnsi="Times New Roman" w:cs="Times New Roman"/>
          <w:sz w:val="24"/>
          <w:szCs w:val="24"/>
        </w:rPr>
        <w:t>Apergis</w:t>
      </w:r>
      <w:proofErr w:type="spellEnd"/>
      <w:r w:rsidRPr="00E332D8">
        <w:rPr>
          <w:rFonts w:ascii="Times New Roman" w:eastAsia="Times New Roman" w:hAnsi="Times New Roman" w:cs="Times New Roman"/>
          <w:sz w:val="24"/>
          <w:szCs w:val="24"/>
        </w:rPr>
        <w:t xml:space="preserve"> e </w:t>
      </w:r>
      <w:proofErr w:type="spellStart"/>
      <w:r w:rsidRPr="00E332D8">
        <w:rPr>
          <w:rFonts w:ascii="Times New Roman" w:eastAsia="Times New Roman" w:hAnsi="Times New Roman" w:cs="Times New Roman"/>
          <w:sz w:val="24"/>
          <w:szCs w:val="24"/>
        </w:rPr>
        <w:t>Tsoumas</w:t>
      </w:r>
      <w:proofErr w:type="spellEnd"/>
      <w:r w:rsidRPr="00E332D8">
        <w:rPr>
          <w:rFonts w:ascii="Times New Roman" w:eastAsia="Times New Roman" w:hAnsi="Times New Roman" w:cs="Times New Roman"/>
          <w:sz w:val="24"/>
          <w:szCs w:val="24"/>
        </w:rPr>
        <w:t xml:space="preserve"> (2009</w:t>
      </w:r>
      <w:r w:rsidR="00AC7054">
        <w:rPr>
          <w:rFonts w:ascii="Times New Roman" w:eastAsia="Times New Roman" w:hAnsi="Times New Roman" w:cs="Times New Roman"/>
          <w:sz w:val="24"/>
          <w:szCs w:val="24"/>
        </w:rPr>
        <w:t xml:space="preserve">) </w:t>
      </w:r>
      <w:r w:rsidRPr="00E332D8">
        <w:rPr>
          <w:rFonts w:ascii="Times New Roman" w:hAnsi="Times New Roman" w:cs="Times New Roman"/>
          <w:sz w:val="24"/>
          <w:szCs w:val="24"/>
        </w:rPr>
        <w:t>verificaram que a maior parte da literatura encontrou uma forte correlação entre investimento e poupança, porém não foi capaz de validar a hipótese de mobilidade de capital.</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Originalmente as regressões baseadas na equação (1) usaram médias de longo prazo das razões poupança e investimento para um conjunto de países. O argumento era de que, dado que I/Y e S/Y são </w:t>
      </w:r>
      <w:proofErr w:type="spellStart"/>
      <w:r w:rsidRPr="00E332D8">
        <w:rPr>
          <w:rFonts w:ascii="Times New Roman" w:hAnsi="Times New Roman" w:cs="Times New Roman"/>
          <w:sz w:val="24"/>
          <w:szCs w:val="24"/>
        </w:rPr>
        <w:t>procíclicos</w:t>
      </w:r>
      <w:proofErr w:type="spellEnd"/>
      <w:r w:rsidRPr="00E332D8">
        <w:rPr>
          <w:rFonts w:ascii="Times New Roman" w:hAnsi="Times New Roman" w:cs="Times New Roman"/>
          <w:sz w:val="24"/>
          <w:szCs w:val="24"/>
        </w:rPr>
        <w:t xml:space="preserve">, o uso de dados anuais implicaria um viés para cima no coeficiente </w:t>
      </w:r>
      <w:r w:rsidRPr="00E332D8">
        <w:rPr>
          <w:rFonts w:ascii="Times New Roman" w:hAnsi="Times New Roman" w:cs="Times New Roman"/>
          <w:i/>
          <w:sz w:val="24"/>
          <w:szCs w:val="24"/>
        </w:rPr>
        <w:t>b</w:t>
      </w:r>
      <w:r w:rsidRPr="00E332D8">
        <w:rPr>
          <w:rFonts w:ascii="Times New Roman" w:hAnsi="Times New Roman" w:cs="Times New Roman"/>
          <w:sz w:val="24"/>
          <w:szCs w:val="24"/>
        </w:rPr>
        <w:t>. Dados médios, desta forma, eliminariam os efeitos do ciclo econômico (B</w:t>
      </w:r>
      <w:r w:rsidR="006A5F90" w:rsidRPr="00E332D8">
        <w:rPr>
          <w:rFonts w:ascii="Times New Roman" w:hAnsi="Times New Roman" w:cs="Times New Roman"/>
          <w:sz w:val="24"/>
          <w:szCs w:val="24"/>
        </w:rPr>
        <w:t>AYOUMI</w:t>
      </w:r>
      <w:r w:rsidRPr="00E332D8">
        <w:rPr>
          <w:rFonts w:ascii="Times New Roman" w:hAnsi="Times New Roman" w:cs="Times New Roman"/>
          <w:sz w:val="24"/>
          <w:szCs w:val="24"/>
        </w:rPr>
        <w:t>, 1990).</w:t>
      </w:r>
      <w:r w:rsidR="00C36F2D">
        <w:rPr>
          <w:rFonts w:ascii="Times New Roman" w:hAnsi="Times New Roman" w:cs="Times New Roman"/>
          <w:sz w:val="24"/>
          <w:szCs w:val="24"/>
        </w:rPr>
        <w:t xml:space="preserve"> </w:t>
      </w:r>
    </w:p>
    <w:p w:rsidR="00C36F2D" w:rsidRDefault="00B21C50"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Diversos estudos </w:t>
      </w:r>
      <w:r w:rsidR="0011269D" w:rsidRPr="00E332D8">
        <w:rPr>
          <w:rFonts w:ascii="Times New Roman" w:hAnsi="Times New Roman" w:cs="Times New Roman"/>
          <w:sz w:val="24"/>
          <w:szCs w:val="24"/>
        </w:rPr>
        <w:t>também fizeram outras modificações ao utilizar-se da equação (1). Tesar (1991</w:t>
      </w:r>
      <w:r w:rsidR="00AC7054">
        <w:rPr>
          <w:rFonts w:ascii="Times New Roman" w:hAnsi="Times New Roman" w:cs="Times New Roman"/>
          <w:sz w:val="24"/>
          <w:szCs w:val="24"/>
        </w:rPr>
        <w:t xml:space="preserve">) e </w:t>
      </w:r>
      <w:proofErr w:type="spellStart"/>
      <w:r w:rsidR="00AC7054">
        <w:rPr>
          <w:rFonts w:ascii="Times New Roman" w:hAnsi="Times New Roman" w:cs="Times New Roman"/>
          <w:sz w:val="24"/>
          <w:szCs w:val="24"/>
        </w:rPr>
        <w:t>S</w:t>
      </w:r>
      <w:r w:rsidR="0011269D" w:rsidRPr="00E332D8">
        <w:rPr>
          <w:rFonts w:ascii="Times New Roman" w:hAnsi="Times New Roman" w:cs="Times New Roman"/>
          <w:sz w:val="24"/>
          <w:szCs w:val="24"/>
        </w:rPr>
        <w:t>inn</w:t>
      </w:r>
      <w:proofErr w:type="spellEnd"/>
      <w:r w:rsidR="0011269D" w:rsidRPr="00E332D8">
        <w:rPr>
          <w:rFonts w:ascii="Times New Roman" w:hAnsi="Times New Roman" w:cs="Times New Roman"/>
          <w:sz w:val="24"/>
          <w:szCs w:val="24"/>
        </w:rPr>
        <w:t xml:space="preserve"> (1992</w:t>
      </w:r>
      <w:r w:rsidR="00AC7054">
        <w:rPr>
          <w:rFonts w:ascii="Times New Roman" w:hAnsi="Times New Roman" w:cs="Times New Roman"/>
          <w:sz w:val="24"/>
          <w:szCs w:val="24"/>
        </w:rPr>
        <w:t xml:space="preserve">) </w:t>
      </w:r>
      <w:r w:rsidR="0011269D" w:rsidRPr="00E332D8">
        <w:rPr>
          <w:rFonts w:ascii="Times New Roman" w:hAnsi="Times New Roman" w:cs="Times New Roman"/>
          <w:sz w:val="24"/>
          <w:szCs w:val="24"/>
        </w:rPr>
        <w:t xml:space="preserve">usaram variáveis em níveis. Já </w:t>
      </w:r>
      <w:proofErr w:type="spellStart"/>
      <w:r w:rsidR="0011269D" w:rsidRPr="00E332D8">
        <w:rPr>
          <w:rFonts w:ascii="Times New Roman" w:hAnsi="Times New Roman" w:cs="Times New Roman"/>
          <w:sz w:val="24"/>
          <w:szCs w:val="24"/>
        </w:rPr>
        <w:t>Feldstein</w:t>
      </w:r>
      <w:proofErr w:type="spellEnd"/>
      <w:r w:rsidR="0011269D" w:rsidRPr="00E332D8">
        <w:rPr>
          <w:rFonts w:ascii="Times New Roman" w:hAnsi="Times New Roman" w:cs="Times New Roman"/>
          <w:sz w:val="24"/>
          <w:szCs w:val="24"/>
        </w:rPr>
        <w:t xml:space="preserve"> (1983</w:t>
      </w:r>
      <w:r w:rsidR="00AC7054">
        <w:rPr>
          <w:rFonts w:ascii="Times New Roman" w:hAnsi="Times New Roman" w:cs="Times New Roman"/>
          <w:sz w:val="24"/>
          <w:szCs w:val="24"/>
        </w:rPr>
        <w:t xml:space="preserve">), </w:t>
      </w:r>
      <w:proofErr w:type="spellStart"/>
      <w:r w:rsidR="00AC7054">
        <w:rPr>
          <w:rFonts w:ascii="Times New Roman" w:hAnsi="Times New Roman" w:cs="Times New Roman"/>
          <w:sz w:val="24"/>
          <w:szCs w:val="24"/>
        </w:rPr>
        <w:t>F</w:t>
      </w:r>
      <w:r w:rsidR="0011269D" w:rsidRPr="00E332D8">
        <w:rPr>
          <w:rFonts w:ascii="Times New Roman" w:hAnsi="Times New Roman" w:cs="Times New Roman"/>
          <w:sz w:val="24"/>
          <w:szCs w:val="24"/>
        </w:rPr>
        <w:t>eldstein</w:t>
      </w:r>
      <w:proofErr w:type="spellEnd"/>
      <w:r w:rsidR="0011269D" w:rsidRPr="00E332D8">
        <w:rPr>
          <w:rFonts w:ascii="Times New Roman" w:hAnsi="Times New Roman" w:cs="Times New Roman"/>
          <w:sz w:val="24"/>
          <w:szCs w:val="24"/>
        </w:rPr>
        <w:t xml:space="preserve"> </w:t>
      </w:r>
      <w:r w:rsidR="006A5F90" w:rsidRPr="00E332D8">
        <w:rPr>
          <w:rFonts w:ascii="Times New Roman" w:hAnsi="Times New Roman" w:cs="Times New Roman"/>
          <w:sz w:val="24"/>
          <w:szCs w:val="24"/>
        </w:rPr>
        <w:t xml:space="preserve">e </w:t>
      </w:r>
      <w:proofErr w:type="spellStart"/>
      <w:r w:rsidR="0011269D" w:rsidRPr="00E332D8">
        <w:rPr>
          <w:rFonts w:ascii="Times New Roman" w:hAnsi="Times New Roman" w:cs="Times New Roman"/>
          <w:sz w:val="24"/>
          <w:szCs w:val="24"/>
        </w:rPr>
        <w:t>Bachetta</w:t>
      </w:r>
      <w:proofErr w:type="spellEnd"/>
      <w:r w:rsidR="0011269D" w:rsidRPr="00E332D8">
        <w:rPr>
          <w:rFonts w:ascii="Times New Roman" w:hAnsi="Times New Roman" w:cs="Times New Roman"/>
          <w:sz w:val="24"/>
          <w:szCs w:val="24"/>
        </w:rPr>
        <w:t xml:space="preserve"> (1991</w:t>
      </w:r>
      <w:r w:rsidR="00AC7054">
        <w:rPr>
          <w:rFonts w:ascii="Times New Roman" w:hAnsi="Times New Roman" w:cs="Times New Roman"/>
          <w:sz w:val="24"/>
          <w:szCs w:val="24"/>
        </w:rPr>
        <w:t>)</w:t>
      </w:r>
      <w:proofErr w:type="gramStart"/>
      <w:r w:rsidR="00AC7054">
        <w:rPr>
          <w:rFonts w:ascii="Times New Roman" w:hAnsi="Times New Roman" w:cs="Times New Roman"/>
          <w:sz w:val="24"/>
          <w:szCs w:val="24"/>
        </w:rPr>
        <w:t xml:space="preserve"> </w:t>
      </w:r>
      <w:r w:rsidR="0011269D" w:rsidRPr="00E332D8">
        <w:rPr>
          <w:rFonts w:ascii="Times New Roman" w:hAnsi="Times New Roman" w:cs="Times New Roman"/>
          <w:sz w:val="24"/>
          <w:szCs w:val="24"/>
        </w:rPr>
        <w:t xml:space="preserve"> </w:t>
      </w:r>
      <w:proofErr w:type="spellStart"/>
      <w:proofErr w:type="gramEnd"/>
      <w:r w:rsidR="0011269D" w:rsidRPr="00E332D8">
        <w:rPr>
          <w:rFonts w:ascii="Times New Roman" w:hAnsi="Times New Roman" w:cs="Times New Roman"/>
          <w:sz w:val="24"/>
          <w:szCs w:val="24"/>
        </w:rPr>
        <w:t>Bayoumi</w:t>
      </w:r>
      <w:proofErr w:type="spellEnd"/>
      <w:r w:rsidR="0011269D" w:rsidRPr="00E332D8">
        <w:rPr>
          <w:rFonts w:ascii="Times New Roman" w:hAnsi="Times New Roman" w:cs="Times New Roman"/>
          <w:sz w:val="24"/>
          <w:szCs w:val="24"/>
        </w:rPr>
        <w:t xml:space="preserve"> (1990) estimaram a equação em primeiras diferenças. </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bCs/>
          <w:sz w:val="24"/>
          <w:szCs w:val="24"/>
        </w:rPr>
      </w:pPr>
      <w:r w:rsidRPr="00E332D8">
        <w:rPr>
          <w:rFonts w:ascii="Times New Roman" w:hAnsi="Times New Roman" w:cs="Times New Roman"/>
          <w:sz w:val="24"/>
          <w:szCs w:val="24"/>
        </w:rPr>
        <w:t xml:space="preserve">Para os países desenvolvidos, testes de cointegração foram feitos em Miller (1988), </w:t>
      </w:r>
      <w:proofErr w:type="spellStart"/>
      <w:r w:rsidRPr="00E332D8">
        <w:rPr>
          <w:rFonts w:ascii="Times New Roman" w:hAnsi="Times New Roman" w:cs="Times New Roman"/>
          <w:sz w:val="24"/>
          <w:szCs w:val="24"/>
        </w:rPr>
        <w:t>Leachman</w:t>
      </w:r>
      <w:proofErr w:type="spellEnd"/>
      <w:r w:rsidRPr="00E332D8">
        <w:rPr>
          <w:rFonts w:ascii="Times New Roman" w:hAnsi="Times New Roman" w:cs="Times New Roman"/>
          <w:sz w:val="24"/>
          <w:szCs w:val="24"/>
        </w:rPr>
        <w:t xml:space="preserve"> (1991</w:t>
      </w:r>
      <w:r w:rsidR="00AC7054">
        <w:rPr>
          <w:rFonts w:ascii="Times New Roman" w:hAnsi="Times New Roman" w:cs="Times New Roman"/>
          <w:sz w:val="24"/>
          <w:szCs w:val="24"/>
        </w:rPr>
        <w:t>),</w:t>
      </w:r>
      <w:r w:rsidRPr="00E332D8">
        <w:rPr>
          <w:rFonts w:ascii="Times New Roman" w:hAnsi="Times New Roman" w:cs="Times New Roman"/>
          <w:sz w:val="24"/>
          <w:szCs w:val="24"/>
        </w:rPr>
        <w:t xml:space="preserve"> </w:t>
      </w:r>
      <w:proofErr w:type="spellStart"/>
      <w:r w:rsidRPr="00E332D8">
        <w:rPr>
          <w:rFonts w:ascii="Times New Roman" w:hAnsi="Times New Roman" w:cs="Times New Roman"/>
          <w:sz w:val="24"/>
          <w:szCs w:val="24"/>
        </w:rPr>
        <w:t>Haan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Siermann</w:t>
      </w:r>
      <w:proofErr w:type="spellEnd"/>
      <w:r w:rsidRPr="00E332D8">
        <w:rPr>
          <w:rFonts w:ascii="Times New Roman" w:hAnsi="Times New Roman" w:cs="Times New Roman"/>
          <w:sz w:val="24"/>
          <w:szCs w:val="24"/>
        </w:rPr>
        <w:t xml:space="preserve"> (1994</w:t>
      </w:r>
      <w:r w:rsidR="00AC7054">
        <w:rPr>
          <w:rFonts w:ascii="Times New Roman" w:hAnsi="Times New Roman" w:cs="Times New Roman"/>
          <w:sz w:val="24"/>
          <w:szCs w:val="24"/>
        </w:rPr>
        <w:t xml:space="preserve">), </w:t>
      </w:r>
      <w:proofErr w:type="spellStart"/>
      <w:r w:rsidRPr="00E332D8">
        <w:rPr>
          <w:rFonts w:ascii="Times New Roman" w:hAnsi="Times New Roman" w:cs="Times New Roman"/>
          <w:sz w:val="24"/>
          <w:szCs w:val="24"/>
        </w:rPr>
        <w:t>Argi</w:t>
      </w:r>
      <w:r w:rsidR="00D00DD9">
        <w:rPr>
          <w:rFonts w:ascii="Times New Roman" w:hAnsi="Times New Roman" w:cs="Times New Roman"/>
          <w:sz w:val="24"/>
          <w:szCs w:val="24"/>
        </w:rPr>
        <w:t>n</w:t>
      </w:r>
      <w:r w:rsidRPr="00E332D8">
        <w:rPr>
          <w:rFonts w:ascii="Times New Roman" w:hAnsi="Times New Roman" w:cs="Times New Roman"/>
          <w:sz w:val="24"/>
          <w:szCs w:val="24"/>
        </w:rPr>
        <w:t>ón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Roldán</w:t>
      </w:r>
      <w:proofErr w:type="spellEnd"/>
      <w:r w:rsidRPr="00E332D8">
        <w:rPr>
          <w:rFonts w:ascii="Times New Roman" w:hAnsi="Times New Roman" w:cs="Times New Roman"/>
          <w:sz w:val="24"/>
          <w:szCs w:val="24"/>
        </w:rPr>
        <w:t xml:space="preserve"> (1994) e </w:t>
      </w:r>
      <w:proofErr w:type="spellStart"/>
      <w:r w:rsidRPr="00E332D8">
        <w:rPr>
          <w:rFonts w:ascii="Times New Roman" w:eastAsia="Times New Roman" w:hAnsi="Times New Roman" w:cs="Times New Roman"/>
          <w:sz w:val="24"/>
          <w:szCs w:val="24"/>
        </w:rPr>
        <w:t>Apergis</w:t>
      </w:r>
      <w:proofErr w:type="spellEnd"/>
      <w:r w:rsidRPr="00E332D8">
        <w:rPr>
          <w:rFonts w:ascii="Times New Roman" w:eastAsia="Times New Roman" w:hAnsi="Times New Roman" w:cs="Times New Roman"/>
          <w:sz w:val="24"/>
          <w:szCs w:val="24"/>
        </w:rPr>
        <w:t xml:space="preserve"> e </w:t>
      </w:r>
      <w:proofErr w:type="spellStart"/>
      <w:r w:rsidRPr="00E332D8">
        <w:rPr>
          <w:rFonts w:ascii="Times New Roman" w:eastAsia="Times New Roman" w:hAnsi="Times New Roman" w:cs="Times New Roman"/>
          <w:sz w:val="24"/>
          <w:szCs w:val="24"/>
        </w:rPr>
        <w:t>Tsoumas</w:t>
      </w:r>
      <w:proofErr w:type="spellEnd"/>
      <w:r w:rsidRPr="00E332D8">
        <w:rPr>
          <w:rFonts w:ascii="Times New Roman" w:eastAsia="Times New Roman" w:hAnsi="Times New Roman" w:cs="Times New Roman"/>
          <w:sz w:val="24"/>
          <w:szCs w:val="24"/>
        </w:rPr>
        <w:t xml:space="preserve"> (1997</w:t>
      </w:r>
      <w:r w:rsidR="00AC7054">
        <w:rPr>
          <w:rFonts w:ascii="Times New Roman" w:eastAsia="Times New Roman" w:hAnsi="Times New Roman" w:cs="Times New Roman"/>
          <w:sz w:val="24"/>
          <w:szCs w:val="24"/>
        </w:rPr>
        <w:t>).</w:t>
      </w:r>
      <w:r w:rsidRPr="00E332D8">
        <w:rPr>
          <w:rFonts w:ascii="Times New Roman" w:hAnsi="Times New Roman" w:cs="Times New Roman"/>
          <w:sz w:val="24"/>
          <w:szCs w:val="24"/>
        </w:rPr>
        <w:t xml:space="preserve"> Particularmente, </w:t>
      </w:r>
      <w:proofErr w:type="spellStart"/>
      <w:r w:rsidRPr="00E332D8">
        <w:rPr>
          <w:rFonts w:ascii="Times New Roman" w:eastAsia="Times New Roman" w:hAnsi="Times New Roman" w:cs="Times New Roman"/>
          <w:sz w:val="24"/>
          <w:szCs w:val="24"/>
        </w:rPr>
        <w:t>Apergis</w:t>
      </w:r>
      <w:proofErr w:type="spellEnd"/>
      <w:r w:rsidRPr="00E332D8">
        <w:rPr>
          <w:rFonts w:ascii="Times New Roman" w:eastAsia="Times New Roman" w:hAnsi="Times New Roman" w:cs="Times New Roman"/>
          <w:sz w:val="24"/>
          <w:szCs w:val="24"/>
        </w:rPr>
        <w:t xml:space="preserve"> e </w:t>
      </w:r>
      <w:proofErr w:type="spellStart"/>
      <w:r w:rsidRPr="00E332D8">
        <w:rPr>
          <w:rFonts w:ascii="Times New Roman" w:eastAsia="Times New Roman" w:hAnsi="Times New Roman" w:cs="Times New Roman"/>
          <w:sz w:val="24"/>
          <w:szCs w:val="24"/>
        </w:rPr>
        <w:t>Tsoumas</w:t>
      </w:r>
      <w:proofErr w:type="spellEnd"/>
      <w:r w:rsidRPr="00E332D8">
        <w:rPr>
          <w:rFonts w:ascii="Times New Roman" w:eastAsia="Times New Roman" w:hAnsi="Times New Roman" w:cs="Times New Roman"/>
          <w:sz w:val="24"/>
          <w:szCs w:val="24"/>
        </w:rPr>
        <w:t xml:space="preserve"> (1997</w:t>
      </w:r>
      <w:r w:rsidR="00AC7054">
        <w:rPr>
          <w:rFonts w:ascii="Times New Roman" w:eastAsia="Times New Roman" w:hAnsi="Times New Roman" w:cs="Times New Roman"/>
          <w:sz w:val="24"/>
          <w:szCs w:val="24"/>
        </w:rPr>
        <w:t xml:space="preserve">) </w:t>
      </w:r>
      <w:r w:rsidRPr="00E332D8">
        <w:rPr>
          <w:rFonts w:ascii="Times New Roman" w:hAnsi="Times New Roman" w:cs="Times New Roman"/>
          <w:sz w:val="24"/>
          <w:szCs w:val="24"/>
        </w:rPr>
        <w:t xml:space="preserve">verificam que para a maioria dos países da União </w:t>
      </w:r>
      <w:proofErr w:type="spellStart"/>
      <w:r w:rsidRPr="00E332D8">
        <w:rPr>
          <w:rFonts w:ascii="Times New Roman" w:hAnsi="Times New Roman" w:cs="Times New Roman"/>
          <w:sz w:val="24"/>
          <w:szCs w:val="24"/>
        </w:rPr>
        <w:t>Européia</w:t>
      </w:r>
      <w:proofErr w:type="spellEnd"/>
      <w:r w:rsidRPr="00E332D8">
        <w:rPr>
          <w:rFonts w:ascii="Times New Roman" w:hAnsi="Times New Roman" w:cs="Times New Roman"/>
          <w:sz w:val="24"/>
          <w:szCs w:val="24"/>
        </w:rPr>
        <w:t xml:space="preserve"> é a poupança que causa o investimento. Já para países em desenvolvimento, </w:t>
      </w:r>
      <w:proofErr w:type="spellStart"/>
      <w:r w:rsidRPr="00E332D8">
        <w:rPr>
          <w:rFonts w:ascii="Times New Roman" w:hAnsi="Times New Roman" w:cs="Times New Roman"/>
          <w:bCs/>
          <w:sz w:val="24"/>
          <w:szCs w:val="24"/>
        </w:rPr>
        <w:t>Mishra</w:t>
      </w:r>
      <w:proofErr w:type="spellEnd"/>
      <w:r w:rsidRPr="00E332D8">
        <w:rPr>
          <w:rFonts w:ascii="Times New Roman" w:hAnsi="Times New Roman" w:cs="Times New Roman"/>
          <w:bCs/>
          <w:sz w:val="24"/>
          <w:szCs w:val="24"/>
        </w:rPr>
        <w:t xml:space="preserve"> </w:t>
      </w:r>
      <w:proofErr w:type="spellStart"/>
      <w:proofErr w:type="gramStart"/>
      <w:r w:rsidRPr="00E332D8">
        <w:rPr>
          <w:rFonts w:ascii="Times New Roman" w:hAnsi="Times New Roman" w:cs="Times New Roman"/>
          <w:bCs/>
          <w:sz w:val="24"/>
          <w:szCs w:val="24"/>
        </w:rPr>
        <w:t>et</w:t>
      </w:r>
      <w:proofErr w:type="spellEnd"/>
      <w:proofErr w:type="gramEnd"/>
      <w:r w:rsidRPr="00E332D8">
        <w:rPr>
          <w:rFonts w:ascii="Times New Roman" w:hAnsi="Times New Roman" w:cs="Times New Roman"/>
          <w:bCs/>
          <w:sz w:val="24"/>
          <w:szCs w:val="24"/>
        </w:rPr>
        <w:t xml:space="preserve"> </w:t>
      </w:r>
      <w:proofErr w:type="spellStart"/>
      <w:r w:rsidRPr="00E332D8">
        <w:rPr>
          <w:rFonts w:ascii="Times New Roman" w:hAnsi="Times New Roman" w:cs="Times New Roman"/>
          <w:bCs/>
          <w:sz w:val="24"/>
          <w:szCs w:val="24"/>
        </w:rPr>
        <w:t>al</w:t>
      </w:r>
      <w:proofErr w:type="spellEnd"/>
      <w:r w:rsidRPr="00E332D8">
        <w:rPr>
          <w:rFonts w:ascii="Times New Roman" w:hAnsi="Times New Roman" w:cs="Times New Roman"/>
          <w:bCs/>
          <w:sz w:val="24"/>
          <w:szCs w:val="24"/>
        </w:rPr>
        <w:t xml:space="preserve"> (2010</w:t>
      </w:r>
      <w:r w:rsidR="00AC7054">
        <w:rPr>
          <w:rFonts w:ascii="Times New Roman" w:hAnsi="Times New Roman" w:cs="Times New Roman"/>
          <w:bCs/>
          <w:sz w:val="24"/>
          <w:szCs w:val="24"/>
        </w:rPr>
        <w:t xml:space="preserve">) </w:t>
      </w:r>
      <w:r w:rsidRPr="00E332D8">
        <w:rPr>
          <w:rFonts w:ascii="Times New Roman" w:hAnsi="Times New Roman" w:cs="Times New Roman"/>
          <w:bCs/>
          <w:sz w:val="24"/>
          <w:szCs w:val="24"/>
        </w:rPr>
        <w:t xml:space="preserve">verificaram que enquanto a cointegração proporciona evidências de equilíbrio de longo prazo entre poupança e investimento, as séries temporais </w:t>
      </w:r>
      <w:r w:rsidRPr="00E332D8">
        <w:rPr>
          <w:rFonts w:ascii="Times New Roman" w:hAnsi="Times New Roman" w:cs="Times New Roman"/>
          <w:bCs/>
          <w:sz w:val="24"/>
          <w:szCs w:val="24"/>
        </w:rPr>
        <w:lastRenderedPageBreak/>
        <w:t xml:space="preserve">indicam que o investimento foi maior do que a poupança no período analisado para a Índia. Ainda, utilizando-se de técnicas de cointegração em painel, </w:t>
      </w:r>
      <w:proofErr w:type="spellStart"/>
      <w:r w:rsidRPr="00E332D8">
        <w:rPr>
          <w:rFonts w:ascii="Times New Roman" w:hAnsi="Times New Roman" w:cs="Times New Roman"/>
          <w:sz w:val="24"/>
          <w:szCs w:val="24"/>
        </w:rPr>
        <w:t>Bangake</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Eggoh</w:t>
      </w:r>
      <w:proofErr w:type="spellEnd"/>
      <w:r w:rsidRPr="00E332D8">
        <w:rPr>
          <w:rFonts w:ascii="Times New Roman" w:hAnsi="Times New Roman" w:cs="Times New Roman"/>
          <w:sz w:val="24"/>
          <w:szCs w:val="24"/>
        </w:rPr>
        <w:t xml:space="preserve"> (2011</w:t>
      </w:r>
      <w:r w:rsidR="00AC7054">
        <w:rPr>
          <w:rFonts w:ascii="Times New Roman" w:hAnsi="Times New Roman" w:cs="Times New Roman"/>
          <w:sz w:val="24"/>
          <w:szCs w:val="24"/>
        </w:rPr>
        <w:t>) c</w:t>
      </w:r>
      <w:r w:rsidRPr="00E332D8">
        <w:rPr>
          <w:rFonts w:ascii="Times New Roman" w:hAnsi="Times New Roman" w:cs="Times New Roman"/>
          <w:bCs/>
          <w:sz w:val="24"/>
          <w:szCs w:val="24"/>
        </w:rPr>
        <w:t>onstataram para a África que investimento e poupança são não estacionários, apesar de serem séries cointegradas.</w:t>
      </w:r>
    </w:p>
    <w:p w:rsidR="0011269D" w:rsidRPr="00E332D8" w:rsidRDefault="0011269D" w:rsidP="0011269D">
      <w:pPr>
        <w:spacing w:after="0" w:line="360" w:lineRule="auto"/>
        <w:ind w:firstLine="708"/>
        <w:jc w:val="both"/>
        <w:rPr>
          <w:rFonts w:ascii="Times New Roman" w:hAnsi="Times New Roman" w:cs="Times New Roman"/>
          <w:sz w:val="24"/>
          <w:szCs w:val="24"/>
        </w:rPr>
      </w:pPr>
    </w:p>
    <w:p w:rsidR="00942312" w:rsidRPr="00E332D8" w:rsidRDefault="00257126" w:rsidP="0011269D">
      <w:pPr>
        <w:pStyle w:val="Ttulo1"/>
        <w:rPr>
          <w:rFonts w:ascii="Times New Roman" w:hAnsi="Times New Roman" w:cs="Times New Roman"/>
        </w:rPr>
      </w:pPr>
      <w:r w:rsidRPr="00E332D8">
        <w:rPr>
          <w:rFonts w:ascii="Times New Roman" w:hAnsi="Times New Roman" w:cs="Times New Roman"/>
        </w:rPr>
        <w:t>4</w:t>
      </w:r>
      <w:r w:rsidR="00942312" w:rsidRPr="00E332D8">
        <w:rPr>
          <w:rFonts w:ascii="Times New Roman" w:hAnsi="Times New Roman" w:cs="Times New Roman"/>
        </w:rPr>
        <w:t>. Estratégia Empírica</w:t>
      </w:r>
    </w:p>
    <w:p w:rsidR="00942312" w:rsidRPr="00E332D8" w:rsidRDefault="00942312" w:rsidP="00230341">
      <w:pPr>
        <w:spacing w:after="0" w:line="360" w:lineRule="auto"/>
        <w:jc w:val="both"/>
        <w:rPr>
          <w:rFonts w:ascii="Times New Roman" w:hAnsi="Times New Roman" w:cs="Times New Roman"/>
          <w:sz w:val="24"/>
          <w:szCs w:val="24"/>
        </w:rPr>
      </w:pPr>
    </w:p>
    <w:p w:rsidR="00213F7C" w:rsidRPr="00E332D8" w:rsidRDefault="00257126" w:rsidP="00230341">
      <w:pPr>
        <w:spacing w:after="0" w:line="360" w:lineRule="auto"/>
        <w:jc w:val="both"/>
        <w:rPr>
          <w:rFonts w:ascii="Times New Roman" w:hAnsi="Times New Roman" w:cs="Times New Roman"/>
          <w:b/>
          <w:sz w:val="24"/>
          <w:szCs w:val="24"/>
        </w:rPr>
      </w:pPr>
      <w:proofErr w:type="gramStart"/>
      <w:r w:rsidRPr="00E332D8">
        <w:rPr>
          <w:rFonts w:ascii="Times New Roman" w:hAnsi="Times New Roman" w:cs="Times New Roman"/>
          <w:b/>
          <w:sz w:val="24"/>
          <w:szCs w:val="24"/>
        </w:rPr>
        <w:t>4</w:t>
      </w:r>
      <w:r w:rsidR="00ED2996">
        <w:rPr>
          <w:rFonts w:ascii="Times New Roman" w:hAnsi="Times New Roman" w:cs="Times New Roman"/>
          <w:b/>
          <w:sz w:val="24"/>
          <w:szCs w:val="24"/>
        </w:rPr>
        <w:t xml:space="preserve">.1 </w:t>
      </w:r>
      <w:r w:rsidR="00213F7C" w:rsidRPr="00E332D8">
        <w:rPr>
          <w:rFonts w:ascii="Times New Roman" w:hAnsi="Times New Roman" w:cs="Times New Roman"/>
          <w:b/>
          <w:sz w:val="24"/>
          <w:szCs w:val="24"/>
        </w:rPr>
        <w:t>Teste</w:t>
      </w:r>
      <w:proofErr w:type="gramEnd"/>
      <w:r w:rsidR="00213F7C" w:rsidRPr="00E332D8">
        <w:rPr>
          <w:rFonts w:ascii="Times New Roman" w:hAnsi="Times New Roman" w:cs="Times New Roman"/>
          <w:b/>
          <w:sz w:val="24"/>
          <w:szCs w:val="24"/>
        </w:rPr>
        <w:t xml:space="preserve"> de Raiz Unitária com Quebra</w:t>
      </w:r>
      <w:r w:rsidR="00E3088B" w:rsidRPr="00E332D8">
        <w:rPr>
          <w:rFonts w:ascii="Times New Roman" w:hAnsi="Times New Roman" w:cs="Times New Roman"/>
          <w:b/>
          <w:sz w:val="24"/>
          <w:szCs w:val="24"/>
        </w:rPr>
        <w:t xml:space="preserve"> </w:t>
      </w:r>
      <w:r w:rsidR="00213F7C" w:rsidRPr="00E332D8">
        <w:rPr>
          <w:rFonts w:ascii="Times New Roman" w:hAnsi="Times New Roman" w:cs="Times New Roman"/>
          <w:b/>
          <w:sz w:val="24"/>
          <w:szCs w:val="24"/>
        </w:rPr>
        <w:t>Endógena</w:t>
      </w:r>
    </w:p>
    <w:p w:rsidR="00213F7C" w:rsidRPr="00E332D8" w:rsidRDefault="00213F7C" w:rsidP="00230341">
      <w:pPr>
        <w:spacing w:after="0" w:line="360" w:lineRule="auto"/>
        <w:jc w:val="both"/>
        <w:rPr>
          <w:rFonts w:ascii="Times New Roman" w:hAnsi="Times New Roman" w:cs="Times New Roman"/>
          <w:sz w:val="24"/>
          <w:szCs w:val="24"/>
        </w:rPr>
      </w:pPr>
    </w:p>
    <w:p w:rsidR="00942312" w:rsidRPr="00E332D8" w:rsidRDefault="00213F7C" w:rsidP="00230341">
      <w:pPr>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O</w:t>
      </w:r>
      <w:r w:rsidR="00942312" w:rsidRPr="00E332D8">
        <w:rPr>
          <w:rFonts w:ascii="Times New Roman" w:hAnsi="Times New Roman" w:cs="Times New Roman"/>
          <w:sz w:val="24"/>
          <w:szCs w:val="24"/>
        </w:rPr>
        <w:t>s testes</w:t>
      </w:r>
      <w:r w:rsidRPr="00E332D8">
        <w:rPr>
          <w:rFonts w:ascii="Times New Roman" w:hAnsi="Times New Roman" w:cs="Times New Roman"/>
          <w:sz w:val="24"/>
          <w:szCs w:val="24"/>
        </w:rPr>
        <w:t xml:space="preserve"> tradicionais de raízes unitárias</w:t>
      </w:r>
      <w:r w:rsidR="00942312" w:rsidRPr="00E332D8">
        <w:rPr>
          <w:rFonts w:ascii="Times New Roman" w:hAnsi="Times New Roman" w:cs="Times New Roman"/>
          <w:sz w:val="24"/>
          <w:szCs w:val="24"/>
        </w:rPr>
        <w:t xml:space="preserve"> possuem baixo poder na presença de quebras estruturais, tornando-se viesados no sentido da não rejeição da hipótese nula de existência de raiz unitária, mesmo quando a série é estacionária. O trabalho pioneiro de Perron (1989) ilustra a importância de se incluir uma quebra estrutural nos testes tradicionais de raízes unitárias. Perron demonstrou que existe um viés contra a rejeição da hipótese nula de uma raiz unitária quando a série temporal, </w:t>
      </w:r>
      <w:proofErr w:type="gramStart"/>
      <w:r w:rsidR="00942312" w:rsidRPr="00E332D8">
        <w:rPr>
          <w:rFonts w:ascii="Times New Roman" w:hAnsi="Times New Roman" w:cs="Times New Roman"/>
          <w:sz w:val="24"/>
          <w:szCs w:val="24"/>
        </w:rPr>
        <w:t>sob investigação</w:t>
      </w:r>
      <w:proofErr w:type="gramEnd"/>
      <w:r w:rsidR="00942312" w:rsidRPr="00E332D8">
        <w:rPr>
          <w:rFonts w:ascii="Times New Roman" w:hAnsi="Times New Roman" w:cs="Times New Roman"/>
          <w:sz w:val="24"/>
          <w:szCs w:val="24"/>
        </w:rPr>
        <w:t xml:space="preserve">, é estacionária ao redor de uma quebra estrutural. Pesquisas posteriores mudaram a hipótese de Perron (1989) de que o ponto de quebra é conhecido </w:t>
      </w:r>
      <w:r w:rsidR="00942312" w:rsidRPr="00E332D8">
        <w:rPr>
          <w:rFonts w:ascii="Times New Roman" w:hAnsi="Times New Roman" w:cs="Times New Roman"/>
          <w:i/>
          <w:sz w:val="24"/>
          <w:szCs w:val="24"/>
        </w:rPr>
        <w:t>a priori</w:t>
      </w:r>
      <w:r w:rsidR="00942312" w:rsidRPr="00E332D8">
        <w:rPr>
          <w:rFonts w:ascii="Times New Roman" w:hAnsi="Times New Roman" w:cs="Times New Roman"/>
          <w:sz w:val="24"/>
          <w:szCs w:val="24"/>
        </w:rPr>
        <w:t xml:space="preserve"> e adotaram um procedimento endógeno para determinar o ponto de quebra a partir dos </w:t>
      </w:r>
      <w:r w:rsidR="002749EC" w:rsidRPr="00E332D8">
        <w:rPr>
          <w:rFonts w:ascii="Times New Roman" w:hAnsi="Times New Roman" w:cs="Times New Roman"/>
          <w:sz w:val="24"/>
          <w:szCs w:val="24"/>
        </w:rPr>
        <w:t>dados</w:t>
      </w:r>
      <w:r w:rsidR="00942312" w:rsidRPr="00E332D8">
        <w:rPr>
          <w:rFonts w:ascii="Times New Roman" w:hAnsi="Times New Roman" w:cs="Times New Roman"/>
          <w:sz w:val="24"/>
          <w:szCs w:val="24"/>
        </w:rPr>
        <w:t>.</w:t>
      </w:r>
    </w:p>
    <w:p w:rsidR="00942312" w:rsidRPr="00E332D8" w:rsidRDefault="00942312"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Nesse contexto, </w:t>
      </w:r>
      <w:proofErr w:type="spellStart"/>
      <w:r w:rsidRPr="00E332D8">
        <w:rPr>
          <w:rFonts w:ascii="Times New Roman" w:hAnsi="Times New Roman" w:cs="Times New Roman"/>
          <w:sz w:val="24"/>
          <w:szCs w:val="24"/>
        </w:rPr>
        <w:t>Saikkonen</w:t>
      </w:r>
      <w:proofErr w:type="spellEnd"/>
      <w:r w:rsidRPr="00E332D8">
        <w:rPr>
          <w:rFonts w:ascii="Times New Roman" w:hAnsi="Times New Roman" w:cs="Times New Roman"/>
          <w:sz w:val="24"/>
          <w:szCs w:val="24"/>
        </w:rPr>
        <w:t xml:space="preserve"> e Lütkepohl (2002) e </w:t>
      </w:r>
      <w:proofErr w:type="spellStart"/>
      <w:r w:rsidRPr="00E332D8">
        <w:rPr>
          <w:rFonts w:ascii="Times New Roman" w:hAnsi="Times New Roman" w:cs="Times New Roman"/>
          <w:sz w:val="24"/>
          <w:szCs w:val="24"/>
        </w:rPr>
        <w:t>Lanne</w:t>
      </w:r>
      <w:proofErr w:type="spellEnd"/>
      <w:r w:rsidRPr="00E332D8">
        <w:rPr>
          <w:rFonts w:ascii="Times New Roman" w:hAnsi="Times New Roman" w:cs="Times New Roman"/>
          <w:sz w:val="24"/>
          <w:szCs w:val="24"/>
        </w:rPr>
        <w:t xml:space="preserve"> </w:t>
      </w:r>
      <w:proofErr w:type="spellStart"/>
      <w:proofErr w:type="gramStart"/>
      <w:r w:rsidRPr="00E332D8">
        <w:rPr>
          <w:rFonts w:ascii="Times New Roman" w:hAnsi="Times New Roman" w:cs="Times New Roman"/>
          <w:i/>
          <w:sz w:val="24"/>
          <w:szCs w:val="24"/>
        </w:rPr>
        <w:t>et</w:t>
      </w:r>
      <w:proofErr w:type="spellEnd"/>
      <w:proofErr w:type="gramEnd"/>
      <w:r w:rsidRPr="00E332D8">
        <w:rPr>
          <w:rFonts w:ascii="Times New Roman" w:hAnsi="Times New Roman" w:cs="Times New Roman"/>
          <w:i/>
          <w:sz w:val="24"/>
          <w:szCs w:val="24"/>
        </w:rPr>
        <w:t xml:space="preserve"> al</w:t>
      </w:r>
      <w:r w:rsidRPr="00E332D8">
        <w:rPr>
          <w:rFonts w:ascii="Times New Roman" w:hAnsi="Times New Roman" w:cs="Times New Roman"/>
          <w:sz w:val="24"/>
          <w:szCs w:val="24"/>
        </w:rPr>
        <w:t xml:space="preserve">. (2002) propõem que as quebras estruturais podem ocorrer ao longo de um número de períodos e, portanto, sugerem uma transição suave para um novo nível. Assim, uma função de mudança de nível, que é conhecida pela forma </w:t>
      </w:r>
      <w:proofErr w:type="spellStart"/>
      <w:proofErr w:type="gramStart"/>
      <w:r w:rsidRPr="00E332D8">
        <w:rPr>
          <w:rFonts w:ascii="Times New Roman" w:hAnsi="Times New Roman" w:cs="Times New Roman"/>
          <w:sz w:val="24"/>
          <w:szCs w:val="24"/>
        </w:rPr>
        <w:t>não-linear</w:t>
      </w:r>
      <w:proofErr w:type="spellEnd"/>
      <w:proofErr w:type="gramEnd"/>
      <w:r w:rsidRPr="00E332D8">
        <w:rPr>
          <w:rFonts w:ascii="Times New Roman" w:hAnsi="Times New Roman" w:cs="Times New Roman"/>
          <w:sz w:val="24"/>
          <w:szCs w:val="24"/>
        </w:rPr>
        <w:t xml:space="preserve"> geral </w:t>
      </w:r>
      <m:oMath>
        <m:r>
          <w:rPr>
            <w:rFonts w:ascii="Cambria Math" w:hAnsi="Cambria Math"/>
          </w:rPr>
          <m:t>f</m:t>
        </m:r>
        <m:sSup>
          <m:sSupPr>
            <m:ctrlPr>
              <w:rPr>
                <w:rFonts w:ascii="Cambria Math" w:hAnsi="Cambria Math"/>
              </w:rPr>
            </m:ctrlPr>
          </m:sSupPr>
          <m:e>
            <m:d>
              <m:dPr>
                <m:ctrlPr>
                  <w:rPr>
                    <w:rFonts w:ascii="Cambria Math" w:hAnsi="Cambria Math"/>
                  </w:rPr>
                </m:ctrlPr>
              </m:dPr>
              <m:e>
                <m:r>
                  <w:rPr>
                    <w:rFonts w:ascii="Cambria Math" w:hAnsi="Cambria Math"/>
                  </w:rPr>
                  <m:t>θ</m:t>
                </m:r>
              </m:e>
            </m:d>
          </m:e>
          <m:sup>
            <m:r>
              <m:rPr>
                <m:sty m:val="p"/>
              </m:rPr>
              <w:rPr>
                <w:rFonts w:ascii="Cambria Math" w:hAnsi="Cambria Math"/>
              </w:rPr>
              <m:t>'</m:t>
            </m:r>
          </m:sup>
        </m:sSup>
        <m:r>
          <w:rPr>
            <w:rFonts w:ascii="Cambria Math" w:hAnsi="Cambria Math"/>
          </w:rPr>
          <m:t>γ</m:t>
        </m:r>
      </m:oMath>
      <w:r w:rsidRPr="00E332D8">
        <w:rPr>
          <w:rFonts w:ascii="Times New Roman" w:hAnsi="Times New Roman" w:cs="Times New Roman"/>
          <w:sz w:val="24"/>
          <w:szCs w:val="24"/>
        </w:rPr>
        <w:t xml:space="preserve"> é acrescentada ao termo determinístico </w:t>
      </w:r>
      <m:oMath>
        <m:r>
          <w:rPr>
            <w:rFonts w:ascii="Cambria Math" w:hAnsi="Cambria Math" w:cs="Times New Roman"/>
            <w:sz w:val="24"/>
            <w:szCs w:val="24"/>
          </w:rPr>
          <m:t>μ</m:t>
        </m:r>
        <m:r>
          <w:rPr>
            <w:rFonts w:ascii="Cambria Math" w:hAnsi="Cambria Math"/>
            <w:sz w:val="24"/>
            <w:szCs w:val="24"/>
          </w:rPr>
          <m:t>t</m:t>
        </m:r>
      </m:oMath>
      <w:r w:rsidRPr="00E332D8">
        <w:rPr>
          <w:rFonts w:ascii="Times New Roman" w:hAnsi="Times New Roman" w:cs="Times New Roman"/>
          <w:sz w:val="24"/>
          <w:szCs w:val="24"/>
        </w:rPr>
        <w:t xml:space="preserve"> do processo gerador de dados. Portanto, o modelo é expresso pela seguinte regressão:</w:t>
      </w:r>
    </w:p>
    <w:p w:rsidR="00942312" w:rsidRPr="00E332D8" w:rsidRDefault="00942312" w:rsidP="00230341">
      <w:pPr>
        <w:spacing w:after="0" w:line="360" w:lineRule="auto"/>
        <w:ind w:firstLine="708"/>
        <w:jc w:val="both"/>
        <w:rPr>
          <w:rFonts w:ascii="Times New Roman" w:hAnsi="Times New Roman" w:cs="Times New Roman"/>
          <w:sz w:val="24"/>
          <w:szCs w:val="24"/>
        </w:rPr>
      </w:pPr>
    </w:p>
    <w:p w:rsidR="00942312" w:rsidRPr="00EA7632" w:rsidRDefault="004419A9" w:rsidP="00EA7632">
      <w:pPr>
        <w:pStyle w:val="texto"/>
      </w:pPr>
      <m:oMathPara>
        <m:oMathParaPr>
          <m:jc m:val="right"/>
        </m:oMathParaPr>
        <m:oMath>
          <m:sSub>
            <m:sSubPr>
              <m:ctrlPr/>
            </m:sSubPr>
            <m:e>
              <m:r>
                <m:t>q</m:t>
              </m:r>
            </m:e>
            <m:sub>
              <m:r>
                <m:t>t</m:t>
              </m:r>
            </m:sub>
          </m:sSub>
          <m:r>
            <m:rPr>
              <m:sty m:val="p"/>
            </m:rPr>
            <m:t>=</m:t>
          </m:r>
          <m:sSub>
            <m:sSubPr>
              <m:ctrlPr/>
            </m:sSubPr>
            <m:e>
              <m:r>
                <m:t>μ</m:t>
              </m:r>
            </m:e>
            <m:sub>
              <m:r>
                <m:rPr>
                  <m:sty m:val="p"/>
                </m:rPr>
                <m:t>0</m:t>
              </m:r>
            </m:sub>
          </m:sSub>
          <m:r>
            <m:rPr>
              <m:sty m:val="p"/>
            </m:rPr>
            <m:t>+</m:t>
          </m:r>
          <m:sSub>
            <m:sSubPr>
              <m:ctrlPr/>
            </m:sSubPr>
            <m:e>
              <m:r>
                <m:t>μ</m:t>
              </m:r>
            </m:e>
            <m:sub>
              <m:r>
                <m:rPr>
                  <m:sty m:val="p"/>
                </m:rPr>
                <m:t>1</m:t>
              </m:r>
            </m:sub>
          </m:sSub>
          <m:r>
            <m:t>t</m:t>
          </m:r>
          <m:r>
            <m:rPr>
              <m:sty m:val="p"/>
            </m:rPr>
            <m:t>+</m:t>
          </m:r>
          <m:r>
            <m:t>f</m:t>
          </m:r>
          <m:sSup>
            <m:sSupPr>
              <m:ctrlPr/>
            </m:sSupPr>
            <m:e>
              <m:d>
                <m:dPr>
                  <m:ctrlPr/>
                </m:dPr>
                <m:e>
                  <m:r>
                    <m:t>θ</m:t>
                  </m:r>
                </m:e>
              </m:d>
            </m:e>
            <m:sup>
              <m:r>
                <m:rPr>
                  <m:sty m:val="p"/>
                </m:rPr>
                <m:t>'</m:t>
              </m:r>
            </m:sup>
          </m:sSup>
          <m:r>
            <m:t>γ</m:t>
          </m:r>
          <m:r>
            <m:rPr>
              <m:sty m:val="p"/>
            </m:rPr>
            <m:t>+</m:t>
          </m:r>
          <m:sSub>
            <m:sSubPr>
              <m:ctrlPr/>
            </m:sSubPr>
            <m:e>
              <m:r>
                <m:t>v</m:t>
              </m:r>
            </m:e>
            <m:sub>
              <m:r>
                <m:t>t</m:t>
              </m:r>
            </m:sub>
          </m:sSub>
          <m:r>
            <m:rPr>
              <m:sty m:val="p"/>
            </m:rPr>
            <m:t xml:space="preserve">                                                                            </m:t>
          </m:r>
          <m:d>
            <m:dPr>
              <m:ctrlPr/>
            </m:dPr>
            <m:e>
              <m:r>
                <m:rPr>
                  <m:sty m:val="p"/>
                </m:rPr>
                <m:t>2</m:t>
              </m:r>
            </m:e>
          </m:d>
        </m:oMath>
      </m:oMathPara>
    </w:p>
    <w:p w:rsidR="00942312" w:rsidRPr="00E332D8" w:rsidRDefault="00942312" w:rsidP="00230341">
      <w:pPr>
        <w:spacing w:after="0" w:line="360" w:lineRule="auto"/>
        <w:rPr>
          <w:rFonts w:ascii="Times New Roman" w:hAnsi="Times New Roman" w:cs="Times New Roman"/>
          <w:sz w:val="24"/>
          <w:szCs w:val="24"/>
        </w:rPr>
      </w:pPr>
    </w:p>
    <w:p w:rsidR="00A10F43" w:rsidRPr="00E332D8" w:rsidRDefault="00A10F43" w:rsidP="00230341">
      <w:pPr>
        <w:spacing w:after="0" w:line="360" w:lineRule="auto"/>
        <w:jc w:val="both"/>
        <w:rPr>
          <w:rFonts w:ascii="Times New Roman" w:hAnsi="Times New Roman" w:cs="Times New Roman"/>
          <w:sz w:val="24"/>
          <w:szCs w:val="24"/>
        </w:rPr>
      </w:pPr>
      <w:bookmarkStart w:id="0" w:name="_Toc188699400"/>
      <w:r w:rsidRPr="00E332D8">
        <w:rPr>
          <w:rFonts w:ascii="Times New Roman" w:hAnsi="Times New Roman" w:cs="Times New Roman"/>
          <w:sz w:val="24"/>
          <w:szCs w:val="24"/>
        </w:rPr>
        <w:t xml:space="preserve">Onde </w:t>
      </w:r>
      <m:oMath>
        <m:r>
          <w:rPr>
            <w:rFonts w:ascii="Cambria Math" w:hAnsi="Cambria Math" w:cs="Times New Roman"/>
            <w:sz w:val="24"/>
            <w:szCs w:val="24"/>
          </w:rPr>
          <m:t>θ</m:t>
        </m:r>
      </m:oMath>
      <w:r w:rsidRPr="00E332D8">
        <w:rPr>
          <w:rFonts w:ascii="Times New Roman" w:hAnsi="Times New Roman" w:cs="Times New Roman"/>
          <w:sz w:val="24"/>
          <w:szCs w:val="24"/>
        </w:rPr>
        <w:t xml:space="preserve"> e </w:t>
      </w:r>
      <m:oMath>
        <m:r>
          <w:rPr>
            <w:rFonts w:ascii="Cambria Math" w:hAnsi="Cambria Math" w:cs="Times New Roman"/>
            <w:sz w:val="24"/>
            <w:szCs w:val="24"/>
          </w:rPr>
          <m:t>γ</m:t>
        </m:r>
      </m:oMath>
      <w:r w:rsidRPr="00E332D8">
        <w:rPr>
          <w:rFonts w:ascii="Times New Roman" w:hAnsi="Times New Roman" w:cs="Times New Roman"/>
          <w:sz w:val="24"/>
          <w:szCs w:val="24"/>
        </w:rPr>
        <w:t xml:space="preserve"> são parâmetros escalares desconhecidos, ao passo que </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t</m:t>
            </m:r>
          </m:sub>
        </m:sSub>
      </m:oMath>
      <w:r w:rsidRPr="00E332D8">
        <w:rPr>
          <w:rFonts w:ascii="Times New Roman" w:hAnsi="Times New Roman" w:cs="Times New Roman"/>
          <w:sz w:val="24"/>
          <w:szCs w:val="24"/>
        </w:rPr>
        <w:t xml:space="preserve"> são erros residuais gerados por um processo AR(p) com possível raiz unitária. </w:t>
      </w:r>
    </w:p>
    <w:p w:rsidR="00A10F43" w:rsidRPr="00E332D8" w:rsidRDefault="00A10F43"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A mudança na função </w:t>
      </w:r>
      <m:oMath>
        <m:r>
          <w:rPr>
            <w:rFonts w:ascii="Cambria Math" w:hAnsi="Cambria Math" w:cs="Times New Roman"/>
            <w:sz w:val="24"/>
            <w:szCs w:val="24"/>
          </w:rPr>
          <m:t>f</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
                  <w:rPr>
                    <w:rFonts w:ascii="Cambria Math" w:hAnsi="Cambria Math" w:cs="Times New Roman"/>
                    <w:sz w:val="24"/>
                    <w:szCs w:val="24"/>
                  </w:rPr>
                  <m:t>θ</m:t>
                </m:r>
              </m:e>
            </m:d>
          </m:e>
          <m:sup>
            <m:r>
              <w:rPr>
                <w:rFonts w:ascii="Cambria Math" w:hAnsi="Times New Roman" w:cs="Times New Roman"/>
                <w:sz w:val="24"/>
                <w:szCs w:val="24"/>
              </w:rPr>
              <m:t>'</m:t>
            </m:r>
          </m:sup>
        </m:sSup>
        <m:r>
          <w:rPr>
            <w:rFonts w:ascii="Cambria Math" w:hAnsi="Cambria Math" w:cs="Times New Roman"/>
            <w:sz w:val="24"/>
            <w:szCs w:val="24"/>
          </w:rPr>
          <m:t>γ</m:t>
        </m:r>
      </m:oMath>
      <w:r w:rsidRPr="00E332D8">
        <w:rPr>
          <w:rFonts w:ascii="Times New Roman" w:hAnsi="Times New Roman" w:cs="Times New Roman"/>
          <w:sz w:val="24"/>
          <w:szCs w:val="24"/>
        </w:rPr>
        <w:t xml:space="preserve"> pode ser: (i) uma variável </w:t>
      </w:r>
      <w:r w:rsidRPr="00E332D8">
        <w:rPr>
          <w:rFonts w:ascii="Times New Roman" w:hAnsi="Times New Roman" w:cs="Times New Roman"/>
          <w:i/>
          <w:sz w:val="24"/>
          <w:szCs w:val="24"/>
        </w:rPr>
        <w:t>dummy</w:t>
      </w:r>
      <w:r w:rsidRPr="00E332D8">
        <w:rPr>
          <w:rFonts w:ascii="Times New Roman" w:hAnsi="Times New Roman" w:cs="Times New Roman"/>
          <w:sz w:val="24"/>
          <w:szCs w:val="24"/>
        </w:rPr>
        <w:t xml:space="preserve"> de mudança simples com data de mudança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shift dummy</w:t>
      </w:r>
      <w:r w:rsidRPr="00E332D8">
        <w:rPr>
          <w:rFonts w:ascii="Times New Roman" w:hAnsi="Times New Roman" w:cs="Times New Roman"/>
          <w:sz w:val="24"/>
          <w:szCs w:val="24"/>
        </w:rPr>
        <w:t xml:space="preserve">); (ii) baseada em uma função de distribuição exponencial que permite uma mudança gradual não linear para um novo nível começando no período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exponencial shift</w:t>
      </w:r>
      <w:r w:rsidRPr="00E332D8">
        <w:rPr>
          <w:rFonts w:ascii="Times New Roman" w:hAnsi="Times New Roman" w:cs="Times New Roman"/>
          <w:sz w:val="24"/>
          <w:szCs w:val="24"/>
        </w:rPr>
        <w:t xml:space="preserve">); (iii) uma função racional no operador de defasagem aplicado a uma </w:t>
      </w:r>
      <w:r w:rsidRPr="00E332D8">
        <w:rPr>
          <w:rFonts w:ascii="Times New Roman" w:hAnsi="Times New Roman" w:cs="Times New Roman"/>
          <w:i/>
          <w:sz w:val="24"/>
          <w:szCs w:val="24"/>
        </w:rPr>
        <w:t>dummy</w:t>
      </w:r>
      <w:r w:rsidRPr="00E332D8">
        <w:rPr>
          <w:rFonts w:ascii="Times New Roman" w:hAnsi="Times New Roman" w:cs="Times New Roman"/>
          <w:sz w:val="24"/>
          <w:szCs w:val="24"/>
        </w:rPr>
        <w:t xml:space="preserve"> de mudança (</w:t>
      </w:r>
      <w:proofErr w:type="spellStart"/>
      <w:r w:rsidRPr="00E332D8">
        <w:rPr>
          <w:rFonts w:ascii="Times New Roman" w:hAnsi="Times New Roman" w:cs="Times New Roman"/>
          <w:i/>
          <w:sz w:val="24"/>
          <w:szCs w:val="24"/>
        </w:rPr>
        <w:t>rational</w:t>
      </w:r>
      <w:proofErr w:type="spellEnd"/>
      <w:r w:rsidRPr="00E332D8">
        <w:rPr>
          <w:rFonts w:ascii="Times New Roman" w:hAnsi="Times New Roman" w:cs="Times New Roman"/>
          <w:i/>
          <w:sz w:val="24"/>
          <w:szCs w:val="24"/>
        </w:rPr>
        <w:t xml:space="preserve"> shift</w:t>
      </w:r>
      <w:r w:rsidRPr="00E332D8">
        <w:rPr>
          <w:rFonts w:ascii="Times New Roman" w:hAnsi="Times New Roman" w:cs="Times New Roman"/>
          <w:sz w:val="24"/>
          <w:szCs w:val="24"/>
        </w:rPr>
        <w:t xml:space="preserve">). </w:t>
      </w:r>
    </w:p>
    <w:p w:rsidR="00A10F43" w:rsidRPr="00E332D8" w:rsidRDefault="00A10F43"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lastRenderedPageBreak/>
        <w:t xml:space="preserve">Nesse sentido, </w:t>
      </w:r>
      <w:proofErr w:type="spellStart"/>
      <w:r w:rsidRPr="00E332D8">
        <w:rPr>
          <w:rFonts w:ascii="Times New Roman" w:hAnsi="Times New Roman" w:cs="Times New Roman"/>
          <w:sz w:val="24"/>
          <w:szCs w:val="24"/>
        </w:rPr>
        <w:t>Saikkonen</w:t>
      </w:r>
      <w:proofErr w:type="spellEnd"/>
      <w:r w:rsidRPr="00E332D8">
        <w:rPr>
          <w:rFonts w:ascii="Times New Roman" w:hAnsi="Times New Roman" w:cs="Times New Roman"/>
          <w:sz w:val="24"/>
          <w:szCs w:val="24"/>
        </w:rPr>
        <w:t xml:space="preserve"> e Lutkepohl (2002) e </w:t>
      </w:r>
      <w:proofErr w:type="spellStart"/>
      <w:r w:rsidRPr="00E332D8">
        <w:rPr>
          <w:rFonts w:ascii="Times New Roman" w:hAnsi="Times New Roman" w:cs="Times New Roman"/>
          <w:sz w:val="24"/>
          <w:szCs w:val="24"/>
        </w:rPr>
        <w:t>Lanne</w:t>
      </w:r>
      <w:proofErr w:type="spellEnd"/>
      <w:r w:rsidRPr="00E332D8">
        <w:rPr>
          <w:rFonts w:ascii="Times New Roman" w:hAnsi="Times New Roman" w:cs="Times New Roman"/>
          <w:sz w:val="24"/>
          <w:szCs w:val="24"/>
        </w:rPr>
        <w:t xml:space="preserve"> </w:t>
      </w:r>
      <w:proofErr w:type="spellStart"/>
      <w:proofErr w:type="gramStart"/>
      <w:r w:rsidRPr="00E332D8">
        <w:rPr>
          <w:rFonts w:ascii="Times New Roman" w:hAnsi="Times New Roman" w:cs="Times New Roman"/>
          <w:i/>
          <w:sz w:val="24"/>
          <w:szCs w:val="24"/>
        </w:rPr>
        <w:t>et</w:t>
      </w:r>
      <w:proofErr w:type="spellEnd"/>
      <w:proofErr w:type="gramEnd"/>
      <w:r w:rsidRPr="00E332D8">
        <w:rPr>
          <w:rFonts w:ascii="Times New Roman" w:hAnsi="Times New Roman" w:cs="Times New Roman"/>
          <w:i/>
          <w:sz w:val="24"/>
          <w:szCs w:val="24"/>
        </w:rPr>
        <w:t xml:space="preserve"> al</w:t>
      </w:r>
      <w:r w:rsidRPr="00E332D8">
        <w:rPr>
          <w:rFonts w:ascii="Times New Roman" w:hAnsi="Times New Roman" w:cs="Times New Roman"/>
          <w:sz w:val="24"/>
          <w:szCs w:val="24"/>
        </w:rPr>
        <w:t xml:space="preserve">. (2002) propuseram um teste de raiz unitária baseado na estimação do termo determinístico por mínimos quadrados generalizados (GLS) e a subtração dessa tendência da série original. Em seguida, um teste ADF é desenvolvido para as séries ajustadas. Se a data da quebra é desconhecida, recomenda-se a escolha de uma ordem de defasagens maior no primeiro passo e, então, apanhar a data de quebra que minimiza a soma dos erros quadrados generalizada do modelo em primeiras diferenças. Valores críticos foram tabulados por </w:t>
      </w:r>
      <w:proofErr w:type="spellStart"/>
      <w:r w:rsidRPr="00E332D8">
        <w:rPr>
          <w:rFonts w:ascii="Times New Roman" w:hAnsi="Times New Roman" w:cs="Times New Roman"/>
          <w:sz w:val="24"/>
          <w:szCs w:val="24"/>
        </w:rPr>
        <w:t>Lanne</w:t>
      </w:r>
      <w:proofErr w:type="spellEnd"/>
      <w:r w:rsidRPr="00E332D8">
        <w:rPr>
          <w:rFonts w:ascii="Times New Roman" w:hAnsi="Times New Roman" w:cs="Times New Roman"/>
          <w:sz w:val="24"/>
          <w:szCs w:val="24"/>
        </w:rPr>
        <w:t xml:space="preserve"> </w:t>
      </w:r>
      <w:proofErr w:type="spellStart"/>
      <w:proofErr w:type="gramStart"/>
      <w:r w:rsidRPr="00E332D8">
        <w:rPr>
          <w:rFonts w:ascii="Times New Roman" w:hAnsi="Times New Roman" w:cs="Times New Roman"/>
          <w:i/>
          <w:sz w:val="24"/>
          <w:szCs w:val="24"/>
        </w:rPr>
        <w:t>et</w:t>
      </w:r>
      <w:proofErr w:type="spellEnd"/>
      <w:proofErr w:type="gramEnd"/>
      <w:r w:rsidRPr="00E332D8">
        <w:rPr>
          <w:rFonts w:ascii="Times New Roman" w:hAnsi="Times New Roman" w:cs="Times New Roman"/>
          <w:i/>
          <w:sz w:val="24"/>
          <w:szCs w:val="24"/>
        </w:rPr>
        <w:t xml:space="preserve"> al.</w:t>
      </w:r>
      <w:r w:rsidRPr="00E332D8">
        <w:rPr>
          <w:rFonts w:ascii="Times New Roman" w:hAnsi="Times New Roman" w:cs="Times New Roman"/>
          <w:sz w:val="24"/>
          <w:szCs w:val="24"/>
        </w:rPr>
        <w:t xml:space="preserve"> (2002).</w:t>
      </w:r>
    </w:p>
    <w:p w:rsidR="00570C64" w:rsidRPr="00E332D8" w:rsidRDefault="00570C64" w:rsidP="00230341">
      <w:pPr>
        <w:spacing w:after="0" w:line="360" w:lineRule="auto"/>
        <w:ind w:firstLine="708"/>
        <w:jc w:val="both"/>
        <w:rPr>
          <w:rFonts w:ascii="Times New Roman" w:hAnsi="Times New Roman" w:cs="Times New Roman"/>
          <w:sz w:val="24"/>
          <w:szCs w:val="24"/>
        </w:rPr>
      </w:pPr>
    </w:p>
    <w:p w:rsidR="00942312" w:rsidRPr="00E332D8" w:rsidRDefault="00FE4276" w:rsidP="00230341">
      <w:pPr>
        <w:pStyle w:val="Ttulo2"/>
        <w:spacing w:before="0" w:after="0" w:line="360" w:lineRule="auto"/>
        <w:jc w:val="both"/>
        <w:rPr>
          <w:rFonts w:ascii="Times New Roman" w:hAnsi="Times New Roman" w:cs="Times New Roman"/>
          <w:i w:val="0"/>
          <w:iCs w:val="0"/>
          <w:sz w:val="24"/>
          <w:szCs w:val="24"/>
        </w:rPr>
      </w:pPr>
      <w:proofErr w:type="gramStart"/>
      <w:r>
        <w:rPr>
          <w:rFonts w:ascii="Times New Roman" w:hAnsi="Times New Roman" w:cs="Times New Roman"/>
          <w:i w:val="0"/>
          <w:iCs w:val="0"/>
          <w:sz w:val="24"/>
          <w:szCs w:val="24"/>
        </w:rPr>
        <w:t>4</w:t>
      </w:r>
      <w:r w:rsidR="00942312" w:rsidRPr="00E332D8">
        <w:rPr>
          <w:rFonts w:ascii="Times New Roman" w:hAnsi="Times New Roman" w:cs="Times New Roman"/>
          <w:i w:val="0"/>
          <w:iCs w:val="0"/>
          <w:sz w:val="24"/>
          <w:szCs w:val="24"/>
        </w:rPr>
        <w:t>.</w:t>
      </w:r>
      <w:r w:rsidR="00213F7C" w:rsidRPr="00E332D8">
        <w:rPr>
          <w:rFonts w:ascii="Times New Roman" w:hAnsi="Times New Roman" w:cs="Times New Roman"/>
          <w:i w:val="0"/>
          <w:iCs w:val="0"/>
          <w:sz w:val="24"/>
          <w:szCs w:val="24"/>
        </w:rPr>
        <w:t>2</w:t>
      </w:r>
      <w:r w:rsidR="00942312" w:rsidRPr="00E332D8">
        <w:rPr>
          <w:rFonts w:ascii="Times New Roman" w:hAnsi="Times New Roman" w:cs="Times New Roman"/>
          <w:i w:val="0"/>
          <w:iCs w:val="0"/>
          <w:sz w:val="24"/>
          <w:szCs w:val="24"/>
        </w:rPr>
        <w:t xml:space="preserve"> C</w:t>
      </w:r>
      <w:bookmarkEnd w:id="0"/>
      <w:r w:rsidR="00942312" w:rsidRPr="00E332D8">
        <w:rPr>
          <w:rFonts w:ascii="Times New Roman" w:hAnsi="Times New Roman" w:cs="Times New Roman"/>
          <w:i w:val="0"/>
          <w:iCs w:val="0"/>
          <w:sz w:val="24"/>
          <w:szCs w:val="24"/>
        </w:rPr>
        <w:t>ausalidade</w:t>
      </w:r>
      <w:proofErr w:type="gramEnd"/>
      <w:r w:rsidR="00942312" w:rsidRPr="00E332D8">
        <w:rPr>
          <w:rFonts w:ascii="Times New Roman" w:hAnsi="Times New Roman" w:cs="Times New Roman"/>
          <w:i w:val="0"/>
          <w:iCs w:val="0"/>
          <w:sz w:val="24"/>
          <w:szCs w:val="24"/>
        </w:rPr>
        <w:t xml:space="preserve"> Multivariada</w:t>
      </w:r>
    </w:p>
    <w:p w:rsidR="00FE0FC5" w:rsidRPr="00E332D8" w:rsidRDefault="00FE0FC5" w:rsidP="00230341">
      <w:pPr>
        <w:spacing w:after="0" w:line="360" w:lineRule="auto"/>
        <w:rPr>
          <w:sz w:val="24"/>
          <w:szCs w:val="24"/>
        </w:rPr>
      </w:pPr>
    </w:p>
    <w:p w:rsidR="00942312" w:rsidRPr="00E332D8" w:rsidRDefault="00942312" w:rsidP="00230341">
      <w:pPr>
        <w:spacing w:after="0" w:line="360" w:lineRule="auto"/>
        <w:ind w:firstLine="706"/>
        <w:jc w:val="both"/>
        <w:rPr>
          <w:rFonts w:ascii="Times New Roman" w:hAnsi="Times New Roman" w:cs="Times New Roman"/>
          <w:sz w:val="24"/>
          <w:szCs w:val="24"/>
        </w:rPr>
      </w:pPr>
      <w:r w:rsidRPr="00E332D8">
        <w:rPr>
          <w:rFonts w:ascii="Times New Roman" w:hAnsi="Times New Roman" w:cs="Times New Roman"/>
          <w:sz w:val="24"/>
          <w:szCs w:val="24"/>
        </w:rPr>
        <w:t xml:space="preserve">A análise de causalidade inicia-se pela estimação de um modelo vetorial </w:t>
      </w:r>
      <w:proofErr w:type="spellStart"/>
      <w:proofErr w:type="gramStart"/>
      <w:r w:rsidRPr="00E332D8">
        <w:rPr>
          <w:rFonts w:ascii="Times New Roman" w:hAnsi="Times New Roman" w:cs="Times New Roman"/>
          <w:sz w:val="24"/>
          <w:szCs w:val="24"/>
        </w:rPr>
        <w:t>auto-regressivo</w:t>
      </w:r>
      <w:proofErr w:type="spellEnd"/>
      <w:proofErr w:type="gramEnd"/>
      <w:r w:rsidRPr="00E332D8">
        <w:rPr>
          <w:rFonts w:ascii="Times New Roman" w:hAnsi="Times New Roman" w:cs="Times New Roman"/>
          <w:sz w:val="24"/>
          <w:szCs w:val="24"/>
        </w:rPr>
        <w:t xml:space="preserve"> (VAR) envolvendo todas as variáveis mencionadas anteriormente. O conceito de causalidade no sentido de Granger está associado à ideia de precedência temporal entre variáveis. Assim, se </w:t>
      </w:r>
      <w:r w:rsidRPr="00E332D8">
        <w:rPr>
          <w:rFonts w:ascii="Times New Roman" w:hAnsi="Times New Roman" w:cs="Times New Roman"/>
          <w:position w:val="-12"/>
          <w:sz w:val="24"/>
          <w:szCs w:val="24"/>
        </w:rPr>
        <w:object w:dxaOrig="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5pt" o:ole="">
            <v:imagedata r:id="rId10" o:title=""/>
          </v:shape>
          <o:OLEObject Type="Embed" ProgID="Equation.3" ShapeID="_x0000_i1025" DrawAspect="Content" ObjectID="_1441999438" r:id="rId11"/>
        </w:object>
      </w:r>
      <w:r w:rsidRPr="00E332D8">
        <w:rPr>
          <w:rFonts w:ascii="Times New Roman" w:hAnsi="Times New Roman" w:cs="Times New Roman"/>
          <w:sz w:val="24"/>
          <w:szCs w:val="24"/>
        </w:rPr>
        <w:t xml:space="preserve"> contém informação passada que ajuda na previsão de </w:t>
      </w:r>
      <w:r w:rsidRPr="00E332D8">
        <w:rPr>
          <w:rFonts w:ascii="Times New Roman" w:hAnsi="Times New Roman" w:cs="Times New Roman"/>
          <w:position w:val="-12"/>
          <w:sz w:val="24"/>
          <w:szCs w:val="24"/>
        </w:rPr>
        <w:object w:dxaOrig="240" w:dyaOrig="360">
          <v:shape id="_x0000_i1026" type="#_x0000_t75" style="width:12pt;height:18.5pt" o:ole="">
            <v:imagedata r:id="rId12" o:title=""/>
          </v:shape>
          <o:OLEObject Type="Embed" ProgID="Equation.3" ShapeID="_x0000_i1026" DrawAspect="Content" ObjectID="_1441999439" r:id="rId13"/>
        </w:object>
      </w:r>
      <w:r w:rsidRPr="00E332D8">
        <w:rPr>
          <w:rFonts w:ascii="Times New Roman" w:hAnsi="Times New Roman" w:cs="Times New Roman"/>
          <w:sz w:val="24"/>
          <w:szCs w:val="24"/>
        </w:rPr>
        <w:t xml:space="preserve">, e se essa informação não está contida em outras séries usadas no modelo, então </w:t>
      </w:r>
      <w:r w:rsidRPr="00E332D8">
        <w:rPr>
          <w:rFonts w:ascii="Times New Roman" w:hAnsi="Times New Roman" w:cs="Times New Roman"/>
          <w:position w:val="-12"/>
          <w:sz w:val="24"/>
          <w:szCs w:val="24"/>
        </w:rPr>
        <w:object w:dxaOrig="260" w:dyaOrig="360">
          <v:shape id="_x0000_i1027" type="#_x0000_t75" style="width:12pt;height:18.5pt" o:ole="">
            <v:imagedata r:id="rId14" o:title=""/>
          </v:shape>
          <o:OLEObject Type="Embed" ProgID="Equation.3" ShapeID="_x0000_i1027" DrawAspect="Content" ObjectID="_1441999440" r:id="rId15"/>
        </w:object>
      </w:r>
      <w:r w:rsidRPr="00E332D8">
        <w:rPr>
          <w:rFonts w:ascii="Times New Roman" w:hAnsi="Times New Roman" w:cs="Times New Roman"/>
          <w:sz w:val="24"/>
          <w:szCs w:val="24"/>
        </w:rPr>
        <w:t xml:space="preserve"> Granger-causa </w:t>
      </w:r>
      <w:r w:rsidRPr="00E332D8">
        <w:rPr>
          <w:rFonts w:ascii="Times New Roman" w:hAnsi="Times New Roman" w:cs="Times New Roman"/>
          <w:position w:val="-12"/>
          <w:sz w:val="24"/>
          <w:szCs w:val="24"/>
        </w:rPr>
        <w:object w:dxaOrig="240" w:dyaOrig="360">
          <v:shape id="_x0000_i1028" type="#_x0000_t75" style="width:12pt;height:18.5pt" o:ole="">
            <v:imagedata r:id="rId16" o:title=""/>
          </v:shape>
          <o:OLEObject Type="Embed" ProgID="Equation.3" ShapeID="_x0000_i1028" DrawAspect="Content" ObjectID="_1441999441" r:id="rId17"/>
        </w:object>
      </w:r>
      <w:r w:rsidRPr="00E332D8">
        <w:rPr>
          <w:rFonts w:ascii="Times New Roman" w:hAnsi="Times New Roman" w:cs="Times New Roman"/>
          <w:sz w:val="24"/>
          <w:szCs w:val="24"/>
        </w:rPr>
        <w:t xml:space="preserve"> (GRANGER, 1969). O VAR em forma reduzida de dimensão </w:t>
      </w:r>
      <w:r w:rsidRPr="00E332D8">
        <w:rPr>
          <w:rFonts w:ascii="Times New Roman" w:hAnsi="Times New Roman" w:cs="Times New Roman"/>
          <w:i/>
          <w:sz w:val="24"/>
          <w:szCs w:val="24"/>
        </w:rPr>
        <w:t>p</w:t>
      </w:r>
      <w:r w:rsidRPr="00E332D8">
        <w:rPr>
          <w:rFonts w:ascii="Times New Roman" w:hAnsi="Times New Roman" w:cs="Times New Roman"/>
          <w:sz w:val="24"/>
          <w:szCs w:val="24"/>
        </w:rPr>
        <w:t xml:space="preserve"> pode ser escrito com: </w:t>
      </w:r>
    </w:p>
    <w:p w:rsidR="00942312" w:rsidRPr="00E332D8" w:rsidRDefault="00942312" w:rsidP="00230341">
      <w:pPr>
        <w:spacing w:after="0" w:line="360" w:lineRule="auto"/>
        <w:ind w:firstLine="706"/>
        <w:jc w:val="both"/>
        <w:rPr>
          <w:rFonts w:ascii="Times New Roman" w:hAnsi="Times New Roman" w:cs="Times New Roman"/>
          <w:sz w:val="24"/>
          <w:szCs w:val="24"/>
        </w:rPr>
      </w:pPr>
    </w:p>
    <w:p w:rsidR="00942312" w:rsidRPr="00E332D8" w:rsidRDefault="00AD2648" w:rsidP="00230341">
      <w:pPr>
        <w:spacing w:after="0" w:line="360" w:lineRule="auto"/>
        <w:ind w:left="708"/>
        <w:jc w:val="both"/>
        <w:rPr>
          <w:rFonts w:ascii="Times New Roman" w:hAnsi="Times New Roman" w:cs="Times New Roman"/>
          <w:sz w:val="24"/>
          <w:szCs w:val="24"/>
        </w:rPr>
      </w:pPr>
      <w:r w:rsidRPr="00E332D8">
        <w:rPr>
          <w:rFonts w:ascii="Times New Roman" w:hAnsi="Times New Roman" w:cs="Times New Roman"/>
          <w:sz w:val="24"/>
          <w:szCs w:val="24"/>
        </w:rPr>
        <w:t xml:space="preserve">    </w:t>
      </w:r>
      <w:r w:rsidR="00942312" w:rsidRPr="00E332D8">
        <w:rPr>
          <w:rFonts w:ascii="Times New Roman" w:hAnsi="Times New Roman" w:cs="Times New Roman"/>
          <w:position w:val="-14"/>
          <w:sz w:val="24"/>
          <w:szCs w:val="24"/>
        </w:rPr>
        <w:object w:dxaOrig="4459" w:dyaOrig="380">
          <v:shape id="_x0000_i1029" type="#_x0000_t75" style="width:223pt;height:17.5pt" o:ole="">
            <v:imagedata r:id="rId18" o:title=""/>
          </v:shape>
          <o:OLEObject Type="Embed" ProgID="Equation.3" ShapeID="_x0000_i1029" DrawAspect="Content" ObjectID="_1441999442" r:id="rId19"/>
        </w:object>
      </w:r>
      <w:r w:rsidR="00942312" w:rsidRPr="00E332D8">
        <w:rPr>
          <w:rFonts w:ascii="Times New Roman" w:hAnsi="Times New Roman" w:cs="Times New Roman"/>
          <w:sz w:val="24"/>
          <w:szCs w:val="24"/>
        </w:rPr>
        <w:tab/>
        <w:t xml:space="preserve">                                   </w:t>
      </w:r>
      <w:r w:rsidR="005E5C38">
        <w:rPr>
          <w:rFonts w:ascii="Times New Roman" w:hAnsi="Times New Roman" w:cs="Times New Roman"/>
          <w:sz w:val="24"/>
          <w:szCs w:val="24"/>
        </w:rPr>
        <w:tab/>
      </w:r>
      <w:r w:rsidR="00942312" w:rsidRPr="00E332D8">
        <w:rPr>
          <w:rFonts w:ascii="Times New Roman" w:hAnsi="Times New Roman" w:cs="Times New Roman"/>
          <w:sz w:val="24"/>
          <w:szCs w:val="24"/>
        </w:rPr>
        <w:tab/>
        <w:t>(</w:t>
      </w:r>
      <w:r w:rsidR="00586953" w:rsidRPr="00E332D8">
        <w:rPr>
          <w:rFonts w:ascii="Times New Roman" w:hAnsi="Times New Roman" w:cs="Times New Roman"/>
          <w:sz w:val="24"/>
          <w:szCs w:val="24"/>
        </w:rPr>
        <w:t>3</w:t>
      </w:r>
      <w:r w:rsidR="00942312" w:rsidRPr="00E332D8">
        <w:rPr>
          <w:rFonts w:ascii="Times New Roman" w:hAnsi="Times New Roman" w:cs="Times New Roman"/>
          <w:sz w:val="24"/>
          <w:szCs w:val="24"/>
        </w:rPr>
        <w:t>)</w:t>
      </w:r>
    </w:p>
    <w:p w:rsidR="00942312" w:rsidRPr="00E332D8" w:rsidRDefault="00942312" w:rsidP="00230341">
      <w:pPr>
        <w:spacing w:after="0" w:line="360" w:lineRule="auto"/>
        <w:ind w:firstLine="708"/>
        <w:jc w:val="both"/>
        <w:rPr>
          <w:rFonts w:ascii="Times New Roman" w:hAnsi="Times New Roman" w:cs="Times New Roman"/>
          <w:sz w:val="24"/>
          <w:szCs w:val="24"/>
        </w:rPr>
      </w:pPr>
    </w:p>
    <w:p w:rsidR="00942312" w:rsidRPr="00E332D8" w:rsidRDefault="00942312" w:rsidP="006A504B">
      <w:pPr>
        <w:pStyle w:val="Corpodetexto"/>
        <w:contextualSpacing/>
        <w:rPr>
          <w:rFonts w:ascii="Times New Roman" w:hAnsi="Times New Roman" w:cs="Times New Roman"/>
        </w:rPr>
      </w:pPr>
      <w:proofErr w:type="gramStart"/>
      <w:r w:rsidRPr="00E332D8">
        <w:rPr>
          <w:rFonts w:ascii="Times New Roman" w:hAnsi="Times New Roman" w:cs="Times New Roman"/>
        </w:rPr>
        <w:t>onde</w:t>
      </w:r>
      <w:proofErr w:type="gramEnd"/>
      <w:r w:rsidRPr="00E332D8">
        <w:rPr>
          <w:rFonts w:ascii="Times New Roman" w:hAnsi="Times New Roman" w:cs="Times New Roman"/>
        </w:rPr>
        <w:t xml:space="preserve">, </w:t>
      </w:r>
      <w:r w:rsidRPr="00E332D8">
        <w:rPr>
          <w:rFonts w:ascii="Times New Roman" w:hAnsi="Times New Roman" w:cs="Times New Roman"/>
          <w:position w:val="-12"/>
        </w:rPr>
        <w:object w:dxaOrig="320" w:dyaOrig="360">
          <v:shape id="_x0000_i1030" type="#_x0000_t75" style="width:15.5pt;height:18.5pt" o:ole="">
            <v:imagedata r:id="rId20" o:title=""/>
          </v:shape>
          <o:OLEObject Type="Embed" ProgID="Equation.3" ShapeID="_x0000_i1030" DrawAspect="Content" ObjectID="_1441999443" r:id="rId21"/>
        </w:object>
      </w:r>
      <w:r w:rsidRPr="00E332D8">
        <w:rPr>
          <w:rFonts w:ascii="Times New Roman" w:hAnsi="Times New Roman" w:cs="Times New Roman"/>
        </w:rPr>
        <w:t xml:space="preserve"> é um  vetor de variáveis estacionárias</w:t>
      </w:r>
      <w:r w:rsidRPr="00E332D8">
        <w:rPr>
          <w:rFonts w:ascii="Times New Roman" w:hAnsi="Times New Roman" w:cs="Times New Roman"/>
          <w:i/>
        </w:rPr>
        <w:t>,</w:t>
      </w:r>
      <w:r w:rsidRPr="00E332D8">
        <w:rPr>
          <w:rFonts w:ascii="Times New Roman" w:hAnsi="Times New Roman" w:cs="Times New Roman"/>
        </w:rPr>
        <w:t xml:space="preserve"> </w:t>
      </w:r>
      <w:r w:rsidRPr="00E332D8">
        <w:rPr>
          <w:rFonts w:ascii="Times New Roman" w:hAnsi="Times New Roman" w:cs="Times New Roman"/>
          <w:i/>
        </w:rPr>
        <w:t>p</w:t>
      </w:r>
      <w:r w:rsidRPr="00E332D8">
        <w:rPr>
          <w:rFonts w:ascii="Times New Roman" w:hAnsi="Times New Roman" w:cs="Times New Roman"/>
        </w:rPr>
        <w:t xml:space="preserve"> é o número de defasagens, </w:t>
      </w:r>
      <w:r w:rsidRPr="00E332D8">
        <w:rPr>
          <w:rFonts w:ascii="Times New Roman" w:hAnsi="Times New Roman" w:cs="Times New Roman"/>
          <w:position w:val="-12"/>
        </w:rPr>
        <w:object w:dxaOrig="300" w:dyaOrig="360">
          <v:shape id="_x0000_i1031" type="#_x0000_t75" style="width:15pt;height:18.5pt" o:ole="">
            <v:imagedata r:id="rId22" o:title=""/>
          </v:shape>
          <o:OLEObject Type="Embed" ProgID="Equation.3" ShapeID="_x0000_i1031" DrawAspect="Content" ObjectID="_1441999444" r:id="rId23"/>
        </w:object>
      </w:r>
      <w:r w:rsidRPr="00E332D8">
        <w:rPr>
          <w:rFonts w:ascii="Times New Roman" w:hAnsi="Times New Roman" w:cs="Times New Roman"/>
        </w:rPr>
        <w:t xml:space="preserve"> é um vetor de interceptos, </w:t>
      </w:r>
      <w:r w:rsidRPr="00E332D8">
        <w:rPr>
          <w:rFonts w:ascii="Times New Roman" w:hAnsi="Times New Roman" w:cs="Times New Roman"/>
          <w:position w:val="-12"/>
        </w:rPr>
        <w:object w:dxaOrig="279" w:dyaOrig="360">
          <v:shape id="_x0000_i1032" type="#_x0000_t75" style="width:14.5pt;height:18.5pt" o:ole="">
            <v:imagedata r:id="rId24" o:title=""/>
          </v:shape>
          <o:OLEObject Type="Embed" ProgID="Equation.3" ShapeID="_x0000_i1032" DrawAspect="Content" ObjectID="_1441999445" r:id="rId25"/>
        </w:object>
      </w:r>
      <w:r w:rsidRPr="00E332D8">
        <w:rPr>
          <w:rFonts w:ascii="Times New Roman" w:hAnsi="Times New Roman" w:cs="Times New Roman"/>
        </w:rPr>
        <w:t xml:space="preserve"> são matrizes de coeficientes e </w:t>
      </w:r>
      <w:r w:rsidRPr="00E332D8">
        <w:rPr>
          <w:rFonts w:ascii="Times New Roman" w:hAnsi="Times New Roman" w:cs="Times New Roman"/>
          <w:position w:val="-12"/>
        </w:rPr>
        <w:object w:dxaOrig="260" w:dyaOrig="360">
          <v:shape id="_x0000_i1033" type="#_x0000_t75" style="width:12pt;height:18.5pt" o:ole="">
            <v:imagedata r:id="rId26" o:title=""/>
          </v:shape>
          <o:OLEObject Type="Embed" ProgID="Equation.3" ShapeID="_x0000_i1033" DrawAspect="Content" ObjectID="_1441999446" r:id="rId27"/>
        </w:object>
      </w:r>
      <w:r w:rsidRPr="00E332D8">
        <w:rPr>
          <w:rFonts w:ascii="Times New Roman" w:hAnsi="Times New Roman" w:cs="Times New Roman"/>
        </w:rPr>
        <w:t xml:space="preserve"> é um vetor de resíduos não-autocorrelacionados e homocedásticos.. A seleção da ordem de defasagem é feita pelos usuais critérios de informação. Como a análise de causalidade não requer a estimação de parâmetros estruturais, não há necessidade de se adotar alguma estratégia de identificação em (3). </w:t>
      </w:r>
    </w:p>
    <w:p w:rsidR="006A504B" w:rsidRPr="00B9355C" w:rsidRDefault="00942312" w:rsidP="006A504B">
      <w:pPr>
        <w:pStyle w:val="Corpodetexto"/>
        <w:contextualSpacing/>
        <w:rPr>
          <w:rFonts w:ascii="Times New Roman" w:hAnsi="Times New Roman" w:cs="Times New Roman"/>
        </w:rPr>
      </w:pPr>
      <w:r w:rsidRPr="00E332D8">
        <w:rPr>
          <w:rFonts w:ascii="Times New Roman" w:hAnsi="Times New Roman" w:cs="Times New Roman"/>
        </w:rPr>
        <w:tab/>
        <w:t xml:space="preserve"> </w:t>
      </w:r>
      <w:r w:rsidR="006A504B" w:rsidRPr="00B9355C">
        <w:rPr>
          <w:rFonts w:ascii="Times New Roman" w:hAnsi="Times New Roman" w:cs="Times New Roman"/>
        </w:rPr>
        <w:t xml:space="preserve">A causalidade de Granger da variável </w:t>
      </w:r>
      <m:oMath>
        <m:r>
          <w:rPr>
            <w:rFonts w:ascii="Cambria Math" w:hAnsi="Cambria Math"/>
          </w:rPr>
          <m:t>x</m:t>
        </m:r>
      </m:oMath>
      <w:r w:rsidR="006A504B" w:rsidRPr="00B9355C">
        <w:rPr>
          <w:rFonts w:ascii="Times New Roman" w:hAnsi="Times New Roman" w:cs="Times New Roman"/>
        </w:rPr>
        <w:t xml:space="preserve"> para a variável </w:t>
      </w:r>
      <m:oMath>
        <m:r>
          <w:rPr>
            <w:rFonts w:ascii="Cambria Math" w:hAnsi="Cambria Math"/>
          </w:rPr>
          <m:t>y</m:t>
        </m:r>
      </m:oMath>
      <w:r w:rsidR="006A504B" w:rsidRPr="00B9355C">
        <w:rPr>
          <w:rFonts w:ascii="Times New Roman" w:hAnsi="Times New Roman" w:cs="Times New Roman"/>
        </w:rPr>
        <w:t xml:space="preserve"> é avaliada testando a hipótese nula de que os coeficientes da variável </w:t>
      </w:r>
      <m:oMath>
        <m:r>
          <w:rPr>
            <w:rFonts w:ascii="Cambria Math" w:hAnsi="Cambria Math"/>
          </w:rPr>
          <m:t>x</m:t>
        </m:r>
      </m:oMath>
      <w:r w:rsidR="006A504B" w:rsidRPr="00B9355C">
        <w:rPr>
          <w:rFonts w:ascii="Times New Roman" w:hAnsi="Times New Roman" w:cs="Times New Roman"/>
        </w:rPr>
        <w:t xml:space="preserve"> em todas as suas defasagens são, simultaneamente, estatisticamente iguais </w:t>
      </w:r>
      <w:proofErr w:type="gramStart"/>
      <w:r w:rsidR="006A504B" w:rsidRPr="00B9355C">
        <w:rPr>
          <w:rFonts w:ascii="Times New Roman" w:hAnsi="Times New Roman" w:cs="Times New Roman"/>
        </w:rPr>
        <w:t>a</w:t>
      </w:r>
      <w:proofErr w:type="gramEnd"/>
      <w:r w:rsidR="006A504B" w:rsidRPr="00B9355C">
        <w:rPr>
          <w:rFonts w:ascii="Times New Roman" w:hAnsi="Times New Roman" w:cs="Times New Roman"/>
        </w:rPr>
        <w:t xml:space="preserve"> zero na equação em que </w:t>
      </w:r>
      <m:oMath>
        <m:r>
          <w:rPr>
            <w:rFonts w:ascii="Cambria Math" w:hAnsi="Cambria Math"/>
          </w:rPr>
          <m:t>y</m:t>
        </m:r>
      </m:oMath>
      <w:r w:rsidR="006A504B" w:rsidRPr="00B9355C">
        <w:rPr>
          <w:rFonts w:ascii="Times New Roman" w:hAnsi="Times New Roman" w:cs="Times New Roman"/>
        </w:rPr>
        <w:t xml:space="preserve"> é a variável dependente. Caso a hipótese nula seja rejeitada, conclui-se que a variável </w:t>
      </w:r>
      <m:oMath>
        <m:r>
          <w:rPr>
            <w:rFonts w:ascii="Cambria Math" w:hAnsi="Cambria Math"/>
          </w:rPr>
          <m:t>x</m:t>
        </m:r>
      </m:oMath>
      <w:r w:rsidR="006A504B" w:rsidRPr="00B9355C">
        <w:rPr>
          <w:rFonts w:ascii="Times New Roman" w:hAnsi="Times New Roman" w:cs="Times New Roman"/>
        </w:rPr>
        <w:t xml:space="preserve"> Granger-causa a variável</w:t>
      </w:r>
      <m:oMath>
        <m:r>
          <w:rPr>
            <w:rFonts w:ascii="Cambria Math" w:hAnsi="Cambria Math"/>
          </w:rPr>
          <m:t xml:space="preserve"> y</m:t>
        </m:r>
      </m:oMath>
      <w:r w:rsidR="006A504B" w:rsidRPr="00B9355C">
        <w:rPr>
          <w:rFonts w:ascii="Times New Roman" w:hAnsi="Times New Roman" w:cs="Times New Roman"/>
        </w:rPr>
        <w:t xml:space="preserve">. </w:t>
      </w:r>
    </w:p>
    <w:p w:rsidR="004F7A6D" w:rsidRPr="00E332D8" w:rsidRDefault="004F7A6D" w:rsidP="006A504B">
      <w:pPr>
        <w:autoSpaceDE w:val="0"/>
        <w:autoSpaceDN w:val="0"/>
        <w:adjustRightInd w:val="0"/>
        <w:spacing w:after="0" w:line="360" w:lineRule="auto"/>
        <w:contextualSpacing/>
        <w:jc w:val="both"/>
        <w:rPr>
          <w:rFonts w:ascii="Times New Roman" w:hAnsi="Times New Roman" w:cs="Times New Roman"/>
          <w:sz w:val="24"/>
          <w:szCs w:val="24"/>
        </w:rPr>
      </w:pPr>
      <w:r w:rsidRPr="00E332D8">
        <w:rPr>
          <w:rFonts w:ascii="Times New Roman" w:hAnsi="Times New Roman" w:cs="Times New Roman"/>
          <w:sz w:val="24"/>
          <w:szCs w:val="24"/>
        </w:rPr>
        <w:tab/>
        <w:t>Além da causalidade de Granger, nesse estudo duas outras técnicas econométricas serão utilizadas na análise multivariada: as funções de impulso-resposta generalizadas (FIRG) e a análise da decomposição da variância do erro de previsão (ADV).</w:t>
      </w:r>
    </w:p>
    <w:p w:rsidR="004F7A6D" w:rsidRPr="00E332D8" w:rsidRDefault="004F7A6D" w:rsidP="00230341">
      <w:pPr>
        <w:autoSpaceDE w:val="0"/>
        <w:autoSpaceDN w:val="0"/>
        <w:adjustRightInd w:val="0"/>
        <w:spacing w:after="0" w:line="360" w:lineRule="auto"/>
        <w:ind w:firstLine="567"/>
        <w:jc w:val="both"/>
        <w:rPr>
          <w:rFonts w:ascii="Times New Roman" w:hAnsi="Times New Roman" w:cs="Times New Roman"/>
          <w:sz w:val="24"/>
          <w:szCs w:val="24"/>
        </w:rPr>
      </w:pPr>
      <w:r w:rsidRPr="00E332D8">
        <w:rPr>
          <w:rFonts w:ascii="Times New Roman" w:hAnsi="Times New Roman" w:cs="Times New Roman"/>
          <w:sz w:val="24"/>
          <w:szCs w:val="24"/>
        </w:rPr>
        <w:lastRenderedPageBreak/>
        <w:t>As funções de impulso-resposta permitem avaliar o comportamento individual das variáveis do sistema, em resposta a algum choque em outra variável do modelo. Com este instrumental, analisa-se a sensibilidade das variáveis, por meio de simulação, a choques específicos em um determinado período. Dessa forma, cada coeficiente demonstra a resposta de sua variável no modelo a uma inovação específica, mantendo constantes todas as demais inovações em todos os outros períodos. Em outras palavras, a função impulso-resposta descreve o caminho e as defasagens temporais necessárias para que as variáveis retornem à sua trajetória original. O efeito acumulado de uma mudança de uma unidade em diferentes inovações sobre uma variável é dado pelo somatório dos coeficientes das funções de impulso-resposta (</w:t>
      </w:r>
      <w:r w:rsidRPr="00E332D8">
        <w:rPr>
          <w:rFonts w:ascii="Times New Roman" w:hAnsi="Times New Roman" w:cs="Times New Roman"/>
          <w:caps/>
          <w:sz w:val="24"/>
          <w:szCs w:val="24"/>
        </w:rPr>
        <w:t>Enders</w:t>
      </w:r>
      <w:r w:rsidRPr="00E332D8">
        <w:rPr>
          <w:rFonts w:ascii="Times New Roman" w:hAnsi="Times New Roman" w:cs="Times New Roman"/>
          <w:sz w:val="24"/>
          <w:szCs w:val="24"/>
        </w:rPr>
        <w:t>, 20</w:t>
      </w:r>
      <w:r w:rsidR="00E332D8" w:rsidRPr="00E332D8">
        <w:rPr>
          <w:rFonts w:ascii="Times New Roman" w:hAnsi="Times New Roman" w:cs="Times New Roman"/>
          <w:sz w:val="24"/>
          <w:szCs w:val="24"/>
        </w:rPr>
        <w:t>10</w:t>
      </w:r>
      <w:r w:rsidRPr="00E332D8">
        <w:rPr>
          <w:rFonts w:ascii="Times New Roman" w:hAnsi="Times New Roman" w:cs="Times New Roman"/>
          <w:sz w:val="24"/>
          <w:szCs w:val="24"/>
        </w:rPr>
        <w:t>).</w:t>
      </w:r>
    </w:p>
    <w:p w:rsidR="004F7A6D" w:rsidRPr="00E332D8" w:rsidRDefault="004F7A6D" w:rsidP="00230341">
      <w:pPr>
        <w:pStyle w:val="Corpodetexto"/>
        <w:ind w:firstLine="567"/>
        <w:rPr>
          <w:rFonts w:ascii="Times New Roman" w:hAnsi="Times New Roman" w:cs="Times New Roman"/>
        </w:rPr>
      </w:pPr>
      <w:r w:rsidRPr="00E332D8">
        <w:rPr>
          <w:rFonts w:ascii="Times New Roman" w:hAnsi="Times New Roman" w:cs="Times New Roman"/>
        </w:rPr>
        <w:t xml:space="preserve">Com o objetivo de eliminar o problema de ordenação de variáveis no VAR, a função de impulso-resposta generalizada (FIRG) é utilizada. O principal argumento para este procedimento é que o impulso-resposta generalizado não varia se houver reordenação de variáveis no VAR. Conforme apontado por Lutkepohl (1991), o método convencional para a análise da função de impulso-resposta aplica a “hipótese da ortogonalidade”, o que, por conseguinte, faz com que o resultado dependa da ordenação das séries no modelo VAR estimado. </w:t>
      </w:r>
      <w:proofErr w:type="spellStart"/>
      <w:r w:rsidRPr="00E332D8">
        <w:rPr>
          <w:rFonts w:ascii="Times New Roman" w:hAnsi="Times New Roman" w:cs="Times New Roman"/>
        </w:rPr>
        <w:t>Koop</w:t>
      </w:r>
      <w:proofErr w:type="spellEnd"/>
      <w:r w:rsidRPr="00E332D8">
        <w:rPr>
          <w:rFonts w:ascii="Times New Roman" w:hAnsi="Times New Roman" w:cs="Times New Roman"/>
        </w:rPr>
        <w:t xml:space="preserve">, </w:t>
      </w:r>
      <w:proofErr w:type="spellStart"/>
      <w:r w:rsidRPr="00E332D8">
        <w:rPr>
          <w:rFonts w:ascii="Times New Roman" w:hAnsi="Times New Roman" w:cs="Times New Roman"/>
        </w:rPr>
        <w:t>Pesaran</w:t>
      </w:r>
      <w:proofErr w:type="spellEnd"/>
      <w:r w:rsidRPr="00E332D8">
        <w:rPr>
          <w:rFonts w:ascii="Times New Roman" w:hAnsi="Times New Roman" w:cs="Times New Roman"/>
        </w:rPr>
        <w:t xml:space="preserve"> e </w:t>
      </w:r>
      <w:proofErr w:type="spellStart"/>
      <w:r w:rsidRPr="00E332D8">
        <w:rPr>
          <w:rFonts w:ascii="Times New Roman" w:hAnsi="Times New Roman" w:cs="Times New Roman"/>
        </w:rPr>
        <w:t>Potter</w:t>
      </w:r>
      <w:proofErr w:type="spellEnd"/>
      <w:r w:rsidRPr="00E332D8">
        <w:rPr>
          <w:rFonts w:ascii="Times New Roman" w:hAnsi="Times New Roman" w:cs="Times New Roman"/>
        </w:rPr>
        <w:t xml:space="preserve"> (1996), e </w:t>
      </w:r>
      <w:proofErr w:type="spellStart"/>
      <w:r w:rsidRPr="00E332D8">
        <w:rPr>
          <w:rFonts w:ascii="Times New Roman" w:hAnsi="Times New Roman" w:cs="Times New Roman"/>
        </w:rPr>
        <w:t>Pesaran</w:t>
      </w:r>
      <w:proofErr w:type="spellEnd"/>
      <w:r w:rsidRPr="00E332D8">
        <w:rPr>
          <w:rFonts w:ascii="Times New Roman" w:hAnsi="Times New Roman" w:cs="Times New Roman"/>
        </w:rPr>
        <w:t xml:space="preserve"> e </w:t>
      </w:r>
      <w:proofErr w:type="spellStart"/>
      <w:r w:rsidRPr="00E332D8">
        <w:rPr>
          <w:rFonts w:ascii="Times New Roman" w:hAnsi="Times New Roman" w:cs="Times New Roman"/>
        </w:rPr>
        <w:t>Shin</w:t>
      </w:r>
      <w:proofErr w:type="spellEnd"/>
      <w:r w:rsidRPr="00E332D8">
        <w:rPr>
          <w:rFonts w:ascii="Times New Roman" w:hAnsi="Times New Roman" w:cs="Times New Roman"/>
        </w:rPr>
        <w:t xml:space="preserve"> (1998) desenvolveram a função de impulso-resposta generalizada como forma de eliminar o problema de ordenação das variáveis no modelo VAR. Há duas vantagens potenciais na aplicação desse método (EWING, 2003): (i) a função de impulso-resposta generalizada fornece resultados mais robustos do que o método </w:t>
      </w:r>
      <w:proofErr w:type="spellStart"/>
      <w:r w:rsidRPr="00E332D8">
        <w:rPr>
          <w:rFonts w:ascii="Times New Roman" w:hAnsi="Times New Roman" w:cs="Times New Roman"/>
        </w:rPr>
        <w:t>ortogonalizado</w:t>
      </w:r>
      <w:proofErr w:type="spellEnd"/>
      <w:r w:rsidRPr="00E332D8">
        <w:rPr>
          <w:rFonts w:ascii="Times New Roman" w:hAnsi="Times New Roman" w:cs="Times New Roman"/>
        </w:rPr>
        <w:t>, e (</w:t>
      </w:r>
      <w:proofErr w:type="gramStart"/>
      <w:r w:rsidRPr="00E332D8">
        <w:rPr>
          <w:rFonts w:ascii="Times New Roman" w:hAnsi="Times New Roman" w:cs="Times New Roman"/>
        </w:rPr>
        <w:t>ii</w:t>
      </w:r>
      <w:proofErr w:type="gramEnd"/>
      <w:r w:rsidRPr="00E332D8">
        <w:rPr>
          <w:rFonts w:ascii="Times New Roman" w:hAnsi="Times New Roman" w:cs="Times New Roman"/>
        </w:rPr>
        <w:t>) devido ao fato de a ortogonalidade não ser imposta, a função impulso-resposta generalizada permite interpretar de forma mais acurada a resposta do impacto inicial decorrente de cada choque causado por uma variável sobre as demais.</w:t>
      </w:r>
    </w:p>
    <w:p w:rsidR="004F7A6D" w:rsidRDefault="004F7A6D" w:rsidP="00230341">
      <w:pPr>
        <w:spacing w:after="0" w:line="360" w:lineRule="auto"/>
        <w:ind w:firstLine="708"/>
        <w:contextualSpacing/>
        <w:jc w:val="both"/>
        <w:rPr>
          <w:rFonts w:ascii="Times New Roman" w:hAnsi="Times New Roman" w:cs="Times New Roman"/>
          <w:sz w:val="24"/>
          <w:szCs w:val="24"/>
          <w:shd w:val="clear" w:color="auto" w:fill="FFFFFF"/>
        </w:rPr>
      </w:pPr>
      <w:r w:rsidRPr="00E332D8">
        <w:rPr>
          <w:rFonts w:ascii="Times New Roman" w:hAnsi="Times New Roman" w:cs="Times New Roman"/>
          <w:sz w:val="24"/>
          <w:szCs w:val="24"/>
          <w:shd w:val="clear" w:color="auto" w:fill="FFFFFF"/>
        </w:rPr>
        <w:t>A decomposição da variância dos erros de previsão mostra a evolução do comportamento dinâmico apresentado pelas variáveis do sistema econômico, ao longo do tempo, isto é, permite separar a variância dos erros de previsão para cada variável em componentes que podem ser atribuídos por ela própria e pelas demais variáveis endógenas, isoladamente apresentando, em termos percentuais, qual o efeito que um choque não antecipado sobre determinada variável tem sobre ela própria e sobre as demais variáveis pertencentes ao sistema.</w:t>
      </w:r>
    </w:p>
    <w:p w:rsidR="001F5775" w:rsidRPr="00E332D8" w:rsidRDefault="001F5775" w:rsidP="00230341">
      <w:pPr>
        <w:spacing w:after="0" w:line="360" w:lineRule="auto"/>
        <w:ind w:firstLine="708"/>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estabilidade dinâmica de um processo autorregressivo pode ser verificada a partir da análise do comportamento das raízes inversas do polinômio característico de um sistema VAR (LÜTKEPOHL, 1991), de acordo com o seguinte entendimento: (i) se todas as raízes do polinômio característico se encontrarem dentro do círculo unitário, o sistema será estável, </w:t>
      </w:r>
      <w:r>
        <w:rPr>
          <w:rFonts w:ascii="Times New Roman" w:hAnsi="Times New Roman" w:cs="Times New Roman"/>
          <w:sz w:val="24"/>
          <w:szCs w:val="24"/>
          <w:shd w:val="clear" w:color="auto" w:fill="FFFFFF"/>
        </w:rPr>
        <w:lastRenderedPageBreak/>
        <w:t xml:space="preserve">uma vez que todas as raízes devem ter módulo menor do que </w:t>
      </w:r>
      <w:proofErr w:type="gramStart"/>
      <w:r>
        <w:rPr>
          <w:rFonts w:ascii="Times New Roman" w:hAnsi="Times New Roman" w:cs="Times New Roman"/>
          <w:sz w:val="24"/>
          <w:szCs w:val="24"/>
          <w:shd w:val="clear" w:color="auto" w:fill="FFFFFF"/>
        </w:rPr>
        <w:t>1</w:t>
      </w:r>
      <w:proofErr w:type="gramEnd"/>
      <w:r>
        <w:rPr>
          <w:rFonts w:ascii="Times New Roman" w:hAnsi="Times New Roman" w:cs="Times New Roman"/>
          <w:sz w:val="24"/>
          <w:szCs w:val="24"/>
          <w:shd w:val="clear" w:color="auto" w:fill="FFFFFF"/>
        </w:rPr>
        <w:t xml:space="preserve"> (um); (ii) se alguma das raízes do polinômio característico estiverem fora do círculo unitário, isto é, apresentarem módulo maior do que 1 (um), então o sistema é instável, com um comportamento de divergência explosiva e; (iii) se, ao menos uma das raízes encontrar-se sobre o círculo unitário, então o sistema é </w:t>
      </w:r>
      <w:r w:rsidR="003F0E5C">
        <w:rPr>
          <w:rFonts w:ascii="Times New Roman" w:hAnsi="Times New Roman" w:cs="Times New Roman"/>
          <w:sz w:val="24"/>
          <w:szCs w:val="24"/>
          <w:shd w:val="clear" w:color="auto" w:fill="FFFFFF"/>
        </w:rPr>
        <w:t>não estacionário, podendo apresentar uma trajetória de tendência estocástica ou um passeio aleatório (BIAGE, CORREA e NEDER, 2008).</w:t>
      </w:r>
    </w:p>
    <w:p w:rsidR="00942312" w:rsidRPr="00E332D8" w:rsidRDefault="00942312" w:rsidP="00E3088B">
      <w:pPr>
        <w:autoSpaceDE w:val="0"/>
        <w:autoSpaceDN w:val="0"/>
        <w:adjustRightInd w:val="0"/>
        <w:spacing w:after="0" w:line="360" w:lineRule="auto"/>
        <w:contextualSpacing/>
        <w:jc w:val="both"/>
        <w:rPr>
          <w:rFonts w:ascii="Times New Roman" w:hAnsi="Times New Roman" w:cs="Times New Roman"/>
          <w:sz w:val="24"/>
          <w:szCs w:val="24"/>
        </w:rPr>
      </w:pPr>
      <w:r w:rsidRPr="00E332D8">
        <w:rPr>
          <w:rFonts w:ascii="Times New Roman" w:hAnsi="Times New Roman" w:cs="Times New Roman"/>
          <w:sz w:val="24"/>
          <w:szCs w:val="24"/>
        </w:rPr>
        <w:tab/>
      </w:r>
    </w:p>
    <w:p w:rsidR="00004894" w:rsidRPr="00E332D8" w:rsidRDefault="00FE4276" w:rsidP="002303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004894" w:rsidRPr="00E332D8">
        <w:rPr>
          <w:rFonts w:ascii="Times New Roman" w:hAnsi="Times New Roman" w:cs="Times New Roman"/>
          <w:b/>
          <w:sz w:val="24"/>
          <w:szCs w:val="24"/>
        </w:rPr>
        <w:t>. Descrição dos Dados e Tratamento das Variáveis</w:t>
      </w:r>
    </w:p>
    <w:p w:rsidR="00004894" w:rsidRPr="00E332D8" w:rsidRDefault="00004894" w:rsidP="00230341">
      <w:pPr>
        <w:autoSpaceDE w:val="0"/>
        <w:autoSpaceDN w:val="0"/>
        <w:adjustRightInd w:val="0"/>
        <w:spacing w:after="0" w:line="360" w:lineRule="auto"/>
        <w:jc w:val="both"/>
        <w:rPr>
          <w:rFonts w:ascii="Times New Roman" w:hAnsi="Times New Roman" w:cs="Times New Roman"/>
          <w:sz w:val="24"/>
          <w:szCs w:val="24"/>
        </w:rPr>
      </w:pPr>
    </w:p>
    <w:p w:rsidR="00004894" w:rsidRPr="00E332D8" w:rsidRDefault="00004894" w:rsidP="00B50A33">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Os dados utilizados no estudo foram obtidos no sítio eletrônico do Instituto Brasileiro de Geografia e Estatística (IBGE</w:t>
      </w:r>
      <w:proofErr w:type="gramStart"/>
      <w:r w:rsidRPr="00E332D8">
        <w:rPr>
          <w:rFonts w:ascii="Times New Roman" w:hAnsi="Times New Roman" w:cs="Times New Roman"/>
          <w:sz w:val="24"/>
          <w:szCs w:val="24"/>
        </w:rPr>
        <w:t>)</w:t>
      </w:r>
      <w:proofErr w:type="gramEnd"/>
      <w:r w:rsidR="00B50A33" w:rsidRPr="00E332D8">
        <w:rPr>
          <w:rStyle w:val="Refdenotaderodap"/>
          <w:rFonts w:ascii="Times New Roman" w:hAnsi="Times New Roman" w:cs="Times New Roman"/>
          <w:sz w:val="24"/>
          <w:szCs w:val="24"/>
        </w:rPr>
        <w:footnoteReference w:id="1"/>
      </w:r>
      <w:r w:rsidR="00B50A33" w:rsidRPr="00E332D8">
        <w:rPr>
          <w:rFonts w:ascii="Times New Roman" w:hAnsi="Times New Roman" w:cs="Times New Roman"/>
          <w:sz w:val="24"/>
          <w:szCs w:val="24"/>
        </w:rPr>
        <w:t xml:space="preserve"> e no</w:t>
      </w:r>
      <w:r w:rsidR="00B50A33" w:rsidRPr="00E332D8">
        <w:rPr>
          <w:rFonts w:ascii="Times New Roman" w:eastAsiaTheme="minorHAnsi" w:hAnsi="Times New Roman" w:cs="Times New Roman"/>
          <w:sz w:val="24"/>
          <w:szCs w:val="24"/>
          <w:lang w:eastAsia="en-US"/>
        </w:rPr>
        <w:t xml:space="preserve"> sítio eletrônico do Instituto de Pesquisa Econômica Aplicada (IPEA)</w:t>
      </w:r>
      <w:r w:rsidR="00B50A33" w:rsidRPr="00E332D8">
        <w:rPr>
          <w:rStyle w:val="Refdenotaderodap"/>
          <w:rFonts w:ascii="Times New Roman" w:eastAsiaTheme="minorHAnsi" w:hAnsi="Times New Roman" w:cs="Times New Roman"/>
          <w:sz w:val="24"/>
          <w:szCs w:val="24"/>
          <w:lang w:eastAsia="en-US"/>
        </w:rPr>
        <w:footnoteReference w:id="2"/>
      </w:r>
      <w:r w:rsidRPr="00E332D8">
        <w:rPr>
          <w:rFonts w:ascii="Times New Roman" w:hAnsi="Times New Roman" w:cs="Times New Roman"/>
          <w:sz w:val="24"/>
          <w:szCs w:val="24"/>
        </w:rPr>
        <w:t xml:space="preserve">. A amostra é constituída de dados trimestrais </w:t>
      </w:r>
      <w:r w:rsidR="006D1DEA" w:rsidRPr="00E332D8">
        <w:rPr>
          <w:rFonts w:ascii="Times New Roman" w:hAnsi="Times New Roman" w:cs="Times New Roman"/>
          <w:sz w:val="24"/>
          <w:szCs w:val="24"/>
        </w:rPr>
        <w:t xml:space="preserve">abrangendo o </w:t>
      </w:r>
      <w:r w:rsidRPr="00E332D8">
        <w:rPr>
          <w:rFonts w:ascii="Times New Roman" w:hAnsi="Times New Roman" w:cs="Times New Roman"/>
          <w:sz w:val="24"/>
          <w:szCs w:val="24"/>
        </w:rPr>
        <w:t xml:space="preserve">primeiro trimestre de 1995 </w:t>
      </w:r>
      <w:r w:rsidR="006D1DEA" w:rsidRPr="00E332D8">
        <w:rPr>
          <w:rFonts w:ascii="Times New Roman" w:hAnsi="Times New Roman" w:cs="Times New Roman"/>
          <w:sz w:val="24"/>
          <w:szCs w:val="24"/>
        </w:rPr>
        <w:t xml:space="preserve">até </w:t>
      </w:r>
      <w:r w:rsidRPr="00E332D8">
        <w:rPr>
          <w:rFonts w:ascii="Times New Roman" w:hAnsi="Times New Roman" w:cs="Times New Roman"/>
          <w:sz w:val="24"/>
          <w:szCs w:val="24"/>
        </w:rPr>
        <w:t xml:space="preserve">o segundo trimestre de 2012. </w:t>
      </w:r>
    </w:p>
    <w:p w:rsidR="00B50A33" w:rsidRPr="00E332D8" w:rsidRDefault="00B50A33" w:rsidP="00B50A33">
      <w:pPr>
        <w:autoSpaceDE w:val="0"/>
        <w:autoSpaceDN w:val="0"/>
        <w:adjustRightInd w:val="0"/>
        <w:spacing w:line="360" w:lineRule="auto"/>
        <w:ind w:firstLine="709"/>
        <w:contextualSpacing/>
        <w:jc w:val="both"/>
        <w:rPr>
          <w:rFonts w:ascii="Times New Roman" w:hAnsi="Times New Roman" w:cs="Times New Roman"/>
          <w:bCs/>
          <w:sz w:val="24"/>
          <w:szCs w:val="24"/>
        </w:rPr>
      </w:pPr>
      <w:r w:rsidRPr="00E332D8">
        <w:rPr>
          <w:rFonts w:ascii="Times New Roman" w:eastAsiaTheme="minorHAnsi" w:hAnsi="Times New Roman" w:cs="Times New Roman"/>
          <w:sz w:val="24"/>
          <w:szCs w:val="24"/>
          <w:lang w:eastAsia="en-US"/>
        </w:rPr>
        <w:t>A série do Produto Interno Bruto (PIB), em valores correntes (R$ milhões), é a soma de todos os bens e serviços finais produzidos na economia (dentro do território nacional) durante determinado período de tempo. Já a série de Investimento Agregado, em valores correntes (R$ milhões),</w:t>
      </w:r>
      <w:r w:rsidR="00F02817" w:rsidRPr="00E332D8">
        <w:rPr>
          <w:rFonts w:ascii="Times New Roman" w:eastAsiaTheme="minorHAnsi" w:hAnsi="Times New Roman" w:cs="Times New Roman"/>
          <w:sz w:val="24"/>
          <w:szCs w:val="24"/>
          <w:lang w:eastAsia="en-US"/>
        </w:rPr>
        <w:t xml:space="preserve"> </w:t>
      </w:r>
      <w:r w:rsidRPr="00E332D8">
        <w:rPr>
          <w:rFonts w:ascii="Times New Roman" w:eastAsiaTheme="minorHAnsi" w:hAnsi="Times New Roman" w:cs="Times New Roman"/>
          <w:sz w:val="24"/>
          <w:szCs w:val="24"/>
          <w:lang w:eastAsia="en-US"/>
        </w:rPr>
        <w:t xml:space="preserve">corresponde à soma da formação bruta de capital fixo mais a variação de estoques das firmas nessa economia. </w:t>
      </w:r>
      <w:r w:rsidR="00F42AFE" w:rsidRPr="00E332D8">
        <w:rPr>
          <w:rFonts w:ascii="Times New Roman" w:eastAsiaTheme="minorHAnsi" w:hAnsi="Times New Roman" w:cs="Times New Roman"/>
          <w:sz w:val="24"/>
          <w:szCs w:val="24"/>
          <w:lang w:eastAsia="en-US"/>
        </w:rPr>
        <w:t xml:space="preserve"> </w:t>
      </w:r>
      <w:r w:rsidRPr="00E332D8">
        <w:rPr>
          <w:rFonts w:ascii="Times New Roman" w:eastAsiaTheme="minorHAnsi" w:hAnsi="Times New Roman" w:cs="Times New Roman"/>
          <w:sz w:val="24"/>
          <w:szCs w:val="24"/>
          <w:lang w:eastAsia="en-US"/>
        </w:rPr>
        <w:t>Essa</w:t>
      </w:r>
      <w:r w:rsidR="00F42AFE" w:rsidRPr="00E332D8">
        <w:rPr>
          <w:rFonts w:ascii="Times New Roman" w:eastAsiaTheme="minorHAnsi" w:hAnsi="Times New Roman" w:cs="Times New Roman"/>
          <w:sz w:val="24"/>
          <w:szCs w:val="24"/>
          <w:lang w:eastAsia="en-US"/>
        </w:rPr>
        <w:t>s duas</w:t>
      </w:r>
      <w:r w:rsidRPr="00E332D8">
        <w:rPr>
          <w:rFonts w:ascii="Times New Roman" w:eastAsiaTheme="minorHAnsi" w:hAnsi="Times New Roman" w:cs="Times New Roman"/>
          <w:sz w:val="24"/>
          <w:szCs w:val="24"/>
          <w:lang w:eastAsia="en-US"/>
        </w:rPr>
        <w:t xml:space="preserve"> série</w:t>
      </w:r>
      <w:r w:rsidR="00F42AFE" w:rsidRPr="00E332D8">
        <w:rPr>
          <w:rFonts w:ascii="Times New Roman" w:eastAsiaTheme="minorHAnsi" w:hAnsi="Times New Roman" w:cs="Times New Roman"/>
          <w:sz w:val="24"/>
          <w:szCs w:val="24"/>
          <w:lang w:eastAsia="en-US"/>
        </w:rPr>
        <w:t>s</w:t>
      </w:r>
      <w:r w:rsidRPr="00E332D8">
        <w:rPr>
          <w:rFonts w:ascii="Times New Roman" w:eastAsiaTheme="minorHAnsi" w:hAnsi="Times New Roman" w:cs="Times New Roman"/>
          <w:sz w:val="24"/>
          <w:szCs w:val="24"/>
          <w:lang w:eastAsia="en-US"/>
        </w:rPr>
        <w:t xml:space="preserve"> tem como fonte primária o </w:t>
      </w:r>
      <w:r w:rsidRPr="00E332D8">
        <w:rPr>
          <w:rFonts w:ascii="Times New Roman" w:hAnsi="Times New Roman" w:cs="Times New Roman"/>
          <w:bCs/>
          <w:sz w:val="24"/>
          <w:szCs w:val="24"/>
        </w:rPr>
        <w:t>Instituto Brasileiro de Geografia e Estatística - Sistema de Contas Nacionais Referência 2000 (IBGE/SCN 2000 Anual).</w:t>
      </w:r>
    </w:p>
    <w:p w:rsidR="00F42AFE" w:rsidRDefault="00F42AFE" w:rsidP="00F65F76">
      <w:pPr>
        <w:autoSpaceDE w:val="0"/>
        <w:autoSpaceDN w:val="0"/>
        <w:adjustRightInd w:val="0"/>
        <w:spacing w:line="360" w:lineRule="auto"/>
        <w:ind w:firstLine="709"/>
        <w:contextualSpacing/>
        <w:jc w:val="both"/>
        <w:rPr>
          <w:rFonts w:ascii="Times New Roman" w:hAnsi="Times New Roman" w:cs="Times New Roman"/>
          <w:bCs/>
          <w:sz w:val="24"/>
          <w:szCs w:val="24"/>
        </w:rPr>
      </w:pPr>
      <w:r w:rsidRPr="00E332D8">
        <w:rPr>
          <w:rFonts w:ascii="Times New Roman" w:hAnsi="Times New Roman" w:cs="Times New Roman"/>
          <w:bCs/>
          <w:sz w:val="24"/>
          <w:szCs w:val="24"/>
        </w:rPr>
        <w:t>Além disso, a série de Poupança Agregada</w:t>
      </w:r>
      <w:r w:rsidRPr="00E332D8">
        <w:rPr>
          <w:rFonts w:ascii="Times New Roman" w:eastAsiaTheme="minorHAnsi" w:hAnsi="Times New Roman" w:cs="Times New Roman"/>
          <w:sz w:val="24"/>
          <w:szCs w:val="24"/>
          <w:lang w:eastAsia="en-US"/>
        </w:rPr>
        <w:t>, em valores correntes (R$ milhões),</w:t>
      </w:r>
      <w:r w:rsidRPr="00E332D8">
        <w:rPr>
          <w:rFonts w:ascii="Times New Roman" w:hAnsi="Times New Roman" w:cs="Times New Roman"/>
          <w:bCs/>
          <w:sz w:val="24"/>
          <w:szCs w:val="24"/>
        </w:rPr>
        <w:t xml:space="preserve"> corresponde à Poupança Nacional Bruta, obtida no IPEADATA, mas tendo como</w:t>
      </w:r>
      <w:r w:rsidRPr="00E332D8">
        <w:rPr>
          <w:rFonts w:ascii="Times New Roman" w:eastAsiaTheme="minorHAnsi" w:hAnsi="Times New Roman" w:cs="Times New Roman"/>
          <w:sz w:val="24"/>
          <w:szCs w:val="24"/>
          <w:lang w:eastAsia="en-US"/>
        </w:rPr>
        <w:t xml:space="preserve"> fonte primária o </w:t>
      </w:r>
      <w:r w:rsidRPr="00E332D8">
        <w:rPr>
          <w:rFonts w:ascii="Times New Roman" w:hAnsi="Times New Roman" w:cs="Times New Roman"/>
          <w:bCs/>
          <w:sz w:val="24"/>
          <w:szCs w:val="24"/>
        </w:rPr>
        <w:t>Instituto Brasileiro de Geografia e Estatística - Sistema de Contas Nacionais Referência 2000 (IBGE/SCN 2000 Anual).</w:t>
      </w:r>
    </w:p>
    <w:p w:rsidR="00444E21" w:rsidRPr="00E332D8" w:rsidRDefault="00444E21" w:rsidP="00F65F76">
      <w:pPr>
        <w:autoSpaceDE w:val="0"/>
        <w:autoSpaceDN w:val="0"/>
        <w:adjustRightInd w:val="0"/>
        <w:spacing w:line="36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É importante mencionar que o coeficiente de correlação entre poupança agregada e investimento agregado é alto </w:t>
      </w:r>
      <m:oMath>
        <m:d>
          <m:dPr>
            <m:ctrlPr>
              <w:rPr>
                <w:rFonts w:ascii="Cambria Math" w:hAnsi="Cambria Math"/>
                <w:sz w:val="24"/>
                <w:szCs w:val="24"/>
              </w:rPr>
            </m:ctrlPr>
          </m:dPr>
          <m:e>
            <m:r>
              <w:rPr>
                <w:rFonts w:ascii="Cambria Math" w:hAnsi="Cambria Math"/>
                <w:sz w:val="24"/>
                <w:szCs w:val="24"/>
              </w:rPr>
              <m:t>ρ</m:t>
            </m:r>
            <m:r>
              <m:rPr>
                <m:sty m:val="p"/>
              </m:rPr>
              <w:rPr>
                <w:rFonts w:ascii="Cambria Math" w:hAnsi="Cambria Math"/>
                <w:sz w:val="24"/>
                <w:szCs w:val="24"/>
              </w:rPr>
              <m:t>=0,89</m:t>
            </m:r>
          </m:e>
        </m:d>
      </m:oMath>
      <w:r>
        <w:rPr>
          <w:rFonts w:ascii="Times New Roman" w:hAnsi="Times New Roman" w:cs="Times New Roman"/>
          <w:sz w:val="24"/>
          <w:szCs w:val="24"/>
        </w:rPr>
        <w:t xml:space="preserve"> no caso brasileiro para o período analisado.</w:t>
      </w:r>
    </w:p>
    <w:p w:rsidR="006D1DEA" w:rsidRPr="00E332D8" w:rsidRDefault="006D1DEA" w:rsidP="00B50A33">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 xml:space="preserve">O tratamento dos dados ocorreu da seguinte forma. Primeiro, os valores nominais das séries de investimento agregado, poupança agregada e PIB foram deflacionadas pelo </w:t>
      </w:r>
      <w:r w:rsidR="00B50A33" w:rsidRPr="00E332D8">
        <w:rPr>
          <w:rFonts w:ascii="Times New Roman" w:hAnsi="Times New Roman" w:cs="Times New Roman"/>
          <w:bCs/>
          <w:sz w:val="24"/>
          <w:szCs w:val="24"/>
        </w:rPr>
        <w:t xml:space="preserve">Índice Geral de Preços – Disponibilidade Interna (IGP-DI, agosto de 1994 = 100) – o qual é calculado e divulgado originalmente pela Fundação Getulio Vargas, Conjuntura Econômica </w:t>
      </w:r>
      <w:r w:rsidR="00B50A33" w:rsidRPr="00E332D8">
        <w:rPr>
          <w:rFonts w:ascii="Times New Roman" w:hAnsi="Times New Roman" w:cs="Times New Roman"/>
          <w:bCs/>
          <w:sz w:val="24"/>
          <w:szCs w:val="24"/>
        </w:rPr>
        <w:lastRenderedPageBreak/>
        <w:t>(FGV/Conj. Econ. - IGP) e registra a inflação de preços desde matérias-primas agrícolas e industriais até bens e serviços finais</w:t>
      </w:r>
      <w:r w:rsidR="00B50A33" w:rsidRPr="00E332D8">
        <w:rPr>
          <w:rStyle w:val="Refdenotaderodap"/>
          <w:rFonts w:ascii="Times New Roman" w:hAnsi="Times New Roman" w:cs="Times New Roman"/>
          <w:bCs/>
          <w:sz w:val="24"/>
          <w:szCs w:val="24"/>
        </w:rPr>
        <w:footnoteReference w:id="3"/>
      </w:r>
      <w:r w:rsidR="00B50A33" w:rsidRPr="00E332D8">
        <w:rPr>
          <w:rFonts w:ascii="Times New Roman" w:hAnsi="Times New Roman" w:cs="Times New Roman"/>
          <w:bCs/>
          <w:sz w:val="24"/>
          <w:szCs w:val="24"/>
        </w:rPr>
        <w:t>.</w:t>
      </w:r>
    </w:p>
    <w:p w:rsidR="00203E86" w:rsidRPr="00E332D8" w:rsidRDefault="00203E86" w:rsidP="00C00750">
      <w:pPr>
        <w:spacing w:line="360" w:lineRule="auto"/>
        <w:ind w:firstLine="706"/>
        <w:contextualSpacing/>
        <w:jc w:val="both"/>
        <w:rPr>
          <w:rFonts w:ascii="Times New Roman" w:hAnsi="Times New Roman" w:cs="Times New Roman"/>
          <w:sz w:val="24"/>
          <w:szCs w:val="24"/>
        </w:rPr>
      </w:pPr>
      <w:r w:rsidRPr="00E332D8">
        <w:rPr>
          <w:rFonts w:ascii="Times New Roman" w:hAnsi="Times New Roman" w:cs="Times New Roman"/>
          <w:sz w:val="24"/>
          <w:szCs w:val="24"/>
        </w:rPr>
        <w:t xml:space="preserve">Em seguida, essas novas séries em termos reais são ajustadas sazonalmente pelo método </w:t>
      </w:r>
      <w:proofErr w:type="spellStart"/>
      <w:r w:rsidRPr="00E332D8">
        <w:rPr>
          <w:rFonts w:ascii="Times New Roman" w:hAnsi="Times New Roman" w:cs="Times New Roman"/>
          <w:sz w:val="24"/>
          <w:szCs w:val="24"/>
        </w:rPr>
        <w:t>Census</w:t>
      </w:r>
      <w:proofErr w:type="spellEnd"/>
      <w:r w:rsidRPr="00E332D8">
        <w:rPr>
          <w:rFonts w:ascii="Times New Roman" w:hAnsi="Times New Roman" w:cs="Times New Roman"/>
          <w:sz w:val="24"/>
          <w:szCs w:val="24"/>
        </w:rPr>
        <w:t xml:space="preserve"> X-12. </w:t>
      </w:r>
      <w:r w:rsidR="00C00750" w:rsidRPr="00E332D8">
        <w:rPr>
          <w:rFonts w:ascii="Times New Roman" w:hAnsi="Times New Roman" w:cs="Times New Roman"/>
          <w:sz w:val="24"/>
          <w:szCs w:val="24"/>
        </w:rPr>
        <w:t>O investimento bruto e a poupança nacional bruta são apresentados como a razão da poupança nacional bruta pelo PIB e a razão do investimento bruto pelo PIB, respectivamente. Na etapa final, essas duas novas séries são convertidas</w:t>
      </w:r>
      <w:r w:rsidRPr="00E332D8">
        <w:rPr>
          <w:rFonts w:ascii="Times New Roman" w:hAnsi="Times New Roman" w:cs="Times New Roman"/>
          <w:sz w:val="24"/>
          <w:szCs w:val="24"/>
        </w:rPr>
        <w:t xml:space="preserve"> na forma </w:t>
      </w:r>
      <w:r w:rsidR="00C00750" w:rsidRPr="00E332D8">
        <w:rPr>
          <w:rFonts w:ascii="Times New Roman" w:hAnsi="Times New Roman" w:cs="Times New Roman"/>
          <w:sz w:val="24"/>
          <w:szCs w:val="24"/>
        </w:rPr>
        <w:t>de logaritmos naturais, de modo que os coeficientes estimados podem ser interpretados como elasticidades.</w:t>
      </w:r>
    </w:p>
    <w:p w:rsidR="00004894" w:rsidRDefault="00570C64" w:rsidP="00570C64">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A</w:t>
      </w:r>
      <w:r w:rsidR="00004894" w:rsidRPr="00E332D8">
        <w:rPr>
          <w:rFonts w:ascii="Times New Roman" w:hAnsi="Times New Roman" w:cs="Times New Roman"/>
          <w:sz w:val="24"/>
          <w:szCs w:val="24"/>
        </w:rPr>
        <w:t xml:space="preserve"> Figura 1 </w:t>
      </w:r>
      <w:r w:rsidRPr="00E332D8">
        <w:rPr>
          <w:rFonts w:ascii="Times New Roman" w:hAnsi="Times New Roman" w:cs="Times New Roman"/>
          <w:sz w:val="24"/>
          <w:szCs w:val="24"/>
        </w:rPr>
        <w:t xml:space="preserve">a seguir mostra a trajetória das variáveis Investimento/PIB e Poupança/PIB, em termos reais e dessazonalizadas. </w:t>
      </w:r>
      <w:r w:rsidR="00AD2648" w:rsidRPr="00E332D8">
        <w:rPr>
          <w:rFonts w:ascii="Times New Roman" w:hAnsi="Times New Roman" w:cs="Times New Roman"/>
          <w:sz w:val="24"/>
          <w:szCs w:val="24"/>
        </w:rPr>
        <w:t>N</w:t>
      </w:r>
      <w:r w:rsidR="00004894" w:rsidRPr="00E332D8">
        <w:rPr>
          <w:rFonts w:ascii="Times New Roman" w:hAnsi="Times New Roman" w:cs="Times New Roman"/>
          <w:sz w:val="24"/>
          <w:szCs w:val="24"/>
        </w:rPr>
        <w:t xml:space="preserve">ota-se um crescimento a níveis mais altos do investimento em relação à poupança. </w:t>
      </w:r>
    </w:p>
    <w:p w:rsidR="00E06DD2" w:rsidRDefault="00E06DD2" w:rsidP="00570C64">
      <w:pPr>
        <w:autoSpaceDE w:val="0"/>
        <w:autoSpaceDN w:val="0"/>
        <w:adjustRightInd w:val="0"/>
        <w:spacing w:after="0" w:line="360" w:lineRule="auto"/>
        <w:ind w:firstLine="708"/>
        <w:jc w:val="both"/>
        <w:rPr>
          <w:rFonts w:ascii="Times New Roman" w:hAnsi="Times New Roman" w:cs="Times New Roman"/>
          <w:sz w:val="24"/>
          <w:szCs w:val="24"/>
        </w:rPr>
      </w:pPr>
    </w:p>
    <w:p w:rsidR="00E06DD2" w:rsidRPr="00E332D8" w:rsidRDefault="00E06DD2" w:rsidP="00F02817">
      <w:pPr>
        <w:spacing w:line="240" w:lineRule="auto"/>
        <w:ind w:left="851" w:right="1134"/>
        <w:contextualSpacing/>
        <w:jc w:val="both"/>
        <w:rPr>
          <w:rFonts w:ascii="Times New Roman" w:hAnsi="Times New Roman" w:cs="Times New Roman"/>
          <w:noProof/>
          <w:sz w:val="24"/>
          <w:szCs w:val="24"/>
        </w:rPr>
      </w:pPr>
      <w:r w:rsidRPr="00586953">
        <w:rPr>
          <w:rFonts w:ascii="Times New Roman" w:hAnsi="Times New Roman" w:cs="Times New Roman"/>
          <w:b/>
          <w:noProof/>
          <w:sz w:val="24"/>
          <w:szCs w:val="24"/>
        </w:rPr>
        <w:t>Figura 1</w:t>
      </w:r>
      <w:r w:rsidRPr="00586953">
        <w:rPr>
          <w:rFonts w:ascii="Times New Roman" w:hAnsi="Times New Roman" w:cs="Times New Roman"/>
          <w:noProof/>
          <w:sz w:val="24"/>
          <w:szCs w:val="24"/>
        </w:rPr>
        <w:t>: Evolução das variáveis Poupança/PIB e Investimento/PIB, em termos reais, dessazonaliz</w:t>
      </w:r>
      <w:r>
        <w:rPr>
          <w:rFonts w:ascii="Times New Roman" w:hAnsi="Times New Roman" w:cs="Times New Roman"/>
          <w:noProof/>
          <w:sz w:val="24"/>
          <w:szCs w:val="24"/>
        </w:rPr>
        <w:t>ada, no período de 1995 a 2012.</w:t>
      </w:r>
    </w:p>
    <w:p w:rsidR="0053101C" w:rsidRDefault="00E06DD2" w:rsidP="005E5C38">
      <w:pPr>
        <w:spacing w:line="240" w:lineRule="auto"/>
        <w:ind w:left="851" w:right="1132"/>
        <w:jc w:val="both"/>
        <w:rPr>
          <w:rFonts w:ascii="Times New Roman" w:hAnsi="Times New Roman" w:cs="Times New Roman"/>
          <w:noProof/>
          <w:sz w:val="20"/>
          <w:szCs w:val="20"/>
        </w:rPr>
      </w:pPr>
      <w:r w:rsidRPr="00586953">
        <w:object w:dxaOrig="7380" w:dyaOrig="5085">
          <v:shape id="_x0000_i1034" type="#_x0000_t75" style="width:369pt;height:255.5pt" o:ole="">
            <v:imagedata r:id="rId28" o:title=""/>
          </v:shape>
          <o:OLEObject Type="Embed" ProgID="EViews.Workfile.2" ShapeID="_x0000_i1034" DrawAspect="Content" ObjectID="_1441999447" r:id="rId29"/>
        </w:object>
      </w:r>
      <w:r w:rsidRPr="00586953">
        <w:rPr>
          <w:rFonts w:ascii="Times New Roman" w:hAnsi="Times New Roman" w:cs="Times New Roman"/>
          <w:b/>
          <w:noProof/>
          <w:sz w:val="20"/>
          <w:szCs w:val="20"/>
        </w:rPr>
        <w:t>Nota</w:t>
      </w:r>
      <w:r>
        <w:rPr>
          <w:rFonts w:ascii="Times New Roman" w:hAnsi="Times New Roman" w:cs="Times New Roman"/>
          <w:noProof/>
          <w:sz w:val="20"/>
          <w:szCs w:val="20"/>
        </w:rPr>
        <w:t>: Elaboração dos autores.</w:t>
      </w:r>
    </w:p>
    <w:p w:rsidR="005E5C38" w:rsidRDefault="005E5C38" w:rsidP="005E5C38">
      <w:pPr>
        <w:spacing w:line="240" w:lineRule="auto"/>
        <w:ind w:left="851" w:right="1132"/>
        <w:jc w:val="both"/>
        <w:rPr>
          <w:rFonts w:ascii="Times New Roman" w:hAnsi="Times New Roman" w:cs="Times New Roman"/>
          <w:noProof/>
          <w:sz w:val="20"/>
          <w:szCs w:val="20"/>
        </w:rPr>
      </w:pPr>
    </w:p>
    <w:p w:rsidR="001A743E" w:rsidRDefault="001A743E" w:rsidP="005E5C38">
      <w:pPr>
        <w:spacing w:line="240" w:lineRule="auto"/>
        <w:ind w:left="851" w:right="1132"/>
        <w:jc w:val="both"/>
        <w:rPr>
          <w:rFonts w:ascii="Times New Roman" w:hAnsi="Times New Roman" w:cs="Times New Roman"/>
          <w:noProof/>
          <w:sz w:val="20"/>
          <w:szCs w:val="20"/>
        </w:rPr>
      </w:pPr>
    </w:p>
    <w:p w:rsidR="001A743E" w:rsidRPr="00E06DD2" w:rsidRDefault="001A743E" w:rsidP="005E5C38">
      <w:pPr>
        <w:spacing w:line="240" w:lineRule="auto"/>
        <w:ind w:left="851" w:right="1132"/>
        <w:jc w:val="both"/>
        <w:rPr>
          <w:rFonts w:ascii="Times New Roman" w:hAnsi="Times New Roman" w:cs="Times New Roman"/>
          <w:noProof/>
          <w:sz w:val="20"/>
          <w:szCs w:val="20"/>
        </w:rPr>
      </w:pPr>
    </w:p>
    <w:p w:rsidR="001A3BB2" w:rsidRPr="00586953" w:rsidRDefault="00FE4276" w:rsidP="002303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004894" w:rsidRPr="00586953">
        <w:rPr>
          <w:rFonts w:ascii="Times New Roman" w:hAnsi="Times New Roman" w:cs="Times New Roman"/>
          <w:b/>
          <w:sz w:val="24"/>
          <w:szCs w:val="24"/>
        </w:rPr>
        <w:t xml:space="preserve">. Análise dos </w:t>
      </w:r>
      <w:r w:rsidR="001A3BB2" w:rsidRPr="00586953">
        <w:rPr>
          <w:rFonts w:ascii="Times New Roman" w:hAnsi="Times New Roman" w:cs="Times New Roman"/>
          <w:b/>
          <w:sz w:val="24"/>
          <w:szCs w:val="24"/>
        </w:rPr>
        <w:t>Resultados</w:t>
      </w:r>
    </w:p>
    <w:p w:rsidR="00B522BC" w:rsidRDefault="00B522BC" w:rsidP="00230341">
      <w:pPr>
        <w:spacing w:after="0" w:line="360" w:lineRule="auto"/>
        <w:jc w:val="both"/>
        <w:rPr>
          <w:rFonts w:ascii="Times New Roman" w:hAnsi="Times New Roman" w:cs="Times New Roman"/>
          <w:b/>
          <w:sz w:val="24"/>
          <w:szCs w:val="24"/>
        </w:rPr>
      </w:pPr>
    </w:p>
    <w:p w:rsidR="004B3779" w:rsidRDefault="001A3BB2" w:rsidP="004B3779">
      <w:pPr>
        <w:autoSpaceDE w:val="0"/>
        <w:autoSpaceDN w:val="0"/>
        <w:adjustRightInd w:val="0"/>
        <w:spacing w:after="0" w:line="360" w:lineRule="auto"/>
        <w:ind w:firstLine="708"/>
        <w:jc w:val="both"/>
        <w:rPr>
          <w:rFonts w:ascii="Times New Roman" w:hAnsi="Times New Roman" w:cs="Times New Roman"/>
          <w:sz w:val="24"/>
          <w:szCs w:val="24"/>
        </w:rPr>
      </w:pPr>
      <w:r w:rsidRPr="00586953">
        <w:rPr>
          <w:rFonts w:ascii="Times New Roman" w:hAnsi="Times New Roman" w:cs="Times New Roman"/>
          <w:sz w:val="24"/>
          <w:szCs w:val="24"/>
        </w:rPr>
        <w:t xml:space="preserve">A Tabela </w:t>
      </w:r>
      <w:r w:rsidR="00213F7C" w:rsidRPr="00586953">
        <w:rPr>
          <w:rFonts w:ascii="Times New Roman" w:hAnsi="Times New Roman" w:cs="Times New Roman"/>
          <w:sz w:val="24"/>
          <w:szCs w:val="24"/>
        </w:rPr>
        <w:t>1</w:t>
      </w:r>
      <w:r w:rsidRPr="00586953">
        <w:rPr>
          <w:rFonts w:ascii="Times New Roman" w:hAnsi="Times New Roman" w:cs="Times New Roman"/>
          <w:sz w:val="24"/>
          <w:szCs w:val="24"/>
        </w:rPr>
        <w:t xml:space="preserve"> mostra os resultados utilizando </w:t>
      </w:r>
      <w:r w:rsidR="00FF4628" w:rsidRPr="00586953">
        <w:rPr>
          <w:rFonts w:ascii="Times New Roman" w:hAnsi="Times New Roman" w:cs="Times New Roman"/>
          <w:sz w:val="24"/>
          <w:szCs w:val="24"/>
        </w:rPr>
        <w:t xml:space="preserve">o Teste de </w:t>
      </w:r>
      <w:proofErr w:type="spellStart"/>
      <w:r w:rsidR="00FF4628" w:rsidRPr="00586953">
        <w:rPr>
          <w:rFonts w:ascii="Times New Roman" w:hAnsi="Times New Roman" w:cs="Times New Roman"/>
          <w:sz w:val="24"/>
          <w:szCs w:val="24"/>
          <w:lang w:val="es-ES_tradnl"/>
        </w:rPr>
        <w:t>Saikkonen</w:t>
      </w:r>
      <w:proofErr w:type="spellEnd"/>
      <w:r w:rsidR="00FF4628" w:rsidRPr="00586953">
        <w:rPr>
          <w:rFonts w:ascii="Times New Roman" w:hAnsi="Times New Roman" w:cs="Times New Roman"/>
          <w:sz w:val="24"/>
          <w:szCs w:val="24"/>
          <w:lang w:val="es-ES_tradnl"/>
        </w:rPr>
        <w:t xml:space="preserve"> e Lütkepohl (2002) </w:t>
      </w:r>
      <w:proofErr w:type="spellStart"/>
      <w:r w:rsidR="00FF4628" w:rsidRPr="00586953">
        <w:rPr>
          <w:rFonts w:ascii="Times New Roman" w:hAnsi="Times New Roman" w:cs="Times New Roman"/>
          <w:sz w:val="24"/>
          <w:szCs w:val="24"/>
          <w:lang w:val="es-ES_tradnl"/>
        </w:rPr>
        <w:t>com</w:t>
      </w:r>
      <w:proofErr w:type="spellEnd"/>
      <w:r w:rsidR="00FF4628" w:rsidRPr="00586953">
        <w:rPr>
          <w:rFonts w:ascii="Times New Roman" w:hAnsi="Times New Roman" w:cs="Times New Roman"/>
          <w:sz w:val="24"/>
          <w:szCs w:val="24"/>
          <w:lang w:val="es-ES_tradnl"/>
        </w:rPr>
        <w:t xml:space="preserve"> </w:t>
      </w:r>
      <w:proofErr w:type="spellStart"/>
      <w:r w:rsidR="00FF4628" w:rsidRPr="00586953">
        <w:rPr>
          <w:rFonts w:ascii="Times New Roman" w:hAnsi="Times New Roman" w:cs="Times New Roman"/>
          <w:sz w:val="24"/>
          <w:szCs w:val="24"/>
          <w:lang w:val="es-ES_tradnl"/>
        </w:rPr>
        <w:t>quebra</w:t>
      </w:r>
      <w:proofErr w:type="spellEnd"/>
      <w:r w:rsidR="00FF4628" w:rsidRPr="00586953">
        <w:rPr>
          <w:rFonts w:ascii="Times New Roman" w:hAnsi="Times New Roman" w:cs="Times New Roman"/>
          <w:sz w:val="24"/>
          <w:szCs w:val="24"/>
          <w:lang w:val="es-ES_tradnl"/>
        </w:rPr>
        <w:t xml:space="preserve"> </w:t>
      </w:r>
      <w:proofErr w:type="spellStart"/>
      <w:r w:rsidR="00FF4628" w:rsidRPr="00586953">
        <w:rPr>
          <w:rFonts w:ascii="Times New Roman" w:hAnsi="Times New Roman" w:cs="Times New Roman"/>
          <w:sz w:val="24"/>
          <w:szCs w:val="24"/>
          <w:lang w:val="es-ES_tradnl"/>
        </w:rPr>
        <w:t>estrutural</w:t>
      </w:r>
      <w:proofErr w:type="spellEnd"/>
      <w:r w:rsidR="00FF4628" w:rsidRPr="00586953">
        <w:rPr>
          <w:rFonts w:ascii="Times New Roman" w:hAnsi="Times New Roman" w:cs="Times New Roman"/>
          <w:sz w:val="24"/>
          <w:szCs w:val="24"/>
          <w:lang w:val="es-ES_tradnl"/>
        </w:rPr>
        <w:t xml:space="preserve"> endógena, considerando-se três tipos de </w:t>
      </w:r>
      <w:proofErr w:type="spellStart"/>
      <w:r w:rsidR="00FF4628" w:rsidRPr="00586953">
        <w:rPr>
          <w:rFonts w:ascii="Times New Roman" w:hAnsi="Times New Roman" w:cs="Times New Roman"/>
          <w:sz w:val="24"/>
          <w:szCs w:val="24"/>
          <w:lang w:val="es-ES_tradnl"/>
        </w:rPr>
        <w:t>quebra</w:t>
      </w:r>
      <w:proofErr w:type="spellEnd"/>
      <w:r w:rsidR="00FF4628" w:rsidRPr="00586953">
        <w:rPr>
          <w:rFonts w:ascii="Times New Roman" w:hAnsi="Times New Roman" w:cs="Times New Roman"/>
          <w:sz w:val="24"/>
          <w:szCs w:val="24"/>
          <w:lang w:val="es-ES_tradnl"/>
        </w:rPr>
        <w:t xml:space="preserve"> </w:t>
      </w:r>
      <w:proofErr w:type="spellStart"/>
      <w:r w:rsidR="008B49E2" w:rsidRPr="00586953">
        <w:rPr>
          <w:rFonts w:ascii="Times New Roman" w:hAnsi="Times New Roman" w:cs="Times New Roman"/>
          <w:sz w:val="24"/>
          <w:szCs w:val="24"/>
          <w:lang w:val="es-ES_tradnl"/>
        </w:rPr>
        <w:t>estrutural</w:t>
      </w:r>
      <w:proofErr w:type="spellEnd"/>
      <w:r w:rsidR="008B49E2" w:rsidRPr="00586953">
        <w:rPr>
          <w:rFonts w:ascii="Times New Roman" w:hAnsi="Times New Roman" w:cs="Times New Roman"/>
          <w:sz w:val="24"/>
          <w:szCs w:val="24"/>
          <w:lang w:val="es-ES_tradnl"/>
        </w:rPr>
        <w:t xml:space="preserve"> </w:t>
      </w:r>
      <w:r w:rsidR="00FF4628" w:rsidRPr="00586953">
        <w:rPr>
          <w:rFonts w:ascii="Times New Roman" w:hAnsi="Times New Roman" w:cs="Times New Roman"/>
          <w:sz w:val="24"/>
          <w:szCs w:val="24"/>
          <w:lang w:val="es-ES_tradnl"/>
        </w:rPr>
        <w:t>(</w:t>
      </w:r>
      <w:proofErr w:type="spellStart"/>
      <w:r w:rsidR="00FF4628" w:rsidRPr="00586953">
        <w:rPr>
          <w:rFonts w:ascii="Times New Roman" w:hAnsi="Times New Roman" w:cs="Times New Roman"/>
          <w:i/>
          <w:sz w:val="24"/>
          <w:szCs w:val="24"/>
          <w:lang w:val="es-ES_tradnl"/>
        </w:rPr>
        <w:t>rational</w:t>
      </w:r>
      <w:proofErr w:type="spellEnd"/>
      <w:r w:rsidR="00FF4628" w:rsidRPr="00586953">
        <w:rPr>
          <w:rFonts w:ascii="Times New Roman" w:hAnsi="Times New Roman" w:cs="Times New Roman"/>
          <w:i/>
          <w:sz w:val="24"/>
          <w:szCs w:val="24"/>
          <w:lang w:val="es-ES_tradnl"/>
        </w:rPr>
        <w:t xml:space="preserve"> shift</w:t>
      </w:r>
      <w:r w:rsidR="00FF4628" w:rsidRPr="00586953">
        <w:rPr>
          <w:rFonts w:ascii="Times New Roman" w:hAnsi="Times New Roman" w:cs="Times New Roman"/>
          <w:sz w:val="24"/>
          <w:szCs w:val="24"/>
          <w:lang w:val="es-ES_tradnl"/>
        </w:rPr>
        <w:t xml:space="preserve">, </w:t>
      </w:r>
      <w:r w:rsidR="00FF4628" w:rsidRPr="00586953">
        <w:rPr>
          <w:rFonts w:ascii="Times New Roman" w:hAnsi="Times New Roman" w:cs="Times New Roman"/>
          <w:i/>
          <w:sz w:val="24"/>
          <w:szCs w:val="24"/>
          <w:lang w:val="es-ES_tradnl"/>
        </w:rPr>
        <w:t>dummy shift</w:t>
      </w:r>
      <w:r w:rsidR="00FF4628" w:rsidRPr="00586953">
        <w:rPr>
          <w:rFonts w:ascii="Times New Roman" w:hAnsi="Times New Roman" w:cs="Times New Roman"/>
          <w:sz w:val="24"/>
          <w:szCs w:val="24"/>
          <w:lang w:val="es-ES_tradnl"/>
        </w:rPr>
        <w:t xml:space="preserve"> e </w:t>
      </w:r>
      <w:r w:rsidR="00FF4628" w:rsidRPr="00586953">
        <w:rPr>
          <w:rFonts w:ascii="Times New Roman" w:hAnsi="Times New Roman" w:cs="Times New Roman"/>
          <w:i/>
          <w:sz w:val="24"/>
          <w:szCs w:val="24"/>
          <w:lang w:val="es-ES_tradnl"/>
        </w:rPr>
        <w:t>exponential shift</w:t>
      </w:r>
      <w:r w:rsidR="00FF4628" w:rsidRPr="00586953">
        <w:rPr>
          <w:rFonts w:ascii="Times New Roman" w:hAnsi="Times New Roman" w:cs="Times New Roman"/>
          <w:sz w:val="24"/>
          <w:szCs w:val="24"/>
          <w:lang w:val="es-ES_tradnl"/>
        </w:rPr>
        <w:t>).</w:t>
      </w:r>
      <w:r w:rsidR="004B3779">
        <w:rPr>
          <w:rFonts w:ascii="Times New Roman" w:hAnsi="Times New Roman" w:cs="Times New Roman"/>
          <w:sz w:val="24"/>
          <w:szCs w:val="24"/>
          <w:lang w:val="es-ES_tradnl"/>
        </w:rPr>
        <w:t xml:space="preserve"> </w:t>
      </w:r>
      <w:r w:rsidR="004B3779">
        <w:rPr>
          <w:rFonts w:ascii="Times New Roman" w:hAnsi="Times New Roman" w:cs="Times New Roman"/>
          <w:sz w:val="24"/>
          <w:szCs w:val="24"/>
        </w:rPr>
        <w:t>C</w:t>
      </w:r>
      <w:r w:rsidR="004B3779" w:rsidRPr="00586953">
        <w:rPr>
          <w:rFonts w:ascii="Times New Roman" w:hAnsi="Times New Roman" w:cs="Times New Roman"/>
          <w:sz w:val="24"/>
          <w:szCs w:val="24"/>
        </w:rPr>
        <w:t xml:space="preserve">onstatou-se a existência de duas quebras estruturais endógenas: 1999:03 e 1999:04. No tocante às datas da quebra selecionadas, o ano de 1999 foi marcado pela mudança de regime cambial na economia brasileira. </w:t>
      </w:r>
      <w:proofErr w:type="gramStart"/>
      <w:r w:rsidR="004B3779" w:rsidRPr="00586953">
        <w:rPr>
          <w:rFonts w:ascii="Times New Roman" w:hAnsi="Times New Roman" w:cs="Times New Roman"/>
          <w:sz w:val="24"/>
          <w:szCs w:val="24"/>
        </w:rPr>
        <w:t>Sob pressão</w:t>
      </w:r>
      <w:proofErr w:type="gramEnd"/>
      <w:r w:rsidR="004B3779" w:rsidRPr="00586953">
        <w:rPr>
          <w:rFonts w:ascii="Times New Roman" w:hAnsi="Times New Roman" w:cs="Times New Roman"/>
          <w:sz w:val="24"/>
          <w:szCs w:val="24"/>
        </w:rPr>
        <w:t xml:space="preserve"> de uma violenta crise cambial, resultante de um ataque especulativo contra a moeda nacional, o governo brasileiro abandonou o regime de câmbio fixo e adotou o regime de câmbio flutuante. </w:t>
      </w:r>
      <w:r w:rsidR="004B3779" w:rsidRPr="00586953">
        <w:rPr>
          <w:rFonts w:ascii="Times New Roman" w:hAnsi="Times New Roman"/>
          <w:sz w:val="24"/>
          <w:szCs w:val="24"/>
        </w:rPr>
        <w:t>Com a adoção do regime de câmbio flutuante e a perda da âncora cambial como referencial de preços, o Banco Central passou a adotar, a partir de julho de 1999, o sistema de Metas de Inflação como regra para a política monetária.</w:t>
      </w:r>
    </w:p>
    <w:p w:rsidR="001A3BB2" w:rsidRPr="00586953" w:rsidRDefault="001A3BB2" w:rsidP="00AD6B0B">
      <w:pPr>
        <w:pStyle w:val="Tabela"/>
        <w:rPr>
          <w:b w:val="0"/>
        </w:rPr>
      </w:pPr>
      <w:r w:rsidRPr="00586953">
        <w:t xml:space="preserve">Tabela </w:t>
      </w:r>
      <w:r w:rsidR="00213F7C" w:rsidRPr="00586953">
        <w:t>1</w:t>
      </w:r>
      <w:r w:rsidRPr="00586953">
        <w:t xml:space="preserve"> – </w:t>
      </w:r>
      <w:r w:rsidRPr="00586953">
        <w:rPr>
          <w:b w:val="0"/>
        </w:rPr>
        <w:t>Teste SL de Raiz Unitária com Quebra Estrutural Endógena</w:t>
      </w:r>
    </w:p>
    <w:tbl>
      <w:tblPr>
        <w:tblW w:w="7125" w:type="dxa"/>
        <w:jc w:val="center"/>
        <w:tblBorders>
          <w:top w:val="single" w:sz="4" w:space="0" w:color="auto"/>
          <w:bottom w:val="single" w:sz="4" w:space="0" w:color="auto"/>
          <w:insideH w:val="single" w:sz="4" w:space="0" w:color="auto"/>
          <w:insideV w:val="single" w:sz="4" w:space="0" w:color="auto"/>
        </w:tblBorders>
        <w:tblLook w:val="01E0"/>
      </w:tblPr>
      <w:tblGrid>
        <w:gridCol w:w="1096"/>
        <w:gridCol w:w="990"/>
        <w:gridCol w:w="2005"/>
        <w:gridCol w:w="1055"/>
        <w:gridCol w:w="1283"/>
        <w:gridCol w:w="696"/>
      </w:tblGrid>
      <w:tr w:rsidR="006D1DEA" w:rsidRPr="00586953" w:rsidTr="00DD04C4">
        <w:trPr>
          <w:jc w:val="center"/>
        </w:trPr>
        <w:tc>
          <w:tcPr>
            <w:tcW w:w="1096"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Variável</w:t>
            </w:r>
          </w:p>
        </w:tc>
        <w:tc>
          <w:tcPr>
            <w:tcW w:w="990"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Modelo</w:t>
            </w:r>
          </w:p>
        </w:tc>
        <w:tc>
          <w:tcPr>
            <w:tcW w:w="2005"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Tipo de Quebra</w:t>
            </w:r>
          </w:p>
        </w:tc>
        <w:tc>
          <w:tcPr>
            <w:tcW w:w="1055"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Data da Quebra</w:t>
            </w:r>
          </w:p>
        </w:tc>
        <w:tc>
          <w:tcPr>
            <w:tcW w:w="1283"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proofErr w:type="gramStart"/>
            <w:r w:rsidRPr="00DD04C4">
              <w:rPr>
                <w:rFonts w:ascii="Times New Roman" w:hAnsi="Times New Roman" w:cs="Times New Roman"/>
                <w:b/>
                <w:sz w:val="24"/>
                <w:szCs w:val="24"/>
              </w:rPr>
              <w:t>Estatística Teste</w:t>
            </w:r>
            <w:proofErr w:type="gramEnd"/>
          </w:p>
        </w:tc>
        <w:tc>
          <w:tcPr>
            <w:tcW w:w="0" w:type="auto"/>
            <w:vAlign w:val="center"/>
          </w:tcPr>
          <w:p w:rsidR="006D1DEA" w:rsidRPr="00DD04C4" w:rsidRDefault="006D1DEA" w:rsidP="00B4414D">
            <w:pPr>
              <w:spacing w:line="240" w:lineRule="auto"/>
              <w:contextualSpacing/>
              <w:jc w:val="center"/>
              <w:rPr>
                <w:rFonts w:ascii="Times New Roman" w:hAnsi="Times New Roman" w:cs="Times New Roman"/>
                <w:b/>
                <w:i/>
                <w:sz w:val="24"/>
                <w:szCs w:val="24"/>
              </w:rPr>
            </w:pPr>
            <w:r w:rsidRPr="00DD04C4">
              <w:rPr>
                <w:rFonts w:ascii="Times New Roman" w:hAnsi="Times New Roman" w:cs="Times New Roman"/>
                <w:b/>
                <w:i/>
                <w:sz w:val="24"/>
                <w:szCs w:val="24"/>
              </w:rPr>
              <w:t>Lags</w:t>
            </w:r>
          </w:p>
        </w:tc>
      </w:tr>
      <w:tr w:rsidR="006D1DEA" w:rsidRPr="00586953" w:rsidTr="00DD04C4">
        <w:trPr>
          <w:jc w:val="center"/>
        </w:trPr>
        <w:tc>
          <w:tcPr>
            <w:tcW w:w="1096" w:type="dxa"/>
            <w:vAlign w:val="center"/>
          </w:tcPr>
          <w:p w:rsidR="006D1DEA" w:rsidRPr="00DD04C4" w:rsidRDefault="004419A9"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6D1DEA" w:rsidRPr="00DD04C4" w:rsidRDefault="006D1DEA"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-2,92**</w:t>
            </w:r>
          </w:p>
        </w:tc>
        <w:tc>
          <w:tcPr>
            <w:tcW w:w="0" w:type="auto"/>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6D1DEA" w:rsidRPr="00586953" w:rsidTr="00DD04C4">
        <w:trPr>
          <w:jc w:val="center"/>
        </w:trPr>
        <w:tc>
          <w:tcPr>
            <w:tcW w:w="1096" w:type="dxa"/>
            <w:vAlign w:val="center"/>
          </w:tcPr>
          <w:p w:rsidR="006D1DEA" w:rsidRPr="00DD04C4" w:rsidRDefault="004419A9"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6D1DEA" w:rsidRPr="00DD04C4" w:rsidRDefault="006D1DEA"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-1,64</w:t>
            </w:r>
          </w:p>
        </w:tc>
        <w:tc>
          <w:tcPr>
            <w:tcW w:w="0" w:type="auto"/>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4419A9" w:rsidP="00F65F76">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-3,01**</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4419A9" w:rsidP="00F65F76">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-2,67</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4419A9" w:rsidP="00F65F76">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-2,93**</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4419A9" w:rsidP="00F65F76">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-2,57</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4419A9"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-2,62*</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2</w:t>
            </w:r>
            <w:proofErr w:type="gramEnd"/>
          </w:p>
        </w:tc>
      </w:tr>
      <w:tr w:rsidR="00FF4628" w:rsidRPr="00586953" w:rsidTr="00DD04C4">
        <w:trPr>
          <w:jc w:val="center"/>
        </w:trPr>
        <w:tc>
          <w:tcPr>
            <w:tcW w:w="1096" w:type="dxa"/>
            <w:vAlign w:val="center"/>
          </w:tcPr>
          <w:p w:rsidR="00FF4628" w:rsidRPr="00DD04C4" w:rsidRDefault="004419A9"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-2,90*</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4419A9"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-1,52</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1</w:t>
            </w:r>
            <w:proofErr w:type="gramEnd"/>
          </w:p>
        </w:tc>
      </w:tr>
      <w:tr w:rsidR="00FF4628" w:rsidRPr="00586953" w:rsidTr="00DD04C4">
        <w:trPr>
          <w:jc w:val="center"/>
        </w:trPr>
        <w:tc>
          <w:tcPr>
            <w:tcW w:w="1096" w:type="dxa"/>
            <w:vAlign w:val="center"/>
          </w:tcPr>
          <w:p w:rsidR="00FF4628" w:rsidRPr="00DD04C4" w:rsidRDefault="004419A9"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-2,09</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4419A9"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-1,54</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1</w:t>
            </w:r>
            <w:proofErr w:type="gramEnd"/>
          </w:p>
        </w:tc>
      </w:tr>
      <w:tr w:rsidR="00FF4628" w:rsidRPr="00586953" w:rsidTr="00DD04C4">
        <w:trPr>
          <w:jc w:val="center"/>
        </w:trPr>
        <w:tc>
          <w:tcPr>
            <w:tcW w:w="1096" w:type="dxa"/>
            <w:vAlign w:val="center"/>
          </w:tcPr>
          <w:p w:rsidR="00FF4628" w:rsidRPr="00DD04C4" w:rsidRDefault="004419A9"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-1,95</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bl>
    <w:p w:rsidR="001A3BB2" w:rsidRPr="00586953" w:rsidRDefault="001A3BB2"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b/>
          <w:sz w:val="20"/>
          <w:szCs w:val="20"/>
        </w:rPr>
        <w:t xml:space="preserve">Notas: </w:t>
      </w:r>
      <w:r w:rsidR="00B4414D" w:rsidRPr="00586953">
        <w:rPr>
          <w:rFonts w:ascii="Times New Roman" w:hAnsi="Times New Roman" w:cs="Times New Roman"/>
          <w:sz w:val="20"/>
          <w:szCs w:val="20"/>
        </w:rPr>
        <w:t>Elaboração dos autores</w:t>
      </w:r>
    </w:p>
    <w:p w:rsidR="001A3BB2" w:rsidRPr="00586953" w:rsidRDefault="006D1DEA"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sz w:val="20"/>
          <w:szCs w:val="20"/>
        </w:rPr>
        <w:t>1</w:t>
      </w:r>
      <w:r w:rsidR="001A3BB2" w:rsidRPr="00586953">
        <w:rPr>
          <w:rFonts w:ascii="Times New Roman" w:hAnsi="Times New Roman" w:cs="Times New Roman"/>
          <w:sz w:val="20"/>
          <w:szCs w:val="20"/>
        </w:rPr>
        <w:t xml:space="preserve"> - “</w:t>
      </w:r>
      <w:r w:rsidR="001A3BB2" w:rsidRPr="00586953">
        <w:rPr>
          <w:rFonts w:ascii="Times New Roman" w:hAnsi="Times New Roman" w:cs="Times New Roman"/>
          <w:i/>
          <w:sz w:val="20"/>
          <w:szCs w:val="20"/>
        </w:rPr>
        <w:t>Lags</w:t>
      </w:r>
      <w:r w:rsidR="001A3BB2" w:rsidRPr="00586953">
        <w:rPr>
          <w:rFonts w:ascii="Times New Roman" w:hAnsi="Times New Roman" w:cs="Times New Roman"/>
          <w:sz w:val="20"/>
          <w:szCs w:val="20"/>
        </w:rPr>
        <w:t xml:space="preserve">” significa defasagens. Variáveis na forma </w:t>
      </w:r>
      <w:r w:rsidR="00EC1CE8" w:rsidRPr="00586953">
        <w:rPr>
          <w:rFonts w:ascii="Times New Roman" w:hAnsi="Times New Roman" w:cs="Times New Roman"/>
          <w:sz w:val="20"/>
          <w:szCs w:val="20"/>
        </w:rPr>
        <w:t>de logaritmos naturais</w:t>
      </w:r>
      <w:r w:rsidR="001A3BB2" w:rsidRPr="00586953">
        <w:rPr>
          <w:rFonts w:ascii="Times New Roman" w:hAnsi="Times New Roman" w:cs="Times New Roman"/>
          <w:sz w:val="20"/>
          <w:szCs w:val="20"/>
        </w:rPr>
        <w:t>. “C” significa constante. “T” significa tendência determinística. (***) significância a 1%; (**) significância a 5%; (*) significância a 10%. Contagem inicial máxima de 1</w:t>
      </w:r>
      <w:r w:rsidR="009D79AF" w:rsidRPr="00586953">
        <w:rPr>
          <w:rFonts w:ascii="Times New Roman" w:hAnsi="Times New Roman" w:cs="Times New Roman"/>
          <w:sz w:val="20"/>
          <w:szCs w:val="20"/>
        </w:rPr>
        <w:t>0</w:t>
      </w:r>
      <w:r w:rsidR="001A3BB2" w:rsidRPr="00586953">
        <w:rPr>
          <w:rFonts w:ascii="Times New Roman" w:hAnsi="Times New Roman" w:cs="Times New Roman"/>
          <w:sz w:val="20"/>
          <w:szCs w:val="20"/>
        </w:rPr>
        <w:t xml:space="preserve"> defasagens. </w:t>
      </w:r>
    </w:p>
    <w:p w:rsidR="001A3BB2" w:rsidRPr="00586953" w:rsidRDefault="006D1DEA"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sz w:val="20"/>
          <w:szCs w:val="20"/>
        </w:rPr>
        <w:t>2</w:t>
      </w:r>
      <w:r w:rsidR="001A3BB2" w:rsidRPr="00586953">
        <w:rPr>
          <w:rFonts w:ascii="Times New Roman" w:hAnsi="Times New Roman" w:cs="Times New Roman"/>
          <w:b/>
          <w:sz w:val="20"/>
          <w:szCs w:val="20"/>
        </w:rPr>
        <w:t xml:space="preserve"> - </w:t>
      </w:r>
      <w:r w:rsidR="001A3BB2" w:rsidRPr="00586953">
        <w:rPr>
          <w:rFonts w:ascii="Times New Roman" w:hAnsi="Times New Roman" w:cs="Times New Roman"/>
          <w:sz w:val="20"/>
          <w:szCs w:val="20"/>
        </w:rPr>
        <w:t>Os valores críticos do teste de Saikkonen-Lutkepohl são os seguintes (</w:t>
      </w:r>
      <w:proofErr w:type="spellStart"/>
      <w:r w:rsidR="001A3BB2" w:rsidRPr="00586953">
        <w:rPr>
          <w:rFonts w:ascii="Times New Roman" w:hAnsi="Times New Roman" w:cs="Times New Roman"/>
          <w:sz w:val="20"/>
          <w:szCs w:val="20"/>
        </w:rPr>
        <w:t>Lanne</w:t>
      </w:r>
      <w:proofErr w:type="spellEnd"/>
      <w:r w:rsidR="001A3BB2" w:rsidRPr="00586953">
        <w:rPr>
          <w:rFonts w:ascii="Times New Roman" w:hAnsi="Times New Roman" w:cs="Times New Roman"/>
          <w:sz w:val="20"/>
          <w:szCs w:val="20"/>
        </w:rPr>
        <w:t xml:space="preserve"> </w:t>
      </w:r>
      <w:proofErr w:type="spellStart"/>
      <w:proofErr w:type="gramStart"/>
      <w:r w:rsidR="001A3BB2" w:rsidRPr="00586953">
        <w:rPr>
          <w:rFonts w:ascii="Times New Roman" w:hAnsi="Times New Roman" w:cs="Times New Roman"/>
          <w:i/>
          <w:sz w:val="20"/>
          <w:szCs w:val="20"/>
        </w:rPr>
        <w:t>et</w:t>
      </w:r>
      <w:proofErr w:type="spellEnd"/>
      <w:proofErr w:type="gramEnd"/>
      <w:r w:rsidR="001A3BB2" w:rsidRPr="00586953">
        <w:rPr>
          <w:rFonts w:ascii="Times New Roman" w:hAnsi="Times New Roman" w:cs="Times New Roman"/>
          <w:i/>
          <w:sz w:val="20"/>
          <w:szCs w:val="20"/>
        </w:rPr>
        <w:t xml:space="preserve"> al</w:t>
      </w:r>
      <w:r w:rsidR="001A3BB2" w:rsidRPr="00586953">
        <w:rPr>
          <w:rFonts w:ascii="Times New Roman" w:hAnsi="Times New Roman" w:cs="Times New Roman"/>
          <w:sz w:val="20"/>
          <w:szCs w:val="20"/>
        </w:rPr>
        <w:t>. 2002)</w:t>
      </w:r>
      <w:r w:rsidR="00B4414D" w:rsidRPr="00586953">
        <w:rPr>
          <w:rFonts w:ascii="Times New Roman" w:hAnsi="Times New Roman" w:cs="Times New Roman"/>
          <w:sz w:val="20"/>
          <w:szCs w:val="20"/>
        </w:rPr>
        <w:t xml:space="preserve"> para os três tipos de quebra estrutural</w:t>
      </w:r>
      <w:r w:rsidR="00FF4628" w:rsidRPr="00586953">
        <w:rPr>
          <w:rFonts w:ascii="Times New Roman" w:hAnsi="Times New Roman" w:cs="Times New Roman"/>
          <w:sz w:val="20"/>
          <w:szCs w:val="20"/>
        </w:rPr>
        <w:t xml:space="preserve"> selecionada endogenamente</w:t>
      </w:r>
      <w:r w:rsidR="001A3BB2" w:rsidRPr="00586953">
        <w:rPr>
          <w:rFonts w:ascii="Times New Roman" w:hAnsi="Times New Roman" w:cs="Times New Roman"/>
          <w:sz w:val="20"/>
          <w:szCs w:val="20"/>
        </w:rPr>
        <w:t xml:space="preserve">: (i) modelo com constante: -3,48 (1%); -2,88 (5%) e -2,58 (10%); (ii) modelo com constante e tendência determinística: -3,55 (1%);  -3,03 (5%) e -2,76 (10%). </w:t>
      </w:r>
    </w:p>
    <w:p w:rsidR="001A3BB2" w:rsidRDefault="001A3BB2" w:rsidP="00AD2648">
      <w:pPr>
        <w:spacing w:line="240" w:lineRule="auto"/>
        <w:ind w:firstLine="708"/>
        <w:jc w:val="both"/>
        <w:rPr>
          <w:rFonts w:ascii="Times New Roman" w:hAnsi="Times New Roman" w:cs="Times New Roman"/>
        </w:rPr>
      </w:pPr>
    </w:p>
    <w:p w:rsidR="004B3779" w:rsidRDefault="004B3779" w:rsidP="00230341">
      <w:pPr>
        <w:autoSpaceDE w:val="0"/>
        <w:autoSpaceDN w:val="0"/>
        <w:adjustRightInd w:val="0"/>
        <w:spacing w:after="0" w:line="360" w:lineRule="auto"/>
        <w:ind w:firstLine="708"/>
        <w:jc w:val="both"/>
        <w:rPr>
          <w:rFonts w:ascii="Times New Roman" w:hAnsi="Times New Roman" w:cs="Times New Roman"/>
          <w:sz w:val="24"/>
          <w:szCs w:val="24"/>
        </w:rPr>
      </w:pPr>
      <w:r w:rsidRPr="00586953">
        <w:rPr>
          <w:rFonts w:ascii="Times New Roman" w:hAnsi="Times New Roman" w:cs="Times New Roman"/>
          <w:sz w:val="24"/>
          <w:szCs w:val="24"/>
        </w:rPr>
        <w:t xml:space="preserve">A variável Investimento/PIB se mostra estacionária em nível, ao nível de significância de 5%, considerando-se um modelo com constante apenas, em cada um dos três tipos de quebra estrutural. Já a variável Poupança/PIB é estacionária em nível, ao nível de </w:t>
      </w:r>
      <w:r w:rsidRPr="00586953">
        <w:rPr>
          <w:rFonts w:ascii="Times New Roman" w:hAnsi="Times New Roman" w:cs="Times New Roman"/>
          <w:sz w:val="24"/>
          <w:szCs w:val="24"/>
        </w:rPr>
        <w:lastRenderedPageBreak/>
        <w:t xml:space="preserve">significância de 10%, considerando-se modelo com constante, assim como modelo com constante e tendência, no caso da quebra estrutural sendo definida como sendo uma </w:t>
      </w:r>
      <w:proofErr w:type="spellStart"/>
      <w:r w:rsidRPr="00586953">
        <w:rPr>
          <w:rFonts w:ascii="Times New Roman" w:hAnsi="Times New Roman" w:cs="Times New Roman"/>
          <w:i/>
          <w:sz w:val="24"/>
          <w:szCs w:val="24"/>
        </w:rPr>
        <w:t>rational</w:t>
      </w:r>
      <w:proofErr w:type="spellEnd"/>
      <w:r w:rsidRPr="00586953">
        <w:rPr>
          <w:rFonts w:ascii="Times New Roman" w:hAnsi="Times New Roman" w:cs="Times New Roman"/>
          <w:i/>
          <w:sz w:val="24"/>
          <w:szCs w:val="24"/>
        </w:rPr>
        <w:t xml:space="preserve"> shift</w:t>
      </w:r>
      <w:r w:rsidRPr="00586953">
        <w:rPr>
          <w:rFonts w:ascii="Times New Roman" w:hAnsi="Times New Roman" w:cs="Times New Roman"/>
          <w:sz w:val="24"/>
          <w:szCs w:val="24"/>
        </w:rPr>
        <w:t>. Logo, as duas séries são estacionárias em nível, ou seja, trata-se de séries I(0), rejeitando-se a hipótese nula de presença de raiz unitária.</w:t>
      </w:r>
    </w:p>
    <w:p w:rsidR="006C64D0" w:rsidRPr="00586953" w:rsidRDefault="006C64D0" w:rsidP="00230341">
      <w:pPr>
        <w:autoSpaceDE w:val="0"/>
        <w:autoSpaceDN w:val="0"/>
        <w:adjustRightInd w:val="0"/>
        <w:spacing w:after="0" w:line="360" w:lineRule="auto"/>
        <w:ind w:firstLine="708"/>
        <w:jc w:val="both"/>
        <w:rPr>
          <w:rFonts w:ascii="Times New Roman" w:hAnsi="Times New Roman" w:cs="Times New Roman"/>
        </w:rPr>
      </w:pPr>
      <w:r w:rsidRPr="00586953">
        <w:rPr>
          <w:rFonts w:ascii="Times New Roman" w:hAnsi="Times New Roman" w:cs="Times New Roman"/>
          <w:sz w:val="24"/>
          <w:szCs w:val="24"/>
        </w:rPr>
        <w:t xml:space="preserve">Os resultados do modelo VAR podem ser observados na Tabela </w:t>
      </w:r>
      <w:r w:rsidR="00CE4452" w:rsidRPr="00586953">
        <w:rPr>
          <w:rFonts w:ascii="Times New Roman" w:hAnsi="Times New Roman" w:cs="Times New Roman"/>
          <w:sz w:val="24"/>
          <w:szCs w:val="24"/>
        </w:rPr>
        <w:t>2</w:t>
      </w:r>
      <w:r w:rsidRPr="00586953">
        <w:rPr>
          <w:rFonts w:ascii="Times New Roman" w:hAnsi="Times New Roman" w:cs="Times New Roman"/>
          <w:sz w:val="24"/>
          <w:szCs w:val="24"/>
        </w:rPr>
        <w:t xml:space="preserve">. No caso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sidR="006774FF">
        <w:rPr>
          <w:rFonts w:ascii="Times New Roman" w:hAnsi="Times New Roman" w:cs="Times New Roman"/>
          <w:sz w:val="24"/>
          <w:szCs w:val="24"/>
        </w:rPr>
        <w:t>/</w:t>
      </w:r>
      <w:r w:rsidRPr="00586953">
        <w:rPr>
          <w:rFonts w:ascii="Times New Roman" w:hAnsi="Times New Roman" w:cs="Times New Roman"/>
          <w:sz w:val="24"/>
          <w:szCs w:val="24"/>
        </w:rPr>
        <w:t xml:space="preserve">PIB como variável dependente, observa-se que os coeficientes estimados e diferenciados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sidR="006774FF">
        <w:rPr>
          <w:rFonts w:ascii="Times New Roman" w:hAnsi="Times New Roman" w:cs="Times New Roman"/>
          <w:sz w:val="24"/>
          <w:szCs w:val="24"/>
        </w:rPr>
        <w:t>/</w:t>
      </w:r>
      <w:r w:rsidRPr="00586953">
        <w:rPr>
          <w:rFonts w:ascii="Times New Roman" w:hAnsi="Times New Roman" w:cs="Times New Roman"/>
          <w:sz w:val="24"/>
          <w:szCs w:val="24"/>
        </w:rPr>
        <w:t xml:space="preserve">PIB e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poupança</w:t>
      </w:r>
      <w:r w:rsidR="006774FF">
        <w:rPr>
          <w:rFonts w:ascii="Times New Roman" w:hAnsi="Times New Roman" w:cs="Times New Roman"/>
          <w:sz w:val="24"/>
          <w:szCs w:val="24"/>
        </w:rPr>
        <w:t>/</w:t>
      </w:r>
      <w:r w:rsidRPr="00586953">
        <w:rPr>
          <w:rFonts w:ascii="Times New Roman" w:hAnsi="Times New Roman" w:cs="Times New Roman"/>
          <w:sz w:val="24"/>
          <w:szCs w:val="24"/>
        </w:rPr>
        <w:t>PIB - tanto na primeira quanto na segunda defasagem - são, individualmente, estatisticamente significantes a</w:t>
      </w:r>
      <w:r w:rsidR="006774FF">
        <w:rPr>
          <w:rFonts w:ascii="Times New Roman" w:hAnsi="Times New Roman" w:cs="Times New Roman"/>
          <w:sz w:val="24"/>
          <w:szCs w:val="24"/>
        </w:rPr>
        <w:t>o nível de</w:t>
      </w:r>
      <w:r w:rsidRPr="00586953">
        <w:rPr>
          <w:rFonts w:ascii="Times New Roman" w:hAnsi="Times New Roman" w:cs="Times New Roman"/>
          <w:sz w:val="24"/>
          <w:szCs w:val="24"/>
        </w:rPr>
        <w:t xml:space="preserve"> 5%. </w:t>
      </w:r>
    </w:p>
    <w:p w:rsidR="00F02817" w:rsidRDefault="00F02817" w:rsidP="001434A3">
      <w:pPr>
        <w:spacing w:after="0"/>
        <w:ind w:left="1416"/>
        <w:rPr>
          <w:rFonts w:ascii="Times New Roman" w:hAnsi="Times New Roman" w:cs="Times New Roman"/>
          <w:b/>
          <w:sz w:val="24"/>
          <w:szCs w:val="24"/>
        </w:rPr>
      </w:pPr>
    </w:p>
    <w:p w:rsidR="006C64D0" w:rsidRPr="00586953" w:rsidRDefault="006C64D0" w:rsidP="001434A3">
      <w:pPr>
        <w:spacing w:after="0"/>
        <w:ind w:left="1416"/>
        <w:rPr>
          <w:rFonts w:ascii="Times New Roman" w:hAnsi="Times New Roman" w:cs="Times New Roman"/>
          <w:sz w:val="24"/>
          <w:szCs w:val="24"/>
        </w:rPr>
      </w:pPr>
      <w:r w:rsidRPr="00586953">
        <w:rPr>
          <w:rFonts w:ascii="Times New Roman" w:hAnsi="Times New Roman" w:cs="Times New Roman"/>
          <w:b/>
          <w:sz w:val="24"/>
          <w:szCs w:val="24"/>
        </w:rPr>
        <w:t xml:space="preserve">Tabela </w:t>
      </w:r>
      <w:r w:rsidR="00213F7C" w:rsidRPr="00586953">
        <w:rPr>
          <w:rFonts w:ascii="Times New Roman" w:hAnsi="Times New Roman" w:cs="Times New Roman"/>
          <w:b/>
          <w:sz w:val="24"/>
          <w:szCs w:val="24"/>
        </w:rPr>
        <w:t>2</w:t>
      </w:r>
      <w:r w:rsidRPr="00586953">
        <w:rPr>
          <w:rFonts w:ascii="Times New Roman" w:hAnsi="Times New Roman" w:cs="Times New Roman"/>
          <w:sz w:val="24"/>
          <w:szCs w:val="24"/>
        </w:rPr>
        <w:t xml:space="preserve"> – Resultado do Modelo VAR</w:t>
      </w:r>
    </w:p>
    <w:tbl>
      <w:tblPr>
        <w:tblW w:w="0" w:type="auto"/>
        <w:tblInd w:w="1446" w:type="dxa"/>
        <w:tblLayout w:type="fixed"/>
        <w:tblCellMar>
          <w:left w:w="0" w:type="dxa"/>
          <w:right w:w="0" w:type="dxa"/>
        </w:tblCellMar>
        <w:tblLook w:val="0000"/>
      </w:tblPr>
      <w:tblGrid>
        <w:gridCol w:w="2805"/>
        <w:gridCol w:w="1313"/>
        <w:gridCol w:w="1312"/>
      </w:tblGrid>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6C64D0">
            <w:pPr>
              <w:spacing w:after="0"/>
              <w:rPr>
                <w:rFonts w:ascii="Times New Roman" w:hAnsi="Times New Roman" w:cs="Times New Roman"/>
                <w:sz w:val="24"/>
                <w:szCs w:val="24"/>
              </w:rPr>
            </w:pPr>
          </w:p>
        </w:tc>
        <w:tc>
          <w:tcPr>
            <w:tcW w:w="1313" w:type="dxa"/>
            <w:tcBorders>
              <w:top w:val="nil"/>
              <w:left w:val="nil"/>
              <w:bottom w:val="double" w:sz="6" w:space="2"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sz w:val="24"/>
                <w:szCs w:val="24"/>
              </w:rPr>
            </w:pPr>
          </w:p>
        </w:tc>
        <w:tc>
          <w:tcPr>
            <w:tcW w:w="1312" w:type="dxa"/>
            <w:tcBorders>
              <w:top w:val="nil"/>
              <w:left w:val="nil"/>
              <w:bottom w:val="double" w:sz="6" w:space="2"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sz w:val="24"/>
                <w:szCs w:val="24"/>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4419A9"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m:t>
                    </m:r>
                  </m:sub>
                </m:sSub>
              </m:oMath>
            </m:oMathPara>
          </w:p>
        </w:tc>
        <w:tc>
          <w:tcPr>
            <w:tcW w:w="1312" w:type="dxa"/>
            <w:tcBorders>
              <w:top w:val="nil"/>
              <w:left w:val="nil"/>
              <w:bottom w:val="nil"/>
              <w:right w:val="nil"/>
            </w:tcBorders>
            <w:vAlign w:val="bottom"/>
          </w:tcPr>
          <w:p w:rsidR="006C64D0" w:rsidRPr="00586953" w:rsidRDefault="004419A9"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m:t>
                    </m:r>
                  </m:sub>
                </m:sSub>
              </m:oMath>
            </m:oMathPara>
          </w:p>
        </w:tc>
      </w:tr>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4419A9"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t-1</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w:t>
            </w:r>
            <w:r w:rsidR="00E870E2">
              <w:rPr>
                <w:rFonts w:ascii="Times New Roman" w:hAnsi="Times New Roman" w:cs="Times New Roman"/>
              </w:rPr>
              <w:t>,</w:t>
            </w:r>
            <w:r w:rsidRPr="00586953">
              <w:rPr>
                <w:rFonts w:ascii="Times New Roman" w:hAnsi="Times New Roman" w:cs="Times New Roman"/>
              </w:rPr>
              <w:t>151519**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316572</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6</w:t>
            </w:r>
            <w:r w:rsidR="00E870E2">
              <w:rPr>
                <w:rFonts w:ascii="Times New Roman" w:hAnsi="Times New Roman" w:cs="Times New Roman"/>
              </w:rPr>
              <w:t>,</w:t>
            </w:r>
            <w:r w:rsidRPr="00586953">
              <w:rPr>
                <w:rFonts w:ascii="Times New Roman" w:hAnsi="Times New Roman" w:cs="Times New Roman"/>
              </w:rPr>
              <w:t>64651]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1</w:t>
            </w:r>
            <w:r w:rsidR="00E870E2">
              <w:rPr>
                <w:rFonts w:ascii="Times New Roman" w:hAnsi="Times New Roman" w:cs="Times New Roman"/>
              </w:rPr>
              <w:t>,</w:t>
            </w:r>
            <w:r w:rsidRPr="00586953">
              <w:rPr>
                <w:rFonts w:ascii="Times New Roman" w:hAnsi="Times New Roman" w:cs="Times New Roman"/>
              </w:rPr>
              <w:t>73745]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4419A9"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t-2</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429696**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528869**</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50260]</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92883]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4419A9"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t-1</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528046**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383293**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63582]</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50945]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4419A9"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t-2</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469131**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453869**</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20756]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95071]</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C</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603875**</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673336**</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65638]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87661]</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DD04C4" w:rsidP="00DB728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Dummy (</w:t>
            </w:r>
            <w:r w:rsidR="006C64D0" w:rsidRPr="00586953">
              <w:rPr>
                <w:rFonts w:ascii="Times New Roman" w:hAnsi="Times New Roman" w:cs="Times New Roman"/>
              </w:rPr>
              <w:t>1999</w:t>
            </w:r>
            <w:r>
              <w:rPr>
                <w:rFonts w:ascii="Times New Roman" w:hAnsi="Times New Roman" w:cs="Times New Roman"/>
              </w:rPr>
              <w:t>:</w:t>
            </w:r>
            <w:r w:rsidR="006C64D0" w:rsidRPr="00586953">
              <w:rPr>
                <w:rFonts w:ascii="Times New Roman" w:hAnsi="Times New Roman" w:cs="Times New Roman"/>
              </w:rPr>
              <w:t>03</w:t>
            </w:r>
            <w:r>
              <w:rPr>
                <w:rFonts w:ascii="Times New Roman" w:hAnsi="Times New Roman" w:cs="Times New Roman"/>
              </w:rPr>
              <w:t>)</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181798**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378532**</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90309]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[-5</w:t>
            </w:r>
            <w:r w:rsidR="00E870E2">
              <w:rPr>
                <w:rFonts w:ascii="Times New Roman" w:hAnsi="Times New Roman" w:cs="Times New Roman"/>
              </w:rPr>
              <w:t>,</w:t>
            </w:r>
            <w:r w:rsidRPr="00586953">
              <w:rPr>
                <w:rFonts w:ascii="Times New Roman" w:hAnsi="Times New Roman" w:cs="Times New Roman"/>
              </w:rPr>
              <w:t>74763]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D04C4">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w:t>
            </w:r>
            <w:r w:rsidR="00DD04C4">
              <w:rPr>
                <w:rFonts w:ascii="Times New Roman" w:hAnsi="Times New Roman" w:cs="Times New Roman"/>
              </w:rPr>
              <w:t>ummy (</w:t>
            </w:r>
            <w:r w:rsidRPr="00586953">
              <w:rPr>
                <w:rFonts w:ascii="Times New Roman" w:hAnsi="Times New Roman" w:cs="Times New Roman"/>
              </w:rPr>
              <w:t>1999</w:t>
            </w:r>
            <w:r w:rsidR="00DD04C4">
              <w:rPr>
                <w:rFonts w:ascii="Times New Roman" w:hAnsi="Times New Roman" w:cs="Times New Roman"/>
              </w:rPr>
              <w:t>:</w:t>
            </w:r>
            <w:r w:rsidRPr="00586953">
              <w:rPr>
                <w:rFonts w:ascii="Times New Roman" w:hAnsi="Times New Roman" w:cs="Times New Roman"/>
              </w:rPr>
              <w:t>04</w:t>
            </w:r>
            <w:r w:rsidR="00DD04C4">
              <w:rPr>
                <w:rFonts w:ascii="Times New Roman" w:hAnsi="Times New Roman" w:cs="Times New Roman"/>
              </w:rPr>
              <w:t>)</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203488**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396265**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31629]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6</w:t>
            </w:r>
            <w:r w:rsidR="00E870E2">
              <w:rPr>
                <w:rFonts w:ascii="Times New Roman" w:hAnsi="Times New Roman" w:cs="Times New Roman"/>
              </w:rPr>
              <w:t>,</w:t>
            </w:r>
            <w:r w:rsidRPr="00586953">
              <w:rPr>
                <w:rFonts w:ascii="Times New Roman" w:hAnsi="Times New Roman" w:cs="Times New Roman"/>
              </w:rPr>
              <w:t>14065]</w:t>
            </w:r>
          </w:p>
        </w:tc>
      </w:tr>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R</w:t>
            </w:r>
            <w:r w:rsidRPr="00586953">
              <w:rPr>
                <w:rFonts w:ascii="Times New Roman" w:hAnsi="Times New Roman" w:cs="Times New Roman"/>
                <w:vertAlign w:val="superscript"/>
              </w:rPr>
              <w:t>2</w:t>
            </w:r>
            <w:r w:rsidRPr="00586953">
              <w:rPr>
                <w:rFonts w:ascii="Times New Roman" w:hAnsi="Times New Roman" w:cs="Times New Roman"/>
              </w:rPr>
              <w:t xml:space="preserve"> Ajustado</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604956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708128</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Estatística F</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18</w:t>
            </w:r>
            <w:r w:rsidR="00E870E2">
              <w:rPr>
                <w:rFonts w:ascii="Times New Roman" w:hAnsi="Times New Roman" w:cs="Times New Roman"/>
              </w:rPr>
              <w:t>,</w:t>
            </w:r>
            <w:r w:rsidRPr="00586953">
              <w:rPr>
                <w:rFonts w:ascii="Times New Roman" w:hAnsi="Times New Roman" w:cs="Times New Roman"/>
              </w:rPr>
              <w:t>10020</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28</w:t>
            </w:r>
            <w:r w:rsidR="00E870E2">
              <w:rPr>
                <w:rFonts w:ascii="Times New Roman" w:hAnsi="Times New Roman" w:cs="Times New Roman"/>
              </w:rPr>
              <w:t>,</w:t>
            </w:r>
            <w:r w:rsidRPr="00586953">
              <w:rPr>
                <w:rFonts w:ascii="Times New Roman" w:hAnsi="Times New Roman" w:cs="Times New Roman"/>
              </w:rPr>
              <w:t>09213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Critério de Informação AIC</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721371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620591</w:t>
            </w:r>
          </w:p>
        </w:tc>
      </w:tr>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 Teste de </w:t>
            </w:r>
            <w:proofErr w:type="spellStart"/>
            <w:r w:rsidRPr="00586953">
              <w:rPr>
                <w:rFonts w:ascii="Times New Roman" w:hAnsi="Times New Roman" w:cs="Times New Roman"/>
              </w:rPr>
              <w:t>Jarque-</w:t>
            </w:r>
            <w:proofErr w:type="gramStart"/>
            <w:r w:rsidRPr="00586953">
              <w:rPr>
                <w:rFonts w:ascii="Times New Roman" w:hAnsi="Times New Roman" w:cs="Times New Roman"/>
              </w:rPr>
              <w:t>Bera</w:t>
            </w:r>
            <w:proofErr w:type="spellEnd"/>
            <w:r w:rsidRPr="00586953">
              <w:rPr>
                <w:rFonts w:ascii="Times New Roman" w:hAnsi="Times New Roman" w:cs="Times New Roman"/>
                <w:vertAlign w:val="superscript"/>
              </w:rPr>
              <w:t>(</w:t>
            </w:r>
            <w:proofErr w:type="gramEnd"/>
            <w:r w:rsidRPr="00586953">
              <w:rPr>
                <w:rFonts w:ascii="Times New Roman" w:hAnsi="Times New Roman" w:cs="Times New Roman"/>
                <w:vertAlign w:val="superscript"/>
              </w:rPr>
              <w:t>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1,286583</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(0,5256)</w:t>
            </w:r>
          </w:p>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Teste LM de </w:t>
            </w:r>
            <w:proofErr w:type="gramStart"/>
            <w:r w:rsidRPr="00586953">
              <w:rPr>
                <w:rFonts w:ascii="Times New Roman" w:hAnsi="Times New Roman" w:cs="Times New Roman"/>
              </w:rPr>
              <w:t>Autocorrelação</w:t>
            </w:r>
            <w:r w:rsidRPr="00586953">
              <w:rPr>
                <w:rFonts w:ascii="Times New Roman" w:hAnsi="Times New Roman" w:cs="Times New Roman"/>
                <w:vertAlign w:val="superscript"/>
              </w:rPr>
              <w:t>(</w:t>
            </w:r>
            <w:proofErr w:type="gramEnd"/>
            <w:r w:rsidRPr="00586953">
              <w:rPr>
                <w:rFonts w:ascii="Times New Roman" w:hAnsi="Times New Roman" w:cs="Times New Roman"/>
                <w:vertAlign w:val="superscript"/>
              </w:rPr>
              <w:t>2)</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0,582623</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(0,9650)</w:t>
            </w:r>
          </w:p>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 Teste de Heterocedasticidade de </w:t>
            </w:r>
            <w:proofErr w:type="gramStart"/>
            <w:r w:rsidRPr="00586953">
              <w:rPr>
                <w:rFonts w:ascii="Times New Roman" w:hAnsi="Times New Roman" w:cs="Times New Roman"/>
              </w:rPr>
              <w:t>White</w:t>
            </w:r>
            <w:r w:rsidRPr="00586953">
              <w:rPr>
                <w:rFonts w:ascii="Times New Roman" w:hAnsi="Times New Roman" w:cs="Times New Roman"/>
                <w:vertAlign w:val="superscript"/>
              </w:rPr>
              <w:t>(</w:t>
            </w:r>
            <w:proofErr w:type="gramEnd"/>
            <w:r w:rsidRPr="00586953">
              <w:rPr>
                <w:rFonts w:ascii="Times New Roman" w:hAnsi="Times New Roman" w:cs="Times New Roman"/>
                <w:vertAlign w:val="superscript"/>
              </w:rPr>
              <w:t>3)</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32,15520</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(0,3603)</w:t>
            </w:r>
          </w:p>
        </w:tc>
      </w:tr>
      <w:tr w:rsidR="006C64D0" w:rsidRPr="00586953" w:rsidTr="001434A3">
        <w:trPr>
          <w:trHeight w:hRule="exact" w:val="90"/>
        </w:trPr>
        <w:tc>
          <w:tcPr>
            <w:tcW w:w="2805"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r>
    </w:tbl>
    <w:p w:rsidR="006C64D0" w:rsidRPr="00586953" w:rsidRDefault="006C64D0" w:rsidP="00DF3040">
      <w:pPr>
        <w:tabs>
          <w:tab w:val="left" w:pos="6804"/>
        </w:tabs>
        <w:spacing w:after="0"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b/>
          <w:sz w:val="20"/>
          <w:szCs w:val="20"/>
        </w:rPr>
        <w:t>Nota:</w:t>
      </w:r>
      <w:r w:rsidRPr="00586953">
        <w:rPr>
          <w:rFonts w:ascii="Times New Roman" w:hAnsi="Times New Roman" w:cs="Times New Roman"/>
          <w:sz w:val="20"/>
          <w:szCs w:val="20"/>
        </w:rPr>
        <w:t xml:space="preserve"> Séries na forma de logaritmo natural. Estatísticas-</w:t>
      </w:r>
      <w:r w:rsidRPr="00586953">
        <w:rPr>
          <w:rFonts w:ascii="Times New Roman" w:hAnsi="Times New Roman" w:cs="Times New Roman"/>
          <w:i/>
          <w:sz w:val="20"/>
          <w:szCs w:val="20"/>
        </w:rPr>
        <w:t>t</w:t>
      </w:r>
      <w:r w:rsidRPr="00586953">
        <w:rPr>
          <w:rFonts w:ascii="Times New Roman" w:hAnsi="Times New Roman" w:cs="Times New Roman"/>
          <w:sz w:val="20"/>
          <w:szCs w:val="20"/>
        </w:rPr>
        <w:t xml:space="preserve"> entre colchetes. (**) significância a 5%. Número de observações incluídas após ajustamento: 68.</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 xml:space="preserve">1 </w:t>
      </w:r>
      <w:r w:rsidRPr="00586953">
        <w:rPr>
          <w:rFonts w:ascii="Times New Roman" w:hAnsi="Times New Roman" w:cs="Times New Roman"/>
          <w:b/>
          <w:sz w:val="20"/>
          <w:szCs w:val="20"/>
        </w:rPr>
        <w:t>–</w:t>
      </w:r>
      <w:r w:rsidRPr="00586953">
        <w:rPr>
          <w:rFonts w:ascii="Times New Roman" w:hAnsi="Times New Roman" w:cs="Times New Roman"/>
          <w:sz w:val="20"/>
          <w:szCs w:val="20"/>
        </w:rPr>
        <w:t xml:space="preserve"> Método de Ortogonalização: </w:t>
      </w:r>
      <w:proofErr w:type="spellStart"/>
      <w:r w:rsidRPr="00586953">
        <w:rPr>
          <w:rFonts w:ascii="Times New Roman" w:hAnsi="Times New Roman" w:cs="Times New Roman"/>
          <w:sz w:val="20"/>
          <w:szCs w:val="20"/>
        </w:rPr>
        <w:t>Cholesky</w:t>
      </w:r>
      <w:proofErr w:type="spellEnd"/>
      <w:r w:rsidRPr="00586953">
        <w:rPr>
          <w:rFonts w:ascii="Times New Roman" w:hAnsi="Times New Roman" w:cs="Times New Roman"/>
          <w:sz w:val="20"/>
          <w:szCs w:val="20"/>
        </w:rPr>
        <w:t xml:space="preserve"> (Lutkepohl). Valor obtido para o primeiro componente.</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2 – Valor obtido para a segunda defasagem.</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3 – Teste de Heterocedasticidade de White sem termos cruzados.</w:t>
      </w:r>
    </w:p>
    <w:p w:rsidR="00B70856" w:rsidRDefault="00B70856" w:rsidP="001B6CC1">
      <w:pPr>
        <w:tabs>
          <w:tab w:val="left" w:pos="6804"/>
        </w:tabs>
        <w:spacing w:line="240" w:lineRule="auto"/>
        <w:ind w:right="1700"/>
        <w:contextualSpacing/>
        <w:jc w:val="both"/>
        <w:rPr>
          <w:rFonts w:ascii="Times New Roman" w:hAnsi="Times New Roman" w:cs="Times New Roman"/>
          <w:sz w:val="20"/>
          <w:szCs w:val="20"/>
        </w:rPr>
      </w:pPr>
    </w:p>
    <w:p w:rsidR="0053101C" w:rsidRDefault="0053101C" w:rsidP="001B6CC1">
      <w:pPr>
        <w:tabs>
          <w:tab w:val="left" w:pos="6804"/>
        </w:tabs>
        <w:spacing w:line="240" w:lineRule="auto"/>
        <w:ind w:right="1700"/>
        <w:contextualSpacing/>
        <w:jc w:val="both"/>
        <w:rPr>
          <w:rFonts w:ascii="Times New Roman" w:hAnsi="Times New Roman" w:cs="Times New Roman"/>
          <w:sz w:val="20"/>
          <w:szCs w:val="20"/>
        </w:rPr>
      </w:pPr>
    </w:p>
    <w:p w:rsidR="00F02817" w:rsidRPr="00586953" w:rsidRDefault="00F02817" w:rsidP="00F02817">
      <w:pPr>
        <w:spacing w:after="0" w:line="360" w:lineRule="auto"/>
        <w:ind w:firstLine="709"/>
        <w:contextualSpacing/>
        <w:jc w:val="both"/>
        <w:rPr>
          <w:rFonts w:ascii="Times New Roman" w:hAnsi="Times New Roman" w:cs="Times New Roman"/>
          <w:sz w:val="24"/>
          <w:szCs w:val="24"/>
        </w:rPr>
      </w:pPr>
      <w:r w:rsidRPr="00586953">
        <w:rPr>
          <w:rFonts w:ascii="Times New Roman" w:hAnsi="Times New Roman" w:cs="Times New Roman"/>
          <w:sz w:val="24"/>
          <w:szCs w:val="24"/>
        </w:rPr>
        <w:t xml:space="preserve">Já no caso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poupança</w:t>
      </w:r>
      <w:r>
        <w:rPr>
          <w:rFonts w:ascii="Times New Roman" w:hAnsi="Times New Roman" w:cs="Times New Roman"/>
          <w:sz w:val="24"/>
          <w:szCs w:val="24"/>
        </w:rPr>
        <w:t>/</w:t>
      </w:r>
      <w:r w:rsidRPr="00586953">
        <w:rPr>
          <w:rFonts w:ascii="Times New Roman" w:hAnsi="Times New Roman" w:cs="Times New Roman"/>
          <w:sz w:val="24"/>
          <w:szCs w:val="24"/>
        </w:rPr>
        <w:t xml:space="preserve">PIB como variável dependente, pode-se notar também um impacto estatisticamente significante das defasagens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Pr>
          <w:rFonts w:ascii="Times New Roman" w:hAnsi="Times New Roman" w:cs="Times New Roman"/>
          <w:sz w:val="24"/>
          <w:szCs w:val="24"/>
        </w:rPr>
        <w:t>/</w:t>
      </w:r>
      <w:r w:rsidRPr="00586953">
        <w:rPr>
          <w:rFonts w:ascii="Times New Roman" w:hAnsi="Times New Roman" w:cs="Times New Roman"/>
          <w:sz w:val="24"/>
          <w:szCs w:val="24"/>
        </w:rPr>
        <w:t xml:space="preserve">PIB e </w:t>
      </w:r>
      <w:r>
        <w:rPr>
          <w:rFonts w:ascii="Times New Roman" w:hAnsi="Times New Roman" w:cs="Times New Roman"/>
          <w:sz w:val="24"/>
          <w:szCs w:val="24"/>
        </w:rPr>
        <w:t xml:space="preserve">da relação </w:t>
      </w:r>
      <w:r w:rsidRPr="00586953">
        <w:rPr>
          <w:rFonts w:ascii="Times New Roman" w:hAnsi="Times New Roman" w:cs="Times New Roman"/>
          <w:sz w:val="24"/>
          <w:szCs w:val="24"/>
        </w:rPr>
        <w:t>poupança</w:t>
      </w:r>
      <w:r>
        <w:rPr>
          <w:rFonts w:ascii="Times New Roman" w:hAnsi="Times New Roman" w:cs="Times New Roman"/>
          <w:sz w:val="24"/>
          <w:szCs w:val="24"/>
        </w:rPr>
        <w:t>/</w:t>
      </w:r>
      <w:r w:rsidRPr="00586953">
        <w:rPr>
          <w:rFonts w:ascii="Times New Roman" w:hAnsi="Times New Roman" w:cs="Times New Roman"/>
          <w:sz w:val="24"/>
          <w:szCs w:val="24"/>
        </w:rPr>
        <w:t xml:space="preserve">PIB sobre a variável dependente, com a exceção da primeira defasagem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Pr>
          <w:rFonts w:ascii="Times New Roman" w:hAnsi="Times New Roman" w:cs="Times New Roman"/>
          <w:sz w:val="24"/>
          <w:szCs w:val="24"/>
        </w:rPr>
        <w:t>/</w:t>
      </w:r>
      <w:r w:rsidRPr="00586953">
        <w:rPr>
          <w:rFonts w:ascii="Times New Roman" w:hAnsi="Times New Roman" w:cs="Times New Roman"/>
          <w:sz w:val="24"/>
          <w:szCs w:val="24"/>
        </w:rPr>
        <w:t>PIB.</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 xml:space="preserve">Ademais, as variáveis </w:t>
      </w:r>
      <w:proofErr w:type="spellStart"/>
      <w:r w:rsidRPr="00586953">
        <w:rPr>
          <w:rFonts w:ascii="Times New Roman" w:hAnsi="Times New Roman" w:cs="Times New Roman"/>
          <w:i/>
          <w:sz w:val="24"/>
          <w:szCs w:val="24"/>
        </w:rPr>
        <w:t>dummies</w:t>
      </w:r>
      <w:proofErr w:type="spellEnd"/>
      <w:r w:rsidRPr="00586953">
        <w:rPr>
          <w:rFonts w:ascii="Times New Roman" w:hAnsi="Times New Roman" w:cs="Times New Roman"/>
          <w:sz w:val="24"/>
          <w:szCs w:val="24"/>
        </w:rPr>
        <w:t xml:space="preserve"> que representam a mudança do regime cambial na economia brasileira também </w:t>
      </w:r>
      <w:r>
        <w:rPr>
          <w:rFonts w:ascii="Times New Roman" w:hAnsi="Times New Roman" w:cs="Times New Roman"/>
          <w:sz w:val="24"/>
          <w:szCs w:val="24"/>
        </w:rPr>
        <w:t>são, individualmente, estatisticamente significantes ao nível de 5%</w:t>
      </w:r>
      <w:r w:rsidRPr="00586953">
        <w:rPr>
          <w:rFonts w:ascii="Times New Roman" w:hAnsi="Times New Roman" w:cs="Times New Roman"/>
          <w:sz w:val="24"/>
          <w:szCs w:val="24"/>
        </w:rPr>
        <w:t>.</w:t>
      </w:r>
    </w:p>
    <w:p w:rsidR="0053101C" w:rsidRDefault="00F02817" w:rsidP="005E5C38">
      <w:pPr>
        <w:spacing w:after="0" w:line="360" w:lineRule="auto"/>
        <w:ind w:firstLine="709"/>
        <w:contextualSpacing/>
        <w:jc w:val="both"/>
        <w:rPr>
          <w:rFonts w:ascii="Times New Roman" w:hAnsi="Times New Roman" w:cs="Times New Roman"/>
          <w:sz w:val="20"/>
          <w:szCs w:val="20"/>
        </w:rPr>
      </w:pPr>
      <w:r>
        <w:rPr>
          <w:rFonts w:ascii="Times New Roman" w:hAnsi="Times New Roman" w:cs="Times New Roman"/>
          <w:sz w:val="24"/>
          <w:szCs w:val="24"/>
        </w:rPr>
        <w:t>O</w:t>
      </w:r>
      <w:r w:rsidRPr="00586953">
        <w:rPr>
          <w:rFonts w:ascii="Times New Roman" w:hAnsi="Times New Roman" w:cs="Times New Roman"/>
          <w:sz w:val="24"/>
          <w:szCs w:val="24"/>
        </w:rPr>
        <w:t xml:space="preserve"> resultado da estatística </w:t>
      </w:r>
      <w:proofErr w:type="spellStart"/>
      <w:r w:rsidRPr="00586953">
        <w:rPr>
          <w:rFonts w:ascii="Times New Roman" w:hAnsi="Times New Roman" w:cs="Times New Roman"/>
          <w:sz w:val="24"/>
          <w:szCs w:val="24"/>
        </w:rPr>
        <w:t>Jarque-Bera</w:t>
      </w:r>
      <w:proofErr w:type="spellEnd"/>
      <w:r w:rsidRPr="00586953">
        <w:rPr>
          <w:rFonts w:ascii="Times New Roman" w:hAnsi="Times New Roman" w:cs="Times New Roman"/>
          <w:sz w:val="24"/>
          <w:szCs w:val="24"/>
        </w:rPr>
        <w:t xml:space="preserve"> no primeiro componente é de 1,28 (valor-p = 0,5256), de modo que não se pode rejeitar a hipótese nula de normalidade dos resíduos </w:t>
      </w:r>
      <w:r>
        <w:rPr>
          <w:rFonts w:ascii="Times New Roman" w:hAnsi="Times New Roman" w:cs="Times New Roman"/>
          <w:sz w:val="24"/>
          <w:szCs w:val="24"/>
        </w:rPr>
        <w:t>do modelo VAR estimado</w:t>
      </w:r>
      <w:r w:rsidRPr="00586953">
        <w:rPr>
          <w:rFonts w:ascii="Times New Roman" w:hAnsi="Times New Roman" w:cs="Times New Roman"/>
          <w:sz w:val="24"/>
          <w:szCs w:val="24"/>
        </w:rPr>
        <w:t>.</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 xml:space="preserve">No tocante à hipótese nula de ausência de autocorrelação (Teste LM) de ordem </w:t>
      </w:r>
      <w:r w:rsidRPr="00586953">
        <w:rPr>
          <w:rFonts w:ascii="Times New Roman" w:hAnsi="Times New Roman" w:cs="Times New Roman"/>
          <w:i/>
          <w:sz w:val="24"/>
          <w:szCs w:val="24"/>
        </w:rPr>
        <w:t>k</w:t>
      </w:r>
      <w:r w:rsidRPr="00586953">
        <w:rPr>
          <w:rFonts w:ascii="Times New Roman" w:hAnsi="Times New Roman" w:cs="Times New Roman"/>
          <w:sz w:val="24"/>
          <w:szCs w:val="24"/>
        </w:rPr>
        <w:t xml:space="preserve">, em que </w:t>
      </w:r>
      <w:r w:rsidRPr="00586953">
        <w:rPr>
          <w:rFonts w:ascii="Times New Roman" w:hAnsi="Times New Roman" w:cs="Times New Roman"/>
          <w:i/>
          <w:sz w:val="24"/>
          <w:szCs w:val="24"/>
        </w:rPr>
        <w:t>k</w:t>
      </w:r>
      <w:r w:rsidRPr="00586953">
        <w:rPr>
          <w:rFonts w:ascii="Times New Roman" w:hAnsi="Times New Roman" w:cs="Times New Roman"/>
          <w:sz w:val="24"/>
          <w:szCs w:val="24"/>
        </w:rPr>
        <w:t xml:space="preserve"> é o número de defasagens, é possível verificar por meio dos resultados apresentados na Tabela 2 que não se pode rejeitar a referida hipótese nula, considerando duas defasagens. </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No que se refere à hipótese nula de ausência de heterocedasticidade nos resíduos (Teste de White), tem-se que não se pode rejeitar a hipótese nula, isto é, a homocedasticidade da variância dos resíduos está presente na estimação econométrica.</w:t>
      </w:r>
    </w:p>
    <w:p w:rsidR="003F0E5C" w:rsidRDefault="003F0E5C" w:rsidP="003F0E5C">
      <w:pPr>
        <w:spacing w:after="0" w:line="360" w:lineRule="auto"/>
        <w:ind w:firstLine="709"/>
        <w:jc w:val="both"/>
        <w:rPr>
          <w:rFonts w:ascii="Times New Roman" w:hAnsi="Times New Roman" w:cs="Times New Roman"/>
          <w:sz w:val="24"/>
          <w:szCs w:val="24"/>
        </w:rPr>
      </w:pPr>
      <w:r w:rsidRPr="00586953">
        <w:rPr>
          <w:rFonts w:ascii="Times New Roman" w:hAnsi="Times New Roman" w:cs="Times New Roman"/>
          <w:sz w:val="24"/>
          <w:szCs w:val="24"/>
        </w:rPr>
        <w:t xml:space="preserve">Ainda, em termos de estabilidade do modelo VAR, a Figura </w:t>
      </w:r>
      <w:r>
        <w:rPr>
          <w:rFonts w:ascii="Times New Roman" w:hAnsi="Times New Roman" w:cs="Times New Roman"/>
          <w:sz w:val="24"/>
          <w:szCs w:val="24"/>
        </w:rPr>
        <w:t>2</w:t>
      </w:r>
      <w:r w:rsidRPr="00586953">
        <w:rPr>
          <w:rFonts w:ascii="Times New Roman" w:hAnsi="Times New Roman" w:cs="Times New Roman"/>
          <w:sz w:val="24"/>
          <w:szCs w:val="24"/>
        </w:rPr>
        <w:t xml:space="preserve"> </w:t>
      </w:r>
      <w:r>
        <w:rPr>
          <w:rFonts w:ascii="Times New Roman" w:hAnsi="Times New Roman" w:cs="Times New Roman"/>
          <w:sz w:val="24"/>
          <w:szCs w:val="24"/>
        </w:rPr>
        <w:t xml:space="preserve">e a Tabela 3 </w:t>
      </w:r>
      <w:r w:rsidRPr="00586953">
        <w:rPr>
          <w:rFonts w:ascii="Times New Roman" w:hAnsi="Times New Roman" w:cs="Times New Roman"/>
          <w:sz w:val="24"/>
          <w:szCs w:val="24"/>
        </w:rPr>
        <w:t>a seguir mostra</w:t>
      </w:r>
      <w:r>
        <w:rPr>
          <w:rFonts w:ascii="Times New Roman" w:hAnsi="Times New Roman" w:cs="Times New Roman"/>
          <w:sz w:val="24"/>
          <w:szCs w:val="24"/>
        </w:rPr>
        <w:t>m</w:t>
      </w:r>
      <w:r w:rsidRPr="00586953">
        <w:rPr>
          <w:rFonts w:ascii="Times New Roman" w:hAnsi="Times New Roman" w:cs="Times New Roman"/>
          <w:sz w:val="24"/>
          <w:szCs w:val="24"/>
        </w:rPr>
        <w:t xml:space="preserve"> que não há raiz fora do círculo unitário, o que significa que se trata de um modelo VAR que satisfaz a condição de estabilidade. </w:t>
      </w:r>
    </w:p>
    <w:p w:rsidR="005E5C38" w:rsidRDefault="005E5C38" w:rsidP="005E5C38">
      <w:pPr>
        <w:autoSpaceDE w:val="0"/>
        <w:autoSpaceDN w:val="0"/>
        <w:adjustRightInd w:val="0"/>
        <w:spacing w:after="0" w:line="240" w:lineRule="auto"/>
        <w:ind w:left="1418" w:firstLine="709"/>
        <w:contextualSpacing/>
        <w:jc w:val="both"/>
        <w:rPr>
          <w:rFonts w:ascii="Times New Roman" w:hAnsi="Times New Roman" w:cs="Times New Roman"/>
          <w:b/>
          <w:sz w:val="24"/>
          <w:szCs w:val="24"/>
        </w:rPr>
      </w:pPr>
    </w:p>
    <w:p w:rsidR="00911CE6" w:rsidRDefault="00DF3040" w:rsidP="005E5C38">
      <w:pPr>
        <w:autoSpaceDE w:val="0"/>
        <w:autoSpaceDN w:val="0"/>
        <w:adjustRightInd w:val="0"/>
        <w:spacing w:after="0" w:line="240" w:lineRule="auto"/>
        <w:ind w:left="1418" w:firstLine="709"/>
        <w:contextualSpacing/>
        <w:jc w:val="both"/>
        <w:rPr>
          <w:rFonts w:ascii="Times New Roman" w:hAnsi="Times New Roman" w:cs="Times New Roman"/>
          <w:sz w:val="24"/>
          <w:szCs w:val="24"/>
        </w:rPr>
      </w:pPr>
      <w:r w:rsidRPr="00586953">
        <w:rPr>
          <w:rFonts w:ascii="Times New Roman" w:hAnsi="Times New Roman" w:cs="Times New Roman"/>
          <w:b/>
          <w:sz w:val="24"/>
          <w:szCs w:val="24"/>
        </w:rPr>
        <w:t xml:space="preserve">Figura </w:t>
      </w:r>
      <w:r w:rsidR="00F36789">
        <w:rPr>
          <w:rFonts w:ascii="Times New Roman" w:hAnsi="Times New Roman" w:cs="Times New Roman"/>
          <w:b/>
          <w:sz w:val="24"/>
          <w:szCs w:val="24"/>
        </w:rPr>
        <w:t>2</w:t>
      </w:r>
      <w:r w:rsidRPr="00586953">
        <w:rPr>
          <w:rFonts w:ascii="Times New Roman" w:hAnsi="Times New Roman" w:cs="Times New Roman"/>
          <w:sz w:val="24"/>
          <w:szCs w:val="24"/>
        </w:rPr>
        <w:t xml:space="preserve"> – Raízes Inversas do Polinômio Característico</w:t>
      </w:r>
    </w:p>
    <w:p w:rsidR="00DF3040" w:rsidRDefault="002374DF" w:rsidP="00B70856">
      <w:pPr>
        <w:autoSpaceDE w:val="0"/>
        <w:autoSpaceDN w:val="0"/>
        <w:adjustRightInd w:val="0"/>
        <w:spacing w:after="0" w:line="360" w:lineRule="auto"/>
        <w:ind w:firstLine="709"/>
        <w:jc w:val="center"/>
        <w:rPr>
          <w:rFonts w:ascii="Times New Roman" w:hAnsi="Times New Roman" w:cs="Times New Roman"/>
          <w:sz w:val="24"/>
          <w:szCs w:val="24"/>
        </w:rPr>
      </w:pPr>
      <w:r w:rsidRPr="00586953">
        <w:rPr>
          <w:rFonts w:ascii="Times New Roman" w:hAnsi="Times New Roman" w:cs="Times New Roman"/>
          <w:noProof/>
          <w:sz w:val="24"/>
          <w:szCs w:val="24"/>
        </w:rPr>
        <w:drawing>
          <wp:inline distT="0" distB="0" distL="0" distR="0">
            <wp:extent cx="2923922" cy="2880000"/>
            <wp:effectExtent l="19050" t="0" r="0" b="0"/>
            <wp:docPr id="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274"/>
                    <a:stretch>
                      <a:fillRect/>
                    </a:stretch>
                  </pic:blipFill>
                  <pic:spPr bwMode="auto">
                    <a:xfrm>
                      <a:off x="0" y="0"/>
                      <a:ext cx="2923922" cy="2880000"/>
                    </a:xfrm>
                    <a:prstGeom prst="rect">
                      <a:avLst/>
                    </a:prstGeom>
                    <a:noFill/>
                    <a:ln w="9525">
                      <a:noFill/>
                      <a:miter lim="800000"/>
                      <a:headEnd/>
                      <a:tailEnd/>
                    </a:ln>
                  </pic:spPr>
                </pic:pic>
              </a:graphicData>
            </a:graphic>
          </wp:inline>
        </w:drawing>
      </w:r>
    </w:p>
    <w:p w:rsidR="00CD0001" w:rsidRPr="00CD0001" w:rsidRDefault="00CD0001" w:rsidP="00CD0001">
      <w:pPr>
        <w:autoSpaceDE w:val="0"/>
        <w:autoSpaceDN w:val="0"/>
        <w:adjustRightInd w:val="0"/>
        <w:spacing w:after="0" w:line="240" w:lineRule="auto"/>
        <w:ind w:left="2552" w:right="1985"/>
        <w:rPr>
          <w:rFonts w:ascii="Times New Roman" w:hAnsi="Times New Roman" w:cs="Times New Roman"/>
          <w:sz w:val="20"/>
          <w:szCs w:val="20"/>
        </w:rPr>
      </w:pPr>
      <w:r w:rsidRPr="00CD0001">
        <w:rPr>
          <w:rFonts w:ascii="Times New Roman" w:hAnsi="Times New Roman" w:cs="Times New Roman"/>
          <w:sz w:val="20"/>
          <w:szCs w:val="20"/>
        </w:rPr>
        <w:t xml:space="preserve">Nota: </w:t>
      </w:r>
      <w:r w:rsidRPr="00586953">
        <w:rPr>
          <w:rFonts w:ascii="Times New Roman" w:hAnsi="Times New Roman" w:cs="Times New Roman"/>
          <w:sz w:val="20"/>
          <w:szCs w:val="20"/>
        </w:rPr>
        <w:t xml:space="preserve">Não há raiz fora do círculo unitário, de modo que </w:t>
      </w:r>
      <w:r w:rsidRPr="00CD0001">
        <w:rPr>
          <w:rFonts w:ascii="Times New Roman" w:hAnsi="Times New Roman" w:cs="Times New Roman"/>
          <w:sz w:val="20"/>
          <w:szCs w:val="20"/>
        </w:rPr>
        <w:t>VAR satisfaz a condição de estabilidade</w:t>
      </w:r>
      <w:r>
        <w:rPr>
          <w:rFonts w:ascii="Times New Roman" w:hAnsi="Times New Roman" w:cs="Times New Roman"/>
          <w:sz w:val="20"/>
          <w:szCs w:val="20"/>
        </w:rPr>
        <w:t>.</w:t>
      </w:r>
    </w:p>
    <w:p w:rsidR="00F02817" w:rsidRDefault="00F02817" w:rsidP="00D72417">
      <w:pPr>
        <w:autoSpaceDE w:val="0"/>
        <w:autoSpaceDN w:val="0"/>
        <w:adjustRightInd w:val="0"/>
        <w:spacing w:before="240" w:after="0" w:line="360" w:lineRule="auto"/>
        <w:ind w:firstLine="709"/>
        <w:contextualSpacing/>
        <w:jc w:val="both"/>
        <w:rPr>
          <w:rFonts w:ascii="Times New Roman" w:hAnsi="Times New Roman" w:cs="Times New Roman"/>
          <w:sz w:val="24"/>
          <w:szCs w:val="24"/>
        </w:rPr>
      </w:pPr>
    </w:p>
    <w:p w:rsidR="005E5C38" w:rsidRPr="00586953" w:rsidRDefault="005E5C38" w:rsidP="005E5C38">
      <w:pPr>
        <w:tabs>
          <w:tab w:val="left" w:pos="6804"/>
        </w:tabs>
        <w:spacing w:line="240" w:lineRule="auto"/>
        <w:ind w:right="1700"/>
        <w:contextualSpacing/>
        <w:jc w:val="both"/>
        <w:rPr>
          <w:rFonts w:ascii="Times New Roman" w:hAnsi="Times New Roman" w:cs="Times New Roman"/>
          <w:sz w:val="20"/>
          <w:szCs w:val="20"/>
        </w:rPr>
      </w:pPr>
    </w:p>
    <w:tbl>
      <w:tblPr>
        <w:tblpPr w:leftFromText="141" w:rightFromText="141" w:vertAnchor="text" w:horzAnchor="page" w:tblpXSpec="center" w:tblpY="185"/>
        <w:tblW w:w="0" w:type="auto"/>
        <w:tblLayout w:type="fixed"/>
        <w:tblCellMar>
          <w:left w:w="0" w:type="dxa"/>
          <w:right w:w="0" w:type="dxa"/>
        </w:tblCellMar>
        <w:tblLook w:val="0000"/>
      </w:tblPr>
      <w:tblGrid>
        <w:gridCol w:w="2647"/>
        <w:gridCol w:w="1943"/>
      </w:tblGrid>
      <w:tr w:rsidR="005E5C38" w:rsidRPr="00586953" w:rsidTr="005E5C38">
        <w:trPr>
          <w:trHeight w:val="225"/>
        </w:trPr>
        <w:tc>
          <w:tcPr>
            <w:tcW w:w="4590" w:type="dxa"/>
            <w:gridSpan w:val="2"/>
            <w:tcBorders>
              <w:top w:val="nil"/>
              <w:left w:val="nil"/>
              <w:bottom w:val="nil"/>
              <w:right w:val="nil"/>
            </w:tcBorders>
            <w:vAlign w:val="bottom"/>
          </w:tcPr>
          <w:p w:rsidR="005E5C38" w:rsidRPr="00F02817" w:rsidRDefault="005E5C38" w:rsidP="005E5C38">
            <w:pPr>
              <w:autoSpaceDE w:val="0"/>
              <w:autoSpaceDN w:val="0"/>
              <w:adjustRightInd w:val="0"/>
              <w:spacing w:after="0" w:line="240" w:lineRule="auto"/>
              <w:rPr>
                <w:rFonts w:ascii="Times New Roman" w:hAnsi="Times New Roman" w:cs="Times New Roman"/>
                <w:sz w:val="24"/>
                <w:szCs w:val="24"/>
              </w:rPr>
            </w:pPr>
            <w:r w:rsidRPr="00F02817">
              <w:rPr>
                <w:rFonts w:ascii="Times New Roman" w:hAnsi="Times New Roman" w:cs="Times New Roman"/>
                <w:b/>
                <w:sz w:val="24"/>
                <w:szCs w:val="24"/>
              </w:rPr>
              <w:lastRenderedPageBreak/>
              <w:t>Tabela 3</w:t>
            </w:r>
            <w:r w:rsidRPr="00F02817">
              <w:rPr>
                <w:rFonts w:ascii="Times New Roman" w:hAnsi="Times New Roman" w:cs="Times New Roman"/>
                <w:sz w:val="24"/>
                <w:szCs w:val="24"/>
              </w:rPr>
              <w:t xml:space="preserve"> - Raízes do Polinômio Característico</w:t>
            </w:r>
          </w:p>
          <w:p w:rsidR="005E5C38" w:rsidRPr="00586953" w:rsidRDefault="004419A9" w:rsidP="005E5C38">
            <w:pPr>
              <w:autoSpaceDE w:val="0"/>
              <w:autoSpaceDN w:val="0"/>
              <w:adjustRightInd w:val="0"/>
              <w:spacing w:after="0" w:line="240" w:lineRule="auto"/>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AutoShape 884" o:spid="_x0000_s1039" type="#_x0000_t32" style="position:absolute;margin-left:.4pt;margin-top:3.45pt;width:228.15pt;height:0;z-index:25166131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" strokeweight=".5pt"/>
              </w:pict>
            </w:r>
            <w:r>
              <w:rPr>
                <w:rFonts w:ascii="Times New Roman" w:hAnsi="Times New Roman" w:cs="Times New Roman"/>
                <w:noProof/>
              </w:rPr>
              <w:pict>
                <v:shape id="AutoShape 883" o:spid="_x0000_s1038" type="#_x0000_t32" style="position:absolute;margin-left:.4pt;margin-top:1.1pt;width:228.15pt;height:0;z-index:25166028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"/>
              </w:pic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Variáveis endógenas: i/y</w:t>
            </w: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s/y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Variáveis </w:t>
            </w:r>
            <w:proofErr w:type="gramStart"/>
            <w:r w:rsidRPr="00586953">
              <w:rPr>
                <w:rFonts w:ascii="Times New Roman" w:hAnsi="Times New Roman" w:cs="Times New Roman"/>
              </w:rPr>
              <w:t>exógenas :</w:t>
            </w:r>
            <w:proofErr w:type="gramEnd"/>
            <w:r w:rsidRPr="00586953">
              <w:rPr>
                <w:rFonts w:ascii="Times New Roman" w:hAnsi="Times New Roman" w:cs="Times New Roman"/>
              </w:rPr>
              <w:t xml:space="preserve"> C </w:t>
            </w:r>
            <w:r>
              <w:rPr>
                <w:rFonts w:ascii="Times New Roman" w:hAnsi="Times New Roman" w:cs="Times New Roman"/>
              </w:rPr>
              <w:t xml:space="preserve"> Dummy (</w:t>
            </w:r>
            <w:r w:rsidRPr="00586953">
              <w:rPr>
                <w:rFonts w:ascii="Times New Roman" w:hAnsi="Times New Roman" w:cs="Times New Roman"/>
              </w:rPr>
              <w:t>1999</w:t>
            </w:r>
            <w:r>
              <w:rPr>
                <w:rFonts w:ascii="Times New Roman" w:hAnsi="Times New Roman" w:cs="Times New Roman"/>
              </w:rPr>
              <w:t>:</w:t>
            </w:r>
            <w:r w:rsidRPr="00586953">
              <w:rPr>
                <w:rFonts w:ascii="Times New Roman" w:hAnsi="Times New Roman" w:cs="Times New Roman"/>
              </w:rPr>
              <w:t>03</w:t>
            </w:r>
            <w:r>
              <w:rPr>
                <w:rFonts w:ascii="Times New Roman" w:hAnsi="Times New Roman" w:cs="Times New Roman"/>
              </w:rPr>
              <w:t>)</w:t>
            </w:r>
            <w:r w:rsidRPr="00586953">
              <w:rPr>
                <w:rFonts w:ascii="Times New Roman" w:hAnsi="Times New Roman" w:cs="Times New Roman"/>
              </w:rPr>
              <w:t xml:space="preserve">  D</w:t>
            </w:r>
            <w:r>
              <w:rPr>
                <w:rFonts w:ascii="Times New Roman" w:hAnsi="Times New Roman" w:cs="Times New Roman"/>
              </w:rPr>
              <w:t>ummy (</w:t>
            </w:r>
            <w:r w:rsidRPr="00586953">
              <w:rPr>
                <w:rFonts w:ascii="Times New Roman" w:hAnsi="Times New Roman" w:cs="Times New Roman"/>
              </w:rPr>
              <w:t>1999</w:t>
            </w:r>
            <w:r>
              <w:rPr>
                <w:rFonts w:ascii="Times New Roman" w:hAnsi="Times New Roman" w:cs="Times New Roman"/>
              </w:rPr>
              <w:t>:</w:t>
            </w:r>
            <w:r w:rsidRPr="00586953">
              <w:rPr>
                <w:rFonts w:ascii="Times New Roman" w:hAnsi="Times New Roman" w:cs="Times New Roman"/>
              </w:rPr>
              <w:t>04</w:t>
            </w:r>
            <w:r>
              <w:rPr>
                <w:rFonts w:ascii="Times New Roman" w:hAnsi="Times New Roman" w:cs="Times New Roman"/>
              </w:rPr>
              <w:t>)</w:t>
            </w:r>
            <w:r w:rsidRPr="00586953">
              <w:rPr>
                <w:rFonts w:ascii="Times New Roman" w:hAnsi="Times New Roman" w:cs="Times New Roman"/>
              </w:rPr>
              <w:t>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Especificação do lag: </w:t>
            </w:r>
            <w:proofErr w:type="gramStart"/>
            <w:r w:rsidRPr="00586953">
              <w:rPr>
                <w:rFonts w:ascii="Times New Roman" w:hAnsi="Times New Roman" w:cs="Times New Roman"/>
              </w:rPr>
              <w:t>1 2</w:t>
            </w:r>
            <w:proofErr w:type="gramEnd"/>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w:t>
            </w:r>
            <w:proofErr w:type="spellStart"/>
            <w:r w:rsidRPr="00586953">
              <w:rPr>
                <w:rFonts w:ascii="Times New Roman" w:hAnsi="Times New Roman" w:cs="Times New Roman"/>
              </w:rPr>
              <w:t>Raíz</w:t>
            </w:r>
            <w:proofErr w:type="spellEnd"/>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Módulos</w:t>
            </w: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895191</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895191</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733717</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733717</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-0</w:t>
            </w:r>
            <w:r>
              <w:rPr>
                <w:rFonts w:ascii="Times New Roman" w:hAnsi="Times New Roman" w:cs="Times New Roman"/>
              </w:rPr>
              <w:t>,</w:t>
            </w:r>
            <w:r w:rsidRPr="00586953">
              <w:rPr>
                <w:rFonts w:ascii="Times New Roman" w:hAnsi="Times New Roman" w:cs="Times New Roman"/>
              </w:rPr>
              <w:t>047048 - 0</w:t>
            </w:r>
            <w:r>
              <w:rPr>
                <w:rFonts w:ascii="Times New Roman" w:hAnsi="Times New Roman" w:cs="Times New Roman"/>
              </w:rPr>
              <w:t>,</w:t>
            </w:r>
            <w:r w:rsidRPr="00586953">
              <w:rPr>
                <w:rFonts w:ascii="Times New Roman" w:hAnsi="Times New Roman" w:cs="Times New Roman"/>
              </w:rPr>
              <w:t>280366i</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284286</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-0</w:t>
            </w:r>
            <w:r>
              <w:rPr>
                <w:rFonts w:ascii="Times New Roman" w:hAnsi="Times New Roman" w:cs="Times New Roman"/>
              </w:rPr>
              <w:t>,</w:t>
            </w:r>
            <w:r w:rsidRPr="00586953">
              <w:rPr>
                <w:rFonts w:ascii="Times New Roman" w:hAnsi="Times New Roman" w:cs="Times New Roman"/>
              </w:rPr>
              <w:t>047048 + 0</w:t>
            </w:r>
            <w:r>
              <w:rPr>
                <w:rFonts w:ascii="Times New Roman" w:hAnsi="Times New Roman" w:cs="Times New Roman"/>
              </w:rPr>
              <w:t>,</w:t>
            </w:r>
            <w:r w:rsidRPr="00586953">
              <w:rPr>
                <w:rFonts w:ascii="Times New Roman" w:hAnsi="Times New Roman" w:cs="Times New Roman"/>
              </w:rPr>
              <w:t>280366i</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284286</w:t>
            </w: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sz w:val="20"/>
                <w:szCs w:val="20"/>
              </w:rPr>
            </w:pPr>
            <w:r w:rsidRPr="00586953">
              <w:rPr>
                <w:rFonts w:ascii="Times New Roman" w:hAnsi="Times New Roman" w:cs="Times New Roman"/>
                <w:sz w:val="20"/>
                <w:szCs w:val="20"/>
              </w:rPr>
              <w:t xml:space="preserve"> Nota: Não há raiz fora do círculo unitário, de modo </w:t>
            </w:r>
            <w:proofErr w:type="gramStart"/>
            <w:r w:rsidRPr="00586953">
              <w:rPr>
                <w:rFonts w:ascii="Times New Roman" w:hAnsi="Times New Roman" w:cs="Times New Roman"/>
                <w:sz w:val="20"/>
                <w:szCs w:val="20"/>
              </w:rPr>
              <w:t>que</w:t>
            </w:r>
            <w:proofErr w:type="gramEnd"/>
            <w:r w:rsidRPr="00586953">
              <w:rPr>
                <w:rFonts w:ascii="Times New Roman" w:hAnsi="Times New Roman" w:cs="Times New Roman"/>
                <w:sz w:val="20"/>
                <w:szCs w:val="20"/>
              </w:rPr>
              <w:t xml:space="preserve">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sz w:val="20"/>
                <w:szCs w:val="20"/>
              </w:rPr>
            </w:pPr>
            <w:r w:rsidRPr="00586953">
              <w:rPr>
                <w:rFonts w:ascii="Times New Roman" w:hAnsi="Times New Roman" w:cs="Times New Roman"/>
                <w:sz w:val="20"/>
                <w:szCs w:val="20"/>
              </w:rPr>
              <w:t> VAR satisfaz a condição de estabilidade.</w:t>
            </w:r>
          </w:p>
        </w:tc>
      </w:tr>
    </w:tbl>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Default="005E5C38" w:rsidP="005E5C38">
      <w:pPr>
        <w:autoSpaceDE w:val="0"/>
        <w:autoSpaceDN w:val="0"/>
        <w:adjustRightInd w:val="0"/>
        <w:spacing w:after="0" w:line="360" w:lineRule="auto"/>
        <w:jc w:val="both"/>
        <w:rPr>
          <w:rFonts w:ascii="Times New Roman" w:hAnsi="Times New Roman" w:cs="Times New Roman"/>
          <w:b/>
          <w:sz w:val="24"/>
          <w:szCs w:val="24"/>
        </w:rPr>
      </w:pPr>
      <w:r w:rsidRPr="00586953">
        <w:rPr>
          <w:rFonts w:ascii="Times New Roman" w:hAnsi="Times New Roman" w:cs="Times New Roman"/>
          <w:b/>
          <w:sz w:val="24"/>
          <w:szCs w:val="24"/>
        </w:rPr>
        <w:t xml:space="preserve">                          </w:t>
      </w:r>
      <w:r w:rsidRPr="00586953">
        <w:rPr>
          <w:rFonts w:ascii="Times New Roman" w:hAnsi="Times New Roman" w:cs="Times New Roman"/>
          <w:b/>
          <w:sz w:val="24"/>
          <w:szCs w:val="24"/>
        </w:rPr>
        <w:tab/>
        <w:t xml:space="preserve">        </w:t>
      </w:r>
    </w:p>
    <w:p w:rsidR="005E5C38" w:rsidRDefault="005E5C38" w:rsidP="005E5C38">
      <w:pPr>
        <w:autoSpaceDE w:val="0"/>
        <w:autoSpaceDN w:val="0"/>
        <w:adjustRightInd w:val="0"/>
        <w:spacing w:after="0" w:line="360" w:lineRule="auto"/>
        <w:ind w:left="1416" w:firstLine="708"/>
        <w:jc w:val="both"/>
        <w:rPr>
          <w:rFonts w:ascii="Times New Roman" w:hAnsi="Times New Roman" w:cs="Times New Roman"/>
          <w:b/>
          <w:sz w:val="24"/>
          <w:szCs w:val="24"/>
        </w:rPr>
      </w:pPr>
    </w:p>
    <w:p w:rsidR="005E5C38" w:rsidRDefault="005E5C38" w:rsidP="005E5C38">
      <w:pPr>
        <w:autoSpaceDE w:val="0"/>
        <w:autoSpaceDN w:val="0"/>
        <w:adjustRightInd w:val="0"/>
        <w:spacing w:after="0" w:line="240" w:lineRule="auto"/>
        <w:ind w:left="1418" w:firstLine="709"/>
        <w:contextualSpacing/>
        <w:jc w:val="both"/>
        <w:rPr>
          <w:rFonts w:ascii="Times New Roman" w:hAnsi="Times New Roman" w:cs="Times New Roman"/>
          <w:b/>
          <w:sz w:val="24"/>
          <w:szCs w:val="24"/>
        </w:rPr>
      </w:pP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sz w:val="24"/>
          <w:szCs w:val="24"/>
        </w:rPr>
      </w:pPr>
      <w:r w:rsidRPr="00586953">
        <w:rPr>
          <w:rFonts w:ascii="Times New Roman" w:hAnsi="Times New Roman" w:cs="Times New Roman"/>
          <w:sz w:val="24"/>
          <w:szCs w:val="24"/>
        </w:rPr>
        <w:t xml:space="preserve">Por fim, a Tabela 4 </w:t>
      </w:r>
      <w:r>
        <w:rPr>
          <w:rFonts w:ascii="Times New Roman" w:hAnsi="Times New Roman" w:cs="Times New Roman"/>
          <w:sz w:val="24"/>
          <w:szCs w:val="24"/>
        </w:rPr>
        <w:t>reporta</w:t>
      </w:r>
      <w:r w:rsidRPr="00586953">
        <w:rPr>
          <w:rFonts w:ascii="Times New Roman" w:hAnsi="Times New Roman" w:cs="Times New Roman"/>
          <w:sz w:val="24"/>
          <w:szCs w:val="24"/>
        </w:rPr>
        <w:t xml:space="preserve"> os resultados da análise obtidos através do </w:t>
      </w:r>
      <w:r>
        <w:rPr>
          <w:rFonts w:ascii="Times New Roman" w:hAnsi="Times New Roman" w:cs="Times New Roman"/>
          <w:sz w:val="24"/>
          <w:szCs w:val="24"/>
        </w:rPr>
        <w:t>T</w:t>
      </w:r>
      <w:r w:rsidRPr="00586953">
        <w:rPr>
          <w:rFonts w:ascii="Times New Roman" w:hAnsi="Times New Roman" w:cs="Times New Roman"/>
          <w:sz w:val="24"/>
          <w:szCs w:val="24"/>
        </w:rPr>
        <w:t xml:space="preserve">este de </w:t>
      </w:r>
      <w:r>
        <w:rPr>
          <w:rFonts w:ascii="Times New Roman" w:hAnsi="Times New Roman" w:cs="Times New Roman"/>
          <w:sz w:val="24"/>
          <w:szCs w:val="24"/>
        </w:rPr>
        <w:t>C</w:t>
      </w:r>
      <w:r w:rsidRPr="00586953">
        <w:rPr>
          <w:rFonts w:ascii="Times New Roman" w:hAnsi="Times New Roman" w:cs="Times New Roman"/>
          <w:sz w:val="24"/>
          <w:szCs w:val="24"/>
        </w:rPr>
        <w:t>ausalidade de Granger</w:t>
      </w:r>
      <w:r>
        <w:rPr>
          <w:rFonts w:ascii="Times New Roman" w:hAnsi="Times New Roman" w:cs="Times New Roman"/>
          <w:sz w:val="24"/>
          <w:szCs w:val="24"/>
        </w:rPr>
        <w:t>/Teste de Wald para Exogeneidade por Blocos</w:t>
      </w:r>
      <w:r w:rsidRPr="00586953">
        <w:rPr>
          <w:rFonts w:ascii="Times New Roman" w:hAnsi="Times New Roman" w:cs="Times New Roman"/>
          <w:sz w:val="24"/>
          <w:szCs w:val="24"/>
        </w:rPr>
        <w:t xml:space="preserve"> aplicado aos dados brasileiros</w:t>
      </w:r>
      <w:r>
        <w:rPr>
          <w:rFonts w:ascii="Times New Roman" w:hAnsi="Times New Roman" w:cs="Times New Roman"/>
          <w:sz w:val="24"/>
          <w:szCs w:val="24"/>
        </w:rPr>
        <w:t>, permitindo identificar quais as variáveis que são fortemente exógenas</w:t>
      </w:r>
      <w:r w:rsidRPr="00586953">
        <w:rPr>
          <w:rFonts w:ascii="Times New Roman" w:hAnsi="Times New Roman" w:cs="Times New Roman"/>
          <w:sz w:val="24"/>
          <w:szCs w:val="24"/>
        </w:rPr>
        <w:t xml:space="preserve">. </w:t>
      </w:r>
      <w:r>
        <w:rPr>
          <w:rFonts w:ascii="Times New Roman" w:hAnsi="Times New Roman" w:cs="Times New Roman"/>
          <w:sz w:val="24"/>
          <w:szCs w:val="24"/>
        </w:rPr>
        <w:t xml:space="preserve"> Assim como no Teste de Causalidade de Granger a hipótese nula é de não causalidade, a hipótese nula do Teste de Wald para Exogeneidade por Blocos é que a variável excluída não influencia o </w:t>
      </w:r>
      <w:r w:rsidRPr="003424B1">
        <w:rPr>
          <w:rFonts w:ascii="Times New Roman" w:hAnsi="Times New Roman" w:cs="Times New Roman"/>
          <w:sz w:val="24"/>
          <w:szCs w:val="24"/>
        </w:rPr>
        <w:t>modelo (ENDERS, 2010).</w:t>
      </w:r>
      <w:r>
        <w:rPr>
          <w:rFonts w:ascii="Times New Roman" w:hAnsi="Times New Roman" w:cs="Times New Roman"/>
          <w:sz w:val="24"/>
          <w:szCs w:val="24"/>
        </w:rPr>
        <w:t xml:space="preserve"> Em outras palavras, esse teste permite verificar também se algumas das variáveis incluídas no modelo como endógenas poderiam ser consideradas exógenas.</w:t>
      </w: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sz w:val="24"/>
          <w:szCs w:val="24"/>
        </w:rPr>
      </w:pPr>
    </w:p>
    <w:p w:rsidR="001A3BB2" w:rsidRPr="00586953" w:rsidRDefault="00911CE6" w:rsidP="00E25FF3">
      <w:pPr>
        <w:pStyle w:val="minhaLegenda"/>
        <w:spacing w:line="240" w:lineRule="auto"/>
        <w:ind w:left="993" w:right="990"/>
        <w:contextualSpacing/>
        <w:jc w:val="both"/>
      </w:pPr>
      <w:r w:rsidRPr="00586953">
        <w:rPr>
          <w:b/>
          <w:szCs w:val="24"/>
        </w:rPr>
        <w:t xml:space="preserve">Tabela </w:t>
      </w:r>
      <w:r w:rsidR="00213F7C" w:rsidRPr="00586953">
        <w:rPr>
          <w:b/>
          <w:szCs w:val="24"/>
        </w:rPr>
        <w:t>4</w:t>
      </w:r>
      <w:r w:rsidR="001A3BB2" w:rsidRPr="00586953">
        <w:rPr>
          <w:b/>
          <w:szCs w:val="24"/>
        </w:rPr>
        <w:t xml:space="preserve"> – </w:t>
      </w:r>
      <w:r w:rsidR="001A3BB2" w:rsidRPr="00586953">
        <w:rPr>
          <w:szCs w:val="24"/>
        </w:rPr>
        <w:t xml:space="preserve">Resultados do </w:t>
      </w:r>
      <w:r w:rsidR="00E25FF3">
        <w:rPr>
          <w:szCs w:val="24"/>
        </w:rPr>
        <w:t>T</w:t>
      </w:r>
      <w:r w:rsidR="001A3BB2" w:rsidRPr="00586953">
        <w:rPr>
          <w:szCs w:val="24"/>
        </w:rPr>
        <w:t xml:space="preserve">este de </w:t>
      </w:r>
      <w:r w:rsidR="00E25FF3">
        <w:rPr>
          <w:szCs w:val="24"/>
        </w:rPr>
        <w:t>C</w:t>
      </w:r>
      <w:r w:rsidR="001A3BB2" w:rsidRPr="00586953">
        <w:rPr>
          <w:szCs w:val="24"/>
        </w:rPr>
        <w:t>ausalidade de Granger</w:t>
      </w:r>
      <w:r w:rsidR="00E25FF3">
        <w:rPr>
          <w:szCs w:val="24"/>
        </w:rPr>
        <w:t>/Teste de Wald para Exogeneidade por Bloco</w:t>
      </w:r>
      <w:r w:rsidR="001A3BB2" w:rsidRPr="00586953">
        <w:rPr>
          <w:szCs w:val="24"/>
        </w:rPr>
        <w:t xml:space="preserve"> </w:t>
      </w:r>
      <w:r w:rsidR="00E25FF3">
        <w:rPr>
          <w:szCs w:val="24"/>
        </w:rPr>
        <w:t>A</w:t>
      </w:r>
      <w:r w:rsidR="001A3BB2" w:rsidRPr="00586953">
        <w:rPr>
          <w:szCs w:val="24"/>
        </w:rPr>
        <w:t>plicado ao VAR</w:t>
      </w:r>
    </w:p>
    <w:tbl>
      <w:tblPr>
        <w:tblW w:w="7144" w:type="dxa"/>
        <w:jc w:val="center"/>
        <w:tblBorders>
          <w:top w:val="single" w:sz="4" w:space="0" w:color="auto"/>
          <w:bottom w:val="single" w:sz="4" w:space="0" w:color="auto"/>
          <w:insideH w:val="single" w:sz="4" w:space="0" w:color="auto"/>
          <w:insideV w:val="single" w:sz="4" w:space="0" w:color="auto"/>
        </w:tblBorders>
        <w:tblLayout w:type="fixed"/>
        <w:tblLook w:val="01E0"/>
      </w:tblPr>
      <w:tblGrid>
        <w:gridCol w:w="4135"/>
        <w:gridCol w:w="1592"/>
        <w:gridCol w:w="1417"/>
      </w:tblGrid>
      <w:tr w:rsidR="001A3BB2" w:rsidRPr="00586953" w:rsidTr="00127DC3">
        <w:trPr>
          <w:jc w:val="center"/>
        </w:trPr>
        <w:tc>
          <w:tcPr>
            <w:tcW w:w="4135" w:type="dxa"/>
            <w:vMerge w:val="restart"/>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b/>
              </w:rPr>
              <w:t>Variáveis Independentes</w:t>
            </w:r>
          </w:p>
        </w:tc>
        <w:tc>
          <w:tcPr>
            <w:tcW w:w="3009" w:type="dxa"/>
            <w:gridSpan w:val="2"/>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b/>
              </w:rPr>
            </w:pPr>
            <w:r w:rsidRPr="00586953">
              <w:rPr>
                <w:rFonts w:ascii="Times New Roman" w:hAnsi="Times New Roman" w:cs="Times New Roman"/>
                <w:b/>
              </w:rPr>
              <w:t>Variáveis Dependentes</w:t>
            </w:r>
          </w:p>
        </w:tc>
      </w:tr>
      <w:tr w:rsidR="001A3BB2" w:rsidRPr="00586953" w:rsidTr="00127DC3">
        <w:trPr>
          <w:jc w:val="center"/>
        </w:trPr>
        <w:tc>
          <w:tcPr>
            <w:tcW w:w="4135" w:type="dxa"/>
            <w:vMerge/>
            <w:tcBorders>
              <w:bottom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p>
        </w:tc>
        <w:tc>
          <w:tcPr>
            <w:tcW w:w="1592" w:type="dxa"/>
            <w:tcBorders>
              <w:bottom w:val="single" w:sz="12" w:space="0" w:color="auto"/>
            </w:tcBorders>
            <w:vAlign w:val="center"/>
          </w:tcPr>
          <w:p w:rsidR="001A3BB2" w:rsidRPr="00586953" w:rsidRDefault="004419A9"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i</m:t>
                            </m:r>
                          </m:num>
                          <m:den>
                            <m:r>
                              <w:rPr>
                                <w:rFonts w:ascii="Cambria Math" w:hAnsi="Times New Roman" w:cs="Times New Roman"/>
                              </w:rPr>
                              <m:t>y</m:t>
                            </m:r>
                          </m:den>
                        </m:f>
                      </m:e>
                    </m:d>
                  </m:e>
                  <m:sub>
                    <m:r>
                      <w:rPr>
                        <w:rFonts w:ascii="Cambria Math" w:hAnsi="Times New Roman" w:cs="Times New Roman"/>
                      </w:rPr>
                      <m:t>t</m:t>
                    </m:r>
                  </m:sub>
                </m:sSub>
              </m:oMath>
            </m:oMathPara>
          </w:p>
        </w:tc>
        <w:tc>
          <w:tcPr>
            <w:tcW w:w="1417" w:type="dxa"/>
            <w:tcBorders>
              <w:bottom w:val="single" w:sz="12" w:space="0" w:color="auto"/>
            </w:tcBorders>
            <w:vAlign w:val="center"/>
          </w:tcPr>
          <w:p w:rsidR="001A3BB2" w:rsidRPr="00586953" w:rsidRDefault="004419A9"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s</m:t>
                            </m:r>
                          </m:num>
                          <m:den>
                            <m:r>
                              <w:rPr>
                                <w:rFonts w:ascii="Cambria Math" w:hAnsi="Times New Roman" w:cs="Times New Roman"/>
                              </w:rPr>
                              <m:t>y</m:t>
                            </m:r>
                          </m:den>
                        </m:f>
                      </m:e>
                    </m:d>
                  </m:e>
                  <m:sub>
                    <m:r>
                      <w:rPr>
                        <w:rFonts w:ascii="Cambria Math" w:hAnsi="Times New Roman" w:cs="Times New Roman"/>
                      </w:rPr>
                      <m:t>t</m:t>
                    </m:r>
                  </m:sub>
                </m:sSub>
              </m:oMath>
            </m:oMathPara>
          </w:p>
        </w:tc>
      </w:tr>
      <w:tr w:rsidR="001A3BB2" w:rsidRPr="00586953" w:rsidTr="00127DC3">
        <w:trPr>
          <w:jc w:val="center"/>
        </w:trPr>
        <w:tc>
          <w:tcPr>
            <w:tcW w:w="4135" w:type="dxa"/>
            <w:tcBorders>
              <w:top w:val="single" w:sz="12" w:space="0" w:color="auto"/>
            </w:tcBorders>
            <w:vAlign w:val="center"/>
          </w:tcPr>
          <w:p w:rsidR="001A3BB2" w:rsidRPr="00586953" w:rsidRDefault="004419A9"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i</m:t>
                            </m:r>
                          </m:num>
                          <m:den>
                            <m:r>
                              <w:rPr>
                                <w:rFonts w:ascii="Cambria Math" w:hAnsi="Times New Roman" w:cs="Times New Roman"/>
                              </w:rPr>
                              <m:t>y</m:t>
                            </m:r>
                          </m:den>
                        </m:f>
                      </m:e>
                    </m:d>
                  </m:e>
                  <m:sub>
                    <m:r>
                      <w:rPr>
                        <w:rFonts w:ascii="Cambria Math" w:hAnsi="Times New Roman" w:cs="Times New Roman"/>
                      </w:rPr>
                      <m:t>t</m:t>
                    </m:r>
                  </m:sub>
                </m:sSub>
              </m:oMath>
            </m:oMathPara>
          </w:p>
        </w:tc>
        <w:tc>
          <w:tcPr>
            <w:tcW w:w="1592" w:type="dxa"/>
            <w:tcBorders>
              <w:top w:val="single" w:sz="12" w:space="0" w:color="auto"/>
            </w:tcBorders>
            <w:vAlign w:val="center"/>
          </w:tcPr>
          <w:p w:rsidR="001A3BB2" w:rsidRPr="00586953" w:rsidRDefault="001A3BB2" w:rsidP="00CE4452">
            <w:pPr>
              <w:spacing w:line="240" w:lineRule="auto"/>
              <w:contextualSpacing/>
              <w:jc w:val="center"/>
              <w:rPr>
                <w:rFonts w:ascii="Times New Roman" w:hAnsi="Times New Roman" w:cs="Times New Roman"/>
              </w:rPr>
            </w:pPr>
            <w:r w:rsidRPr="00586953">
              <w:rPr>
                <w:rFonts w:ascii="Times New Roman" w:hAnsi="Times New Roman" w:cs="Times New Roman"/>
              </w:rPr>
              <w:t>-</w:t>
            </w:r>
          </w:p>
        </w:tc>
        <w:tc>
          <w:tcPr>
            <w:tcW w:w="1417" w:type="dxa"/>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10,8313***</w:t>
            </w:r>
          </w:p>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(0,0044)</w:t>
            </w:r>
          </w:p>
        </w:tc>
      </w:tr>
      <w:tr w:rsidR="001A3BB2" w:rsidRPr="00586953" w:rsidTr="00127DC3">
        <w:trPr>
          <w:jc w:val="center"/>
        </w:trPr>
        <w:tc>
          <w:tcPr>
            <w:tcW w:w="4135" w:type="dxa"/>
            <w:vAlign w:val="center"/>
          </w:tcPr>
          <w:p w:rsidR="001A3BB2" w:rsidRPr="00586953" w:rsidRDefault="004419A9"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s</m:t>
                            </m:r>
                          </m:num>
                          <m:den>
                            <m:r>
                              <w:rPr>
                                <w:rFonts w:ascii="Cambria Math" w:hAnsi="Times New Roman" w:cs="Times New Roman"/>
                              </w:rPr>
                              <m:t>y</m:t>
                            </m:r>
                          </m:den>
                        </m:f>
                      </m:e>
                    </m:d>
                  </m:e>
                  <m:sub>
                    <m:r>
                      <w:rPr>
                        <w:rFonts w:ascii="Cambria Math" w:hAnsi="Times New Roman" w:cs="Times New Roman"/>
                      </w:rPr>
                      <m:t>t</m:t>
                    </m:r>
                  </m:sub>
                </m:sSub>
              </m:oMath>
            </m:oMathPara>
          </w:p>
        </w:tc>
        <w:tc>
          <w:tcPr>
            <w:tcW w:w="1592" w:type="dxa"/>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13,2233***</w:t>
            </w:r>
          </w:p>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(0,0013)</w:t>
            </w:r>
          </w:p>
        </w:tc>
        <w:tc>
          <w:tcPr>
            <w:tcW w:w="1417" w:type="dxa"/>
            <w:vAlign w:val="center"/>
          </w:tcPr>
          <w:p w:rsidR="001A3BB2" w:rsidRPr="00586953" w:rsidRDefault="001A3BB2" w:rsidP="00CE4452">
            <w:pPr>
              <w:spacing w:line="240" w:lineRule="auto"/>
              <w:contextualSpacing/>
              <w:jc w:val="center"/>
              <w:rPr>
                <w:rFonts w:ascii="Times New Roman" w:hAnsi="Times New Roman" w:cs="Times New Roman"/>
              </w:rPr>
            </w:pPr>
            <w:r w:rsidRPr="00586953">
              <w:rPr>
                <w:rFonts w:ascii="Times New Roman" w:hAnsi="Times New Roman" w:cs="Times New Roman"/>
              </w:rPr>
              <w:t>-</w:t>
            </w:r>
          </w:p>
        </w:tc>
      </w:tr>
    </w:tbl>
    <w:p w:rsidR="001A3BB2" w:rsidRPr="00586953" w:rsidRDefault="001A3BB2" w:rsidP="00DF3040">
      <w:pPr>
        <w:tabs>
          <w:tab w:val="left" w:pos="8080"/>
        </w:tabs>
        <w:spacing w:line="240" w:lineRule="auto"/>
        <w:ind w:left="993" w:right="991"/>
        <w:contextualSpacing/>
        <w:jc w:val="both"/>
        <w:rPr>
          <w:rFonts w:ascii="Times New Roman" w:hAnsi="Times New Roman" w:cs="Times New Roman"/>
          <w:sz w:val="20"/>
          <w:szCs w:val="20"/>
        </w:rPr>
      </w:pPr>
      <w:proofErr w:type="spellStart"/>
      <w:r w:rsidRPr="00586953">
        <w:rPr>
          <w:rFonts w:ascii="Times New Roman" w:hAnsi="Times New Roman" w:cs="Times New Roman"/>
          <w:b/>
          <w:sz w:val="20"/>
          <w:szCs w:val="20"/>
          <w:lang w:val="en-US"/>
        </w:rPr>
        <w:t>Nota</w:t>
      </w:r>
      <w:proofErr w:type="spellEnd"/>
      <w:r w:rsidRPr="00586953">
        <w:rPr>
          <w:rFonts w:ascii="Times New Roman" w:hAnsi="Times New Roman" w:cs="Times New Roman"/>
          <w:b/>
          <w:sz w:val="20"/>
          <w:szCs w:val="20"/>
          <w:lang w:val="en-US"/>
        </w:rPr>
        <w:t xml:space="preserve">: </w:t>
      </w:r>
      <w:r w:rsidRPr="00586953">
        <w:rPr>
          <w:rFonts w:ascii="Times New Roman" w:hAnsi="Times New Roman" w:cs="Times New Roman"/>
          <w:i/>
          <w:sz w:val="20"/>
          <w:szCs w:val="20"/>
          <w:lang w:val="en-US"/>
        </w:rPr>
        <w:t>VAR</w:t>
      </w:r>
      <w:r w:rsidRPr="00586953">
        <w:rPr>
          <w:rFonts w:ascii="Times New Roman" w:hAnsi="Times New Roman" w:cs="Times New Roman"/>
          <w:b/>
          <w:i/>
          <w:sz w:val="20"/>
          <w:szCs w:val="20"/>
          <w:lang w:val="en-US"/>
        </w:rPr>
        <w:t xml:space="preserve"> </w:t>
      </w:r>
      <w:r w:rsidRPr="00586953">
        <w:rPr>
          <w:rFonts w:ascii="Times New Roman" w:hAnsi="Times New Roman" w:cs="Times New Roman"/>
          <w:i/>
          <w:sz w:val="20"/>
          <w:szCs w:val="20"/>
          <w:lang w:val="en-US"/>
        </w:rPr>
        <w:t>Granger Causality/Block Exogeneity Wald Tests</w:t>
      </w:r>
      <w:r w:rsidRPr="00586953">
        <w:rPr>
          <w:rFonts w:ascii="Times New Roman" w:hAnsi="Times New Roman" w:cs="Times New Roman"/>
          <w:b/>
          <w:sz w:val="20"/>
          <w:szCs w:val="20"/>
          <w:lang w:val="en-US"/>
        </w:rPr>
        <w:t xml:space="preserve">. </w:t>
      </w:r>
      <w:r w:rsidRPr="00586953">
        <w:rPr>
          <w:rFonts w:ascii="Times New Roman" w:hAnsi="Times New Roman" w:cs="Times New Roman"/>
          <w:sz w:val="20"/>
          <w:szCs w:val="20"/>
        </w:rPr>
        <w:t>Observações incluídas: 68</w:t>
      </w:r>
      <w:r w:rsidRPr="00586953">
        <w:rPr>
          <w:rFonts w:ascii="Times New Roman" w:hAnsi="Times New Roman" w:cs="Times New Roman"/>
          <w:b/>
          <w:sz w:val="20"/>
          <w:szCs w:val="20"/>
        </w:rPr>
        <w:t xml:space="preserve">. </w:t>
      </w:r>
      <w:r w:rsidRPr="00586953">
        <w:rPr>
          <w:rFonts w:ascii="Times New Roman" w:hAnsi="Times New Roman" w:cs="Times New Roman"/>
          <w:sz w:val="20"/>
          <w:szCs w:val="20"/>
        </w:rPr>
        <w:t xml:space="preserve">Os valores em parênteses são os valores-p. Todos os outros valores são testes </w:t>
      </w:r>
      <m:oMath>
        <m:sSup>
          <m:sSupPr>
            <m:ctrlPr>
              <w:rPr>
                <w:rFonts w:ascii="Cambria Math" w:hAnsi="Times New Roman" w:cs="Times New Roman"/>
                <w:i/>
                <w:sz w:val="20"/>
                <w:szCs w:val="20"/>
              </w:rPr>
            </m:ctrlPr>
          </m:sSupPr>
          <m:e>
            <m:r>
              <w:rPr>
                <w:rFonts w:ascii="Cambria Math" w:hAnsi="Cambria Math" w:cs="Times New Roman"/>
                <w:sz w:val="20"/>
                <w:szCs w:val="20"/>
              </w:rPr>
              <m:t>χ</m:t>
            </m:r>
          </m:e>
          <m:sup>
            <m:r>
              <w:rPr>
                <w:rFonts w:ascii="Cambria Math" w:hAnsi="Times New Roman" w:cs="Times New Roman"/>
                <w:sz w:val="20"/>
                <w:szCs w:val="20"/>
              </w:rPr>
              <m:t>2</m:t>
            </m:r>
          </m:sup>
        </m:sSup>
      </m:oMath>
      <w:r w:rsidRPr="00586953">
        <w:rPr>
          <w:rFonts w:ascii="Times New Roman" w:hAnsi="Times New Roman" w:cs="Times New Roman"/>
          <w:sz w:val="20"/>
          <w:szCs w:val="20"/>
        </w:rPr>
        <w:t xml:space="preserve"> da Causalidade de Granger. (***) significância a 1%. </w:t>
      </w:r>
      <w:r w:rsidRPr="00586953">
        <w:rPr>
          <w:rFonts w:ascii="Times New Roman" w:hAnsi="Times New Roman" w:cs="Times New Roman"/>
          <w:sz w:val="20"/>
        </w:rPr>
        <w:t xml:space="preserve"> </w:t>
      </w:r>
      <w:r w:rsidRPr="00586953">
        <w:rPr>
          <w:rFonts w:ascii="Times New Roman" w:hAnsi="Times New Roman" w:cs="Times New Roman"/>
          <w:sz w:val="20"/>
          <w:szCs w:val="20"/>
        </w:rPr>
        <w:t xml:space="preserve">Selecionaram-se duas defasagens ótimas no VAR estimado pelos critérios: </w:t>
      </w:r>
      <w:proofErr w:type="gramStart"/>
      <w:r w:rsidRPr="00586953">
        <w:rPr>
          <w:rFonts w:ascii="Times New Roman" w:hAnsi="Times New Roman" w:cs="Times New Roman"/>
          <w:sz w:val="20"/>
          <w:szCs w:val="20"/>
        </w:rPr>
        <w:t>estatística teste</w:t>
      </w:r>
      <w:proofErr w:type="gramEnd"/>
      <w:r w:rsidRPr="00586953">
        <w:rPr>
          <w:rFonts w:ascii="Times New Roman" w:hAnsi="Times New Roman" w:cs="Times New Roman"/>
          <w:sz w:val="20"/>
          <w:szCs w:val="20"/>
        </w:rPr>
        <w:t xml:space="preserve"> LR modificada sequencial (LR); erro de previsão final (FPE); critério de informação de </w:t>
      </w:r>
      <w:proofErr w:type="spellStart"/>
      <w:r w:rsidRPr="00586953">
        <w:rPr>
          <w:rFonts w:ascii="Times New Roman" w:hAnsi="Times New Roman" w:cs="Times New Roman"/>
          <w:sz w:val="20"/>
          <w:szCs w:val="20"/>
        </w:rPr>
        <w:t>Akaike</w:t>
      </w:r>
      <w:proofErr w:type="spellEnd"/>
      <w:r w:rsidRPr="00586953">
        <w:rPr>
          <w:rFonts w:ascii="Times New Roman" w:hAnsi="Times New Roman" w:cs="Times New Roman"/>
          <w:sz w:val="20"/>
          <w:szCs w:val="20"/>
        </w:rPr>
        <w:t xml:space="preserve"> (AIC) e critério de informação de </w:t>
      </w:r>
      <w:proofErr w:type="spellStart"/>
      <w:r w:rsidRPr="00586953">
        <w:rPr>
          <w:rFonts w:ascii="Times New Roman" w:hAnsi="Times New Roman" w:cs="Times New Roman"/>
          <w:sz w:val="20"/>
          <w:szCs w:val="20"/>
        </w:rPr>
        <w:t>Hannan-Quinn</w:t>
      </w:r>
      <w:proofErr w:type="spellEnd"/>
      <w:r w:rsidRPr="00586953">
        <w:rPr>
          <w:rFonts w:ascii="Times New Roman" w:hAnsi="Times New Roman" w:cs="Times New Roman"/>
          <w:sz w:val="20"/>
          <w:szCs w:val="20"/>
        </w:rPr>
        <w:t xml:space="preserve"> (HQ);. Inclusão de variáveis </w:t>
      </w:r>
      <w:proofErr w:type="spellStart"/>
      <w:r w:rsidRPr="00586953">
        <w:rPr>
          <w:rFonts w:ascii="Times New Roman" w:hAnsi="Times New Roman" w:cs="Times New Roman"/>
          <w:i/>
          <w:sz w:val="20"/>
          <w:szCs w:val="20"/>
        </w:rPr>
        <w:t>dummies</w:t>
      </w:r>
      <w:proofErr w:type="spellEnd"/>
      <w:r w:rsidRPr="00586953">
        <w:rPr>
          <w:rFonts w:ascii="Times New Roman" w:hAnsi="Times New Roman" w:cs="Times New Roman"/>
          <w:sz w:val="20"/>
          <w:szCs w:val="20"/>
        </w:rPr>
        <w:t xml:space="preserve"> de nível para o período 1999:03 e 1999:04. </w:t>
      </w:r>
    </w:p>
    <w:p w:rsidR="002836DE" w:rsidRPr="00586953" w:rsidRDefault="002836DE" w:rsidP="00AD2648">
      <w:pPr>
        <w:tabs>
          <w:tab w:val="left" w:pos="8080"/>
        </w:tabs>
        <w:ind w:right="991"/>
        <w:jc w:val="both"/>
        <w:rPr>
          <w:rFonts w:ascii="Times New Roman" w:hAnsi="Times New Roman" w:cs="Times New Roman"/>
          <w:b/>
          <w:sz w:val="20"/>
          <w:szCs w:val="20"/>
        </w:rPr>
      </w:pP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Observa-se</w:t>
      </w:r>
      <w:r w:rsidRPr="00586953">
        <w:rPr>
          <w:rFonts w:ascii="Times New Roman" w:hAnsi="Times New Roman" w:cs="Times New Roman"/>
          <w:sz w:val="24"/>
          <w:szCs w:val="24"/>
        </w:rPr>
        <w:t xml:space="preserve"> uma </w:t>
      </w:r>
      <w:r>
        <w:rPr>
          <w:rFonts w:ascii="Times New Roman" w:hAnsi="Times New Roman" w:cs="Times New Roman"/>
          <w:sz w:val="24"/>
          <w:szCs w:val="24"/>
        </w:rPr>
        <w:t>relação</w:t>
      </w:r>
      <w:r w:rsidRPr="00586953">
        <w:rPr>
          <w:rFonts w:ascii="Times New Roman" w:hAnsi="Times New Roman" w:cs="Times New Roman"/>
          <w:sz w:val="24"/>
          <w:szCs w:val="24"/>
        </w:rPr>
        <w:t xml:space="preserve"> de bicausalidade de Granger</w:t>
      </w:r>
      <w:r>
        <w:rPr>
          <w:rFonts w:ascii="Times New Roman" w:hAnsi="Times New Roman" w:cs="Times New Roman"/>
          <w:sz w:val="24"/>
          <w:szCs w:val="24"/>
        </w:rPr>
        <w:t xml:space="preserve">, ao nível de significância de 1%, entre poupança e investimento para a economia brasileira, </w:t>
      </w:r>
      <w:r w:rsidRPr="00E332D8">
        <w:rPr>
          <w:rFonts w:ascii="Times New Roman" w:hAnsi="Times New Roman" w:cs="Times New Roman"/>
          <w:sz w:val="24"/>
          <w:szCs w:val="24"/>
        </w:rPr>
        <w:t xml:space="preserve">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em relação a essas duas variáveis devem ser tomadas </w:t>
      </w:r>
      <w:r w:rsidRPr="00E332D8">
        <w:rPr>
          <w:rFonts w:ascii="Times New Roman" w:hAnsi="Times New Roman" w:cs="Times New Roman"/>
          <w:sz w:val="24"/>
          <w:szCs w:val="24"/>
        </w:rPr>
        <w:lastRenderedPageBreak/>
        <w:t>conjuntamente</w:t>
      </w:r>
      <w:r>
        <w:rPr>
          <w:rFonts w:ascii="Times New Roman" w:hAnsi="Times New Roman" w:cs="Times New Roman"/>
          <w:sz w:val="24"/>
          <w:szCs w:val="24"/>
        </w:rPr>
        <w:t xml:space="preserve">, como </w:t>
      </w:r>
      <w:r w:rsidRPr="006A504B">
        <w:rPr>
          <w:rFonts w:ascii="Times New Roman" w:hAnsi="Times New Roman" w:cs="Times New Roman"/>
          <w:color w:val="000000" w:themeColor="text1"/>
          <w:sz w:val="24"/>
          <w:szCs w:val="24"/>
        </w:rPr>
        <w:t>também evidências da validade do enigma de Feldstein-Horioka. Esse resultado corrobora as evidências obtidas por Silva Jr e Felix (2013), mesmo que em períodos distintos ao deste estudo. Note que nenhuma das variáveis pode ser considerada exógena no sistema.</w:t>
      </w:r>
    </w:p>
    <w:p w:rsidR="002836DE" w:rsidRDefault="002836DE" w:rsidP="00230341">
      <w:pPr>
        <w:spacing w:after="0" w:line="360" w:lineRule="auto"/>
        <w:ind w:firstLine="709"/>
        <w:jc w:val="both"/>
        <w:rPr>
          <w:rFonts w:ascii="Times New Roman" w:hAnsi="Times New Roman" w:cs="Times New Roman"/>
          <w:b/>
          <w:bCs/>
          <w:sz w:val="24"/>
          <w:szCs w:val="24"/>
        </w:rPr>
      </w:pPr>
      <w:r w:rsidRPr="00586953">
        <w:rPr>
          <w:rFonts w:ascii="Times New Roman" w:hAnsi="Times New Roman" w:cs="Times New Roman"/>
          <w:sz w:val="24"/>
          <w:szCs w:val="24"/>
        </w:rPr>
        <w:t xml:space="preserve">Em um contexto de VAR, embora a </w:t>
      </w:r>
      <w:r w:rsidR="006774FF">
        <w:rPr>
          <w:rFonts w:ascii="Times New Roman" w:hAnsi="Times New Roman" w:cs="Times New Roman"/>
          <w:sz w:val="24"/>
          <w:szCs w:val="24"/>
        </w:rPr>
        <w:t xml:space="preserve">análise de </w:t>
      </w:r>
      <w:r w:rsidRPr="00586953">
        <w:rPr>
          <w:rFonts w:ascii="Times New Roman" w:hAnsi="Times New Roman" w:cs="Times New Roman"/>
          <w:sz w:val="24"/>
          <w:szCs w:val="24"/>
        </w:rPr>
        <w:t>causalidade</w:t>
      </w:r>
      <w:r w:rsidR="006774FF">
        <w:rPr>
          <w:rFonts w:ascii="Times New Roman" w:hAnsi="Times New Roman" w:cs="Times New Roman"/>
          <w:sz w:val="24"/>
          <w:szCs w:val="24"/>
        </w:rPr>
        <w:t xml:space="preserve"> de</w:t>
      </w:r>
      <w:r w:rsidRPr="00586953">
        <w:rPr>
          <w:rFonts w:ascii="Times New Roman" w:hAnsi="Times New Roman" w:cs="Times New Roman"/>
          <w:sz w:val="24"/>
          <w:szCs w:val="24"/>
        </w:rPr>
        <w:t xml:space="preserve"> Granger seja </w:t>
      </w:r>
      <w:r w:rsidR="006774FF">
        <w:rPr>
          <w:rFonts w:ascii="Times New Roman" w:hAnsi="Times New Roman" w:cs="Times New Roman"/>
          <w:sz w:val="24"/>
          <w:szCs w:val="24"/>
        </w:rPr>
        <w:t>bem propícia a essa investigação</w:t>
      </w:r>
      <w:r w:rsidRPr="00586953">
        <w:rPr>
          <w:rFonts w:ascii="Times New Roman" w:hAnsi="Times New Roman" w:cs="Times New Roman"/>
          <w:sz w:val="24"/>
          <w:szCs w:val="24"/>
        </w:rPr>
        <w:t xml:space="preserve">, é interessante também </w:t>
      </w:r>
      <w:r w:rsidR="006774FF">
        <w:rPr>
          <w:rFonts w:ascii="Times New Roman" w:hAnsi="Times New Roman" w:cs="Times New Roman"/>
          <w:sz w:val="24"/>
          <w:szCs w:val="24"/>
        </w:rPr>
        <w:t>verificar</w:t>
      </w:r>
      <w:r w:rsidRPr="00586953">
        <w:rPr>
          <w:rFonts w:ascii="Times New Roman" w:hAnsi="Times New Roman" w:cs="Times New Roman"/>
          <w:sz w:val="24"/>
          <w:szCs w:val="24"/>
        </w:rPr>
        <w:t xml:space="preserve"> como uma variável responde a um impulso em outra variável </w:t>
      </w:r>
      <w:r w:rsidRPr="00586953">
        <w:rPr>
          <w:rFonts w:ascii="Times New Roman" w:hAnsi="Times New Roman" w:cs="Times New Roman"/>
          <w:i/>
          <w:sz w:val="24"/>
          <w:szCs w:val="24"/>
        </w:rPr>
        <w:t>ceteris paribus</w:t>
      </w:r>
      <w:r w:rsidRPr="00586953">
        <w:rPr>
          <w:rFonts w:ascii="Times New Roman" w:hAnsi="Times New Roman" w:cs="Times New Roman"/>
          <w:sz w:val="24"/>
          <w:szCs w:val="24"/>
        </w:rPr>
        <w:t xml:space="preserve">, ou seja, em um exercício de estática comparativa. Isso é chamado de análise impulso-resposta. </w:t>
      </w:r>
      <w:r w:rsidRPr="00586953">
        <w:rPr>
          <w:rFonts w:ascii="Times New Roman" w:hAnsi="Times New Roman" w:cs="Times New Roman"/>
          <w:bCs/>
          <w:sz w:val="24"/>
          <w:szCs w:val="24"/>
        </w:rPr>
        <w:t>Nessa análise, é possível verificar o sentido dos efeitos de cada variável (impulso) sobre as outras variáveis (resposta). O efeito nesse caso pode ser positivo ou negativo.</w:t>
      </w:r>
      <w:r w:rsidRPr="00586953">
        <w:rPr>
          <w:rFonts w:ascii="Times New Roman" w:hAnsi="Times New Roman" w:cs="Times New Roman"/>
          <w:b/>
          <w:bCs/>
          <w:sz w:val="24"/>
          <w:szCs w:val="24"/>
        </w:rPr>
        <w:t xml:space="preserve"> </w:t>
      </w:r>
    </w:p>
    <w:p w:rsidR="004B3779" w:rsidRDefault="00911CE6" w:rsidP="004B3779">
      <w:pPr>
        <w:spacing w:after="0" w:line="360" w:lineRule="auto"/>
        <w:ind w:firstLine="709"/>
        <w:jc w:val="both"/>
        <w:rPr>
          <w:rFonts w:ascii="Times New Roman" w:hAnsi="Times New Roman" w:cs="Times New Roman"/>
          <w:color w:val="000000" w:themeColor="text1"/>
          <w:sz w:val="24"/>
          <w:szCs w:val="24"/>
        </w:rPr>
      </w:pPr>
      <w:r w:rsidRPr="00E3088B">
        <w:rPr>
          <w:rFonts w:ascii="Times New Roman" w:hAnsi="Times New Roman" w:cs="Times New Roman"/>
          <w:color w:val="000000" w:themeColor="text1"/>
          <w:sz w:val="24"/>
          <w:szCs w:val="24"/>
        </w:rPr>
        <w:t xml:space="preserve">A </w:t>
      </w:r>
      <w:r w:rsidR="00CE4452" w:rsidRPr="00E3088B">
        <w:rPr>
          <w:rFonts w:ascii="Times New Roman" w:hAnsi="Times New Roman" w:cs="Times New Roman"/>
          <w:color w:val="000000" w:themeColor="text1"/>
          <w:sz w:val="24"/>
          <w:szCs w:val="24"/>
        </w:rPr>
        <w:t xml:space="preserve">Figura </w:t>
      </w:r>
      <w:r w:rsidR="00F36789" w:rsidRPr="00E3088B">
        <w:rPr>
          <w:rFonts w:ascii="Times New Roman" w:hAnsi="Times New Roman" w:cs="Times New Roman"/>
          <w:color w:val="000000" w:themeColor="text1"/>
          <w:sz w:val="24"/>
          <w:szCs w:val="24"/>
        </w:rPr>
        <w:t>3</w:t>
      </w:r>
      <w:r w:rsidR="002836DE" w:rsidRPr="00E3088B">
        <w:rPr>
          <w:rFonts w:ascii="Times New Roman" w:hAnsi="Times New Roman" w:cs="Times New Roman"/>
          <w:color w:val="000000" w:themeColor="text1"/>
          <w:sz w:val="24"/>
          <w:szCs w:val="24"/>
        </w:rPr>
        <w:t xml:space="preserve"> mostra os resultados da</w:t>
      </w:r>
      <w:r w:rsidR="00E07AB8" w:rsidRPr="00E3088B">
        <w:rPr>
          <w:rFonts w:ascii="Times New Roman" w:hAnsi="Times New Roman" w:cs="Times New Roman"/>
          <w:color w:val="000000" w:themeColor="text1"/>
          <w:sz w:val="24"/>
          <w:szCs w:val="24"/>
        </w:rPr>
        <w:t>s</w:t>
      </w:r>
      <w:r w:rsidR="002836DE" w:rsidRPr="00E3088B">
        <w:rPr>
          <w:rFonts w:ascii="Times New Roman" w:hAnsi="Times New Roman" w:cs="Times New Roman"/>
          <w:color w:val="000000" w:themeColor="text1"/>
          <w:sz w:val="24"/>
          <w:szCs w:val="24"/>
        </w:rPr>
        <w:t xml:space="preserve"> </w:t>
      </w:r>
      <w:r w:rsidR="00E07AB8" w:rsidRPr="00E3088B">
        <w:rPr>
          <w:rFonts w:ascii="Times New Roman" w:hAnsi="Times New Roman" w:cs="Times New Roman"/>
          <w:color w:val="000000" w:themeColor="text1"/>
          <w:sz w:val="24"/>
          <w:szCs w:val="24"/>
        </w:rPr>
        <w:t>funções de</w:t>
      </w:r>
      <w:r w:rsidR="002836DE" w:rsidRPr="00E3088B">
        <w:rPr>
          <w:rFonts w:ascii="Times New Roman" w:hAnsi="Times New Roman" w:cs="Times New Roman"/>
          <w:color w:val="000000" w:themeColor="text1"/>
          <w:sz w:val="24"/>
          <w:szCs w:val="24"/>
        </w:rPr>
        <w:t xml:space="preserve"> impulso-resposta </w:t>
      </w:r>
      <w:r w:rsidR="00E07AB8" w:rsidRPr="00E3088B">
        <w:rPr>
          <w:rFonts w:ascii="Times New Roman" w:hAnsi="Times New Roman" w:cs="Times New Roman"/>
          <w:color w:val="000000" w:themeColor="text1"/>
          <w:sz w:val="24"/>
          <w:szCs w:val="24"/>
        </w:rPr>
        <w:t xml:space="preserve">generalizadas </w:t>
      </w:r>
      <w:r w:rsidR="002836DE" w:rsidRPr="00E3088B">
        <w:rPr>
          <w:rFonts w:ascii="Times New Roman" w:hAnsi="Times New Roman" w:cs="Times New Roman"/>
          <w:color w:val="000000" w:themeColor="text1"/>
          <w:sz w:val="24"/>
          <w:szCs w:val="24"/>
        </w:rPr>
        <w:t xml:space="preserve">para o efeito provocado por um choque de um desvio padrão. </w:t>
      </w:r>
    </w:p>
    <w:p w:rsidR="004B3779" w:rsidRDefault="004B3779" w:rsidP="004B3779">
      <w:pPr>
        <w:spacing w:after="0" w:line="360" w:lineRule="auto"/>
        <w:ind w:firstLine="709"/>
        <w:jc w:val="both"/>
        <w:rPr>
          <w:rFonts w:ascii="Times New Roman" w:hAnsi="Times New Roman" w:cs="Times New Roman"/>
          <w:b/>
          <w:sz w:val="24"/>
          <w:szCs w:val="24"/>
        </w:rPr>
      </w:pPr>
    </w:p>
    <w:p w:rsidR="00571F58" w:rsidRPr="00586953" w:rsidRDefault="00CE4452" w:rsidP="000F0180">
      <w:pPr>
        <w:spacing w:after="0" w:line="360" w:lineRule="auto"/>
        <w:jc w:val="both"/>
        <w:rPr>
          <w:rFonts w:ascii="Times New Roman" w:hAnsi="Times New Roman" w:cs="Times New Roman"/>
          <w:sz w:val="24"/>
          <w:szCs w:val="24"/>
        </w:rPr>
      </w:pPr>
      <w:r w:rsidRPr="00586953">
        <w:rPr>
          <w:rFonts w:ascii="Times New Roman" w:hAnsi="Times New Roman" w:cs="Times New Roman"/>
          <w:b/>
          <w:sz w:val="24"/>
          <w:szCs w:val="24"/>
        </w:rPr>
        <w:t xml:space="preserve">Figura </w:t>
      </w:r>
      <w:r w:rsidR="00F36789">
        <w:rPr>
          <w:rFonts w:ascii="Times New Roman" w:hAnsi="Times New Roman" w:cs="Times New Roman"/>
          <w:b/>
          <w:sz w:val="24"/>
          <w:szCs w:val="24"/>
        </w:rPr>
        <w:t>3</w:t>
      </w:r>
      <w:r w:rsidR="00E07AB8" w:rsidRPr="00586953">
        <w:rPr>
          <w:rFonts w:ascii="Times New Roman" w:hAnsi="Times New Roman" w:cs="Times New Roman"/>
          <w:sz w:val="24"/>
          <w:szCs w:val="24"/>
        </w:rPr>
        <w:t xml:space="preserve"> – Função Impulso-Resposta Generalizada</w:t>
      </w:r>
    </w:p>
    <w:p w:rsidR="00571F58" w:rsidRDefault="00E07AB8" w:rsidP="000F0180">
      <w:pPr>
        <w:spacing w:after="0" w:line="360" w:lineRule="auto"/>
        <w:jc w:val="both"/>
        <w:rPr>
          <w:rFonts w:ascii="Times New Roman" w:hAnsi="Times New Roman" w:cs="Times New Roman"/>
          <w:b/>
          <w:sz w:val="24"/>
          <w:szCs w:val="24"/>
        </w:rPr>
      </w:pPr>
      <w:r w:rsidRPr="00F36789">
        <w:rPr>
          <w:noProof/>
          <w:bdr w:val="single" w:sz="4" w:space="0" w:color="auto"/>
        </w:rPr>
        <w:drawing>
          <wp:inline distT="0" distB="0" distL="0" distR="0">
            <wp:extent cx="5397500" cy="3778250"/>
            <wp:effectExtent l="1905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t="4341"/>
                    <a:stretch>
                      <a:fillRect/>
                    </a:stretch>
                  </pic:blipFill>
                  <pic:spPr bwMode="auto">
                    <a:xfrm>
                      <a:off x="0" y="0"/>
                      <a:ext cx="5397500" cy="3778250"/>
                    </a:xfrm>
                    <a:prstGeom prst="rect">
                      <a:avLst/>
                    </a:prstGeom>
                    <a:noFill/>
                    <a:ln w="9525">
                      <a:noFill/>
                      <a:miter lim="800000"/>
                      <a:headEnd/>
                      <a:tailEnd/>
                    </a:ln>
                  </pic:spPr>
                </pic:pic>
              </a:graphicData>
            </a:graphic>
          </wp:inline>
        </w:drawing>
      </w:r>
    </w:p>
    <w:p w:rsidR="00F36789" w:rsidRPr="00F36789" w:rsidRDefault="00F36789" w:rsidP="000F0180">
      <w:pPr>
        <w:spacing w:after="0" w:line="360" w:lineRule="auto"/>
        <w:jc w:val="both"/>
        <w:rPr>
          <w:rFonts w:ascii="Times New Roman" w:hAnsi="Times New Roman" w:cs="Times New Roman"/>
          <w:sz w:val="20"/>
          <w:szCs w:val="20"/>
        </w:rPr>
      </w:pPr>
      <w:r w:rsidRPr="00F36789">
        <w:rPr>
          <w:rFonts w:ascii="Times New Roman" w:hAnsi="Times New Roman" w:cs="Times New Roman"/>
          <w:b/>
          <w:sz w:val="20"/>
          <w:szCs w:val="20"/>
        </w:rPr>
        <w:t xml:space="preserve">Nota: </w:t>
      </w:r>
      <w:r w:rsidRPr="00F36789">
        <w:rPr>
          <w:rFonts w:ascii="Times New Roman" w:hAnsi="Times New Roman" w:cs="Times New Roman"/>
          <w:sz w:val="20"/>
          <w:szCs w:val="20"/>
        </w:rPr>
        <w:t>elaboração dos autores</w:t>
      </w:r>
    </w:p>
    <w:p w:rsidR="00DF3040" w:rsidRDefault="00DF3040" w:rsidP="000F0180">
      <w:pPr>
        <w:spacing w:after="0" w:line="360" w:lineRule="auto"/>
        <w:ind w:firstLine="708"/>
        <w:jc w:val="both"/>
        <w:rPr>
          <w:rFonts w:ascii="Times New Roman" w:hAnsi="Times New Roman" w:cs="Times New Roman"/>
          <w:sz w:val="24"/>
          <w:szCs w:val="24"/>
        </w:rPr>
      </w:pPr>
    </w:p>
    <w:p w:rsidR="004B3779" w:rsidRDefault="004B3779" w:rsidP="004B3779">
      <w:pPr>
        <w:spacing w:after="0" w:line="360" w:lineRule="auto"/>
        <w:ind w:firstLine="709"/>
        <w:jc w:val="both"/>
        <w:rPr>
          <w:rFonts w:ascii="Times New Roman" w:hAnsi="Times New Roman" w:cs="Times New Roman"/>
          <w:color w:val="000000" w:themeColor="text1"/>
          <w:sz w:val="24"/>
          <w:szCs w:val="24"/>
        </w:rPr>
      </w:pPr>
      <w:r w:rsidRPr="00E3088B">
        <w:rPr>
          <w:rFonts w:ascii="Times New Roman" w:hAnsi="Times New Roman" w:cs="Times New Roman"/>
          <w:color w:val="000000" w:themeColor="text1"/>
          <w:sz w:val="24"/>
          <w:szCs w:val="24"/>
        </w:rPr>
        <w:t xml:space="preserve">Por exemplo, a resposta da relação investimento/PIB a um choque de um desvio-padrão generalizado na relação poupança/PIB é positiva ao longo de 10 trimestres. </w:t>
      </w:r>
      <w:r>
        <w:rPr>
          <w:rFonts w:ascii="Times New Roman" w:hAnsi="Times New Roman" w:cs="Times New Roman"/>
          <w:color w:val="000000" w:themeColor="text1"/>
          <w:sz w:val="24"/>
          <w:szCs w:val="24"/>
        </w:rPr>
        <w:t xml:space="preserve"> </w:t>
      </w:r>
      <w:r w:rsidRPr="00E3088B">
        <w:rPr>
          <w:rFonts w:ascii="Times New Roman" w:hAnsi="Times New Roman" w:cs="Times New Roman"/>
          <w:color w:val="000000" w:themeColor="text1"/>
          <w:sz w:val="24"/>
          <w:szCs w:val="24"/>
        </w:rPr>
        <w:t xml:space="preserve">Ademais, a resposta da relação poupança/PIB a uma inovação de um desvio-padrão generalizado na </w:t>
      </w:r>
      <w:r w:rsidRPr="00E3088B">
        <w:rPr>
          <w:rFonts w:ascii="Times New Roman" w:hAnsi="Times New Roman" w:cs="Times New Roman"/>
          <w:color w:val="000000" w:themeColor="text1"/>
          <w:sz w:val="24"/>
          <w:szCs w:val="24"/>
        </w:rPr>
        <w:lastRenderedPageBreak/>
        <w:t>relação investimento/PIB é positiva até o quinto trimestre, torna</w:t>
      </w:r>
      <w:r w:rsidR="00BB195F">
        <w:rPr>
          <w:rFonts w:ascii="Times New Roman" w:hAnsi="Times New Roman" w:cs="Times New Roman"/>
          <w:color w:val="000000" w:themeColor="text1"/>
          <w:sz w:val="24"/>
          <w:szCs w:val="24"/>
        </w:rPr>
        <w:t>ndo-se negativa logo em seguida, em outras palavras, a resposta da taxa de poupança a um choque inesperado na taxa de investimento é mais significativo ao longo dos períodos do que o contrário.</w:t>
      </w:r>
    </w:p>
    <w:p w:rsidR="0053101C" w:rsidRDefault="002836DE" w:rsidP="004B3779">
      <w:pPr>
        <w:spacing w:after="0" w:line="360" w:lineRule="auto"/>
        <w:ind w:firstLine="709"/>
        <w:jc w:val="both"/>
        <w:rPr>
          <w:rFonts w:ascii="Times New Roman" w:hAnsi="Times New Roman" w:cs="Times New Roman"/>
          <w:sz w:val="24"/>
          <w:szCs w:val="24"/>
        </w:rPr>
      </w:pPr>
      <w:r w:rsidRPr="00586953">
        <w:rPr>
          <w:rFonts w:ascii="Times New Roman" w:hAnsi="Times New Roman" w:cs="Times New Roman"/>
          <w:sz w:val="24"/>
          <w:szCs w:val="24"/>
        </w:rPr>
        <w:t>Outra ferramenta que pode ser utilizada para interpretar</w:t>
      </w:r>
      <w:r w:rsidR="006774FF">
        <w:rPr>
          <w:rFonts w:ascii="Times New Roman" w:hAnsi="Times New Roman" w:cs="Times New Roman"/>
          <w:sz w:val="24"/>
          <w:szCs w:val="24"/>
        </w:rPr>
        <w:t xml:space="preserve"> os resultados obtidos de </w:t>
      </w:r>
      <w:r w:rsidRPr="00586953">
        <w:rPr>
          <w:rFonts w:ascii="Times New Roman" w:hAnsi="Times New Roman" w:cs="Times New Roman"/>
          <w:sz w:val="24"/>
          <w:szCs w:val="24"/>
        </w:rPr>
        <w:t xml:space="preserve">modelos VAR é a decomposição da variância do erro de previsão. </w:t>
      </w:r>
      <w:r w:rsidRPr="00586953">
        <w:rPr>
          <w:rFonts w:ascii="Times New Roman" w:hAnsi="Times New Roman" w:cs="Times New Roman"/>
          <w:bCs/>
          <w:sz w:val="24"/>
          <w:szCs w:val="24"/>
        </w:rPr>
        <w:t>Ela é utilizada para avaliar a importância relativa sobre os erros de previsão para uma determinada variável</w:t>
      </w:r>
      <w:r w:rsidRPr="00586953">
        <w:rPr>
          <w:rFonts w:ascii="Times New Roman" w:hAnsi="Times New Roman" w:cs="Times New Roman"/>
          <w:sz w:val="24"/>
          <w:szCs w:val="24"/>
        </w:rPr>
        <w:t>. Essa ferramenta fornece a proporção de movimentos de uma sequencia que é devida a choques nela mesma contra choques de outras variáveis.</w:t>
      </w:r>
      <w:r w:rsidR="004B3779">
        <w:rPr>
          <w:rFonts w:ascii="Times New Roman" w:hAnsi="Times New Roman" w:cs="Times New Roman"/>
          <w:sz w:val="24"/>
          <w:szCs w:val="24"/>
        </w:rPr>
        <w:t xml:space="preserve"> </w:t>
      </w:r>
      <w:r w:rsidR="00D92A99">
        <w:rPr>
          <w:rFonts w:ascii="Times New Roman" w:hAnsi="Times New Roman" w:cs="Times New Roman"/>
          <w:sz w:val="24"/>
          <w:szCs w:val="24"/>
        </w:rPr>
        <w:t>A</w:t>
      </w:r>
      <w:r w:rsidR="00571F58" w:rsidRPr="00586953">
        <w:rPr>
          <w:rFonts w:ascii="Times New Roman" w:hAnsi="Times New Roman" w:cs="Times New Roman"/>
          <w:sz w:val="24"/>
          <w:szCs w:val="24"/>
        </w:rPr>
        <w:t xml:space="preserve"> Tabela </w:t>
      </w:r>
      <w:r w:rsidR="00213F7C" w:rsidRPr="00586953">
        <w:rPr>
          <w:rFonts w:ascii="Times New Roman" w:hAnsi="Times New Roman" w:cs="Times New Roman"/>
          <w:sz w:val="24"/>
          <w:szCs w:val="24"/>
        </w:rPr>
        <w:t>5</w:t>
      </w:r>
      <w:r w:rsidR="00D92A99">
        <w:rPr>
          <w:rFonts w:ascii="Times New Roman" w:hAnsi="Times New Roman" w:cs="Times New Roman"/>
          <w:sz w:val="24"/>
          <w:szCs w:val="24"/>
        </w:rPr>
        <w:t xml:space="preserve"> reporta os resultados para a análise de decomposição da variância. </w:t>
      </w:r>
    </w:p>
    <w:p w:rsidR="002B5C8E" w:rsidRPr="00586953" w:rsidRDefault="002B5C8E" w:rsidP="004B3779">
      <w:pPr>
        <w:spacing w:after="0" w:line="360" w:lineRule="auto"/>
        <w:ind w:firstLine="709"/>
        <w:jc w:val="both"/>
        <w:rPr>
          <w:rFonts w:ascii="Times New Roman" w:hAnsi="Times New Roman" w:cs="Times New Roman"/>
          <w:sz w:val="24"/>
          <w:szCs w:val="24"/>
        </w:rPr>
      </w:pPr>
    </w:p>
    <w:p w:rsidR="002836DE" w:rsidRPr="00586953" w:rsidRDefault="00154B10" w:rsidP="00154B10">
      <w:pPr>
        <w:autoSpaceDE w:val="0"/>
        <w:autoSpaceDN w:val="0"/>
        <w:adjustRightInd w:val="0"/>
        <w:ind w:left="1416"/>
        <w:jc w:val="both"/>
        <w:rPr>
          <w:rFonts w:ascii="Times New Roman" w:hAnsi="Times New Roman" w:cs="Times New Roman"/>
          <w:sz w:val="24"/>
          <w:szCs w:val="24"/>
        </w:rPr>
      </w:pPr>
      <w:r w:rsidRPr="00586953">
        <w:rPr>
          <w:rFonts w:ascii="Times New Roman" w:hAnsi="Times New Roman" w:cs="Times New Roman"/>
          <w:b/>
          <w:sz w:val="24"/>
          <w:szCs w:val="24"/>
        </w:rPr>
        <w:t xml:space="preserve">     </w:t>
      </w:r>
      <w:r w:rsidR="00571F58" w:rsidRPr="00586953">
        <w:rPr>
          <w:rFonts w:ascii="Times New Roman" w:hAnsi="Times New Roman" w:cs="Times New Roman"/>
          <w:b/>
          <w:sz w:val="24"/>
          <w:szCs w:val="24"/>
        </w:rPr>
        <w:t xml:space="preserve">Tabela </w:t>
      </w:r>
      <w:r w:rsidR="00213F7C" w:rsidRPr="00586953">
        <w:rPr>
          <w:rFonts w:ascii="Times New Roman" w:hAnsi="Times New Roman" w:cs="Times New Roman"/>
          <w:b/>
          <w:sz w:val="24"/>
          <w:szCs w:val="24"/>
        </w:rPr>
        <w:t>5</w:t>
      </w:r>
      <w:r w:rsidR="00B522BC" w:rsidRPr="00586953">
        <w:rPr>
          <w:rFonts w:ascii="Times New Roman" w:hAnsi="Times New Roman" w:cs="Times New Roman"/>
          <w:sz w:val="24"/>
          <w:szCs w:val="24"/>
        </w:rPr>
        <w:t xml:space="preserve"> -</w:t>
      </w:r>
      <w:r w:rsidR="002836DE" w:rsidRPr="00586953">
        <w:rPr>
          <w:rFonts w:ascii="Times New Roman" w:hAnsi="Times New Roman" w:cs="Times New Roman"/>
          <w:sz w:val="24"/>
          <w:szCs w:val="24"/>
        </w:rPr>
        <w:t xml:space="preserve"> Decomposição da Variância</w:t>
      </w:r>
    </w:p>
    <w:tbl>
      <w:tblPr>
        <w:tblW w:w="0" w:type="auto"/>
        <w:jc w:val="center"/>
        <w:tblInd w:w="1446" w:type="dxa"/>
        <w:tblLayout w:type="fixed"/>
        <w:tblCellMar>
          <w:left w:w="0" w:type="dxa"/>
          <w:right w:w="0" w:type="dxa"/>
        </w:tblCellMar>
        <w:tblLook w:val="0000"/>
      </w:tblPr>
      <w:tblGrid>
        <w:gridCol w:w="822"/>
        <w:gridCol w:w="1418"/>
        <w:gridCol w:w="1417"/>
        <w:gridCol w:w="1418"/>
      </w:tblGrid>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2836DE" w:rsidP="00444EAD">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Decomposi</w:t>
            </w:r>
            <w:r w:rsidR="00444EAD" w:rsidRPr="00586953">
              <w:rPr>
                <w:rFonts w:ascii="Times New Roman" w:hAnsi="Times New Roman" w:cs="Times New Roman"/>
              </w:rPr>
              <w:t>ção da Variância</w:t>
            </w:r>
            <w:r w:rsidRPr="00586953">
              <w:rPr>
                <w:rFonts w:ascii="Times New Roman" w:hAnsi="Times New Roman" w:cs="Times New Roman"/>
              </w:rPr>
              <w:t xml:space="preserve"> </w:t>
            </w:r>
            <w:r w:rsidR="00444EAD" w:rsidRPr="00586953">
              <w:rPr>
                <w:rFonts w:ascii="Times New Roman" w:hAnsi="Times New Roman" w:cs="Times New Roman"/>
              </w:rPr>
              <w:t>de i/y</w:t>
            </w:r>
            <w:r w:rsidRPr="00586953">
              <w:rPr>
                <w:rFonts w:ascii="Times New Roman" w:hAnsi="Times New Roman" w:cs="Times New Roman"/>
              </w:rPr>
              <w:t>:</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444EAD" w:rsidRPr="00586953">
              <w:rPr>
                <w:rFonts w:ascii="Times New Roman" w:hAnsi="Times New Roman" w:cs="Times New Roman"/>
              </w:rPr>
              <w:t>Período</w:t>
            </w:r>
          </w:p>
        </w:tc>
        <w:tc>
          <w:tcPr>
            <w:tcW w:w="1418" w:type="dxa"/>
            <w:tcBorders>
              <w:top w:val="nil"/>
              <w:left w:val="nil"/>
              <w:bottom w:val="nil"/>
              <w:right w:val="nil"/>
            </w:tcBorders>
            <w:vAlign w:val="bottom"/>
          </w:tcPr>
          <w:p w:rsidR="002836DE" w:rsidRPr="00586953" w:rsidRDefault="000F0180"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xml:space="preserve">     </w:t>
            </w:r>
            <w:r w:rsidR="002836DE" w:rsidRPr="00586953">
              <w:rPr>
                <w:rFonts w:ascii="Times New Roman" w:hAnsi="Times New Roman" w:cs="Times New Roman"/>
              </w:rPr>
              <w:t>S.E.</w:t>
            </w:r>
          </w:p>
        </w:tc>
        <w:tc>
          <w:tcPr>
            <w:tcW w:w="1417"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i</w:t>
            </w:r>
            <w:proofErr w:type="gramEnd"/>
            <w:r w:rsidRPr="00586953">
              <w:rPr>
                <w:rFonts w:ascii="Times New Roman" w:hAnsi="Times New Roman" w:cs="Times New Roman"/>
              </w:rPr>
              <w:t>/y</w:t>
            </w:r>
          </w:p>
        </w:tc>
        <w:tc>
          <w:tcPr>
            <w:tcW w:w="1418"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s/y</w:t>
            </w:r>
            <w:proofErr w:type="gramEnd"/>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1</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059116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100</w:t>
            </w:r>
            <w:r w:rsidR="00E870E2">
              <w:rPr>
                <w:rFonts w:ascii="Times New Roman" w:hAnsi="Times New Roman" w:cs="Times New Roman"/>
              </w:rPr>
              <w:t>,</w:t>
            </w:r>
            <w:r w:rsidRPr="00586953">
              <w:rPr>
                <w:rFonts w:ascii="Times New Roman" w:hAnsi="Times New Roman" w:cs="Times New Roman"/>
              </w:rPr>
              <w:t>0000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000000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2</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077499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91</w:t>
            </w:r>
            <w:r w:rsidR="00E870E2">
              <w:rPr>
                <w:rFonts w:ascii="Times New Roman" w:hAnsi="Times New Roman" w:cs="Times New Roman"/>
              </w:rPr>
              <w:t>,</w:t>
            </w:r>
            <w:r w:rsidRPr="00586953">
              <w:rPr>
                <w:rFonts w:ascii="Times New Roman" w:hAnsi="Times New Roman" w:cs="Times New Roman"/>
              </w:rPr>
              <w:t>25603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w:t>
            </w:r>
            <w:r w:rsidR="00E870E2">
              <w:rPr>
                <w:rFonts w:ascii="Times New Roman" w:hAnsi="Times New Roman" w:cs="Times New Roman"/>
              </w:rPr>
              <w:t>,</w:t>
            </w:r>
            <w:r w:rsidRPr="00586953">
              <w:rPr>
                <w:rFonts w:ascii="Times New Roman" w:hAnsi="Times New Roman" w:cs="Times New Roman"/>
              </w:rPr>
              <w:t>743968</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3</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083692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89</w:t>
            </w:r>
            <w:r w:rsidR="00E870E2">
              <w:rPr>
                <w:rFonts w:ascii="Times New Roman" w:hAnsi="Times New Roman" w:cs="Times New Roman"/>
              </w:rPr>
              <w:t>,</w:t>
            </w:r>
            <w:r w:rsidRPr="00586953">
              <w:rPr>
                <w:rFonts w:ascii="Times New Roman" w:hAnsi="Times New Roman" w:cs="Times New Roman"/>
              </w:rPr>
              <w:t>36968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r w:rsidR="00E870E2">
              <w:rPr>
                <w:rFonts w:ascii="Times New Roman" w:hAnsi="Times New Roman" w:cs="Times New Roman"/>
              </w:rPr>
              <w:t>,</w:t>
            </w:r>
            <w:r w:rsidRPr="00586953">
              <w:rPr>
                <w:rFonts w:ascii="Times New Roman" w:hAnsi="Times New Roman" w:cs="Times New Roman"/>
              </w:rPr>
              <w:t>63032</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4</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086772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95143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04857</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5</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088495</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69975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30025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6</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089419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54860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45140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7</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089918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46634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53366</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8</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090192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41921</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58079</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9</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090343</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39119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60881</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090427</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37432</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62568</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Decomposição da Variância de s/y:</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444EAD" w:rsidRPr="00586953">
              <w:rPr>
                <w:rFonts w:ascii="Times New Roman" w:hAnsi="Times New Roman" w:cs="Times New Roman"/>
              </w:rPr>
              <w:t>Período</w:t>
            </w:r>
          </w:p>
        </w:tc>
        <w:tc>
          <w:tcPr>
            <w:tcW w:w="1418" w:type="dxa"/>
            <w:tcBorders>
              <w:top w:val="nil"/>
              <w:left w:val="nil"/>
              <w:bottom w:val="nil"/>
              <w:right w:val="nil"/>
            </w:tcBorders>
            <w:vAlign w:val="bottom"/>
          </w:tcPr>
          <w:p w:rsidR="002836DE" w:rsidRPr="00586953" w:rsidRDefault="00B522BC"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xml:space="preserve">     </w:t>
            </w:r>
            <w:r w:rsidR="002836DE" w:rsidRPr="00586953">
              <w:rPr>
                <w:rFonts w:ascii="Times New Roman" w:hAnsi="Times New Roman" w:cs="Times New Roman"/>
              </w:rPr>
              <w:t>S.E.</w:t>
            </w:r>
          </w:p>
        </w:tc>
        <w:tc>
          <w:tcPr>
            <w:tcW w:w="1417"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i</w:t>
            </w:r>
            <w:proofErr w:type="gramEnd"/>
            <w:r w:rsidRPr="00586953">
              <w:rPr>
                <w:rFonts w:ascii="Times New Roman" w:hAnsi="Times New Roman" w:cs="Times New Roman"/>
              </w:rPr>
              <w:t>/y</w:t>
            </w:r>
          </w:p>
        </w:tc>
        <w:tc>
          <w:tcPr>
            <w:tcW w:w="1418"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s/y</w:t>
            </w:r>
            <w:proofErr w:type="gramEnd"/>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1</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062172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51</w:t>
            </w:r>
            <w:r w:rsidR="00E870E2">
              <w:rPr>
                <w:rFonts w:ascii="Times New Roman" w:hAnsi="Times New Roman" w:cs="Times New Roman"/>
              </w:rPr>
              <w:t>,</w:t>
            </w:r>
            <w:r w:rsidRPr="00586953">
              <w:rPr>
                <w:rFonts w:ascii="Times New Roman" w:hAnsi="Times New Roman" w:cs="Times New Roman"/>
              </w:rPr>
              <w:t>27295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48</w:t>
            </w:r>
            <w:r w:rsidR="00E870E2">
              <w:rPr>
                <w:rFonts w:ascii="Times New Roman" w:hAnsi="Times New Roman" w:cs="Times New Roman"/>
              </w:rPr>
              <w:t>,</w:t>
            </w:r>
            <w:r w:rsidRPr="00586953">
              <w:rPr>
                <w:rFonts w:ascii="Times New Roman" w:hAnsi="Times New Roman" w:cs="Times New Roman"/>
              </w:rPr>
              <w:t>72705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2</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073635</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60</w:t>
            </w:r>
            <w:r w:rsidR="00E870E2">
              <w:rPr>
                <w:rFonts w:ascii="Times New Roman" w:hAnsi="Times New Roman" w:cs="Times New Roman"/>
              </w:rPr>
              <w:t>,</w:t>
            </w:r>
            <w:r w:rsidRPr="00586953">
              <w:rPr>
                <w:rFonts w:ascii="Times New Roman" w:hAnsi="Times New Roman" w:cs="Times New Roman"/>
              </w:rPr>
              <w:t>16006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39</w:t>
            </w:r>
            <w:r w:rsidR="00E870E2">
              <w:rPr>
                <w:rFonts w:ascii="Times New Roman" w:hAnsi="Times New Roman" w:cs="Times New Roman"/>
              </w:rPr>
              <w:t>,</w:t>
            </w:r>
            <w:r w:rsidRPr="00586953">
              <w:rPr>
                <w:rFonts w:ascii="Times New Roman" w:hAnsi="Times New Roman" w:cs="Times New Roman"/>
              </w:rPr>
              <w:t>83994</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3</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077828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58</w:t>
            </w:r>
            <w:r w:rsidR="00E870E2">
              <w:rPr>
                <w:rFonts w:ascii="Times New Roman" w:hAnsi="Times New Roman" w:cs="Times New Roman"/>
              </w:rPr>
              <w:t>,</w:t>
            </w:r>
            <w:r w:rsidRPr="00586953">
              <w:rPr>
                <w:rFonts w:ascii="Times New Roman" w:hAnsi="Times New Roman" w:cs="Times New Roman"/>
              </w:rPr>
              <w:t>49088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41</w:t>
            </w:r>
            <w:r w:rsidR="00E870E2">
              <w:rPr>
                <w:rFonts w:ascii="Times New Roman" w:hAnsi="Times New Roman" w:cs="Times New Roman"/>
              </w:rPr>
              <w:t>,</w:t>
            </w:r>
            <w:r w:rsidRPr="00586953">
              <w:rPr>
                <w:rFonts w:ascii="Times New Roman" w:hAnsi="Times New Roman" w:cs="Times New Roman"/>
              </w:rPr>
              <w:t>50912</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4</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081318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54</w:t>
            </w:r>
            <w:r w:rsidR="00E870E2">
              <w:rPr>
                <w:rFonts w:ascii="Times New Roman" w:hAnsi="Times New Roman" w:cs="Times New Roman"/>
              </w:rPr>
              <w:t>,</w:t>
            </w:r>
            <w:r w:rsidRPr="00586953">
              <w:rPr>
                <w:rFonts w:ascii="Times New Roman" w:hAnsi="Times New Roman" w:cs="Times New Roman"/>
              </w:rPr>
              <w:t>52880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45</w:t>
            </w:r>
            <w:r w:rsidR="00E870E2">
              <w:rPr>
                <w:rFonts w:ascii="Times New Roman" w:hAnsi="Times New Roman" w:cs="Times New Roman"/>
              </w:rPr>
              <w:t>,</w:t>
            </w:r>
            <w:r w:rsidRPr="00586953">
              <w:rPr>
                <w:rFonts w:ascii="Times New Roman" w:hAnsi="Times New Roman" w:cs="Times New Roman"/>
              </w:rPr>
              <w:t>47120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5</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084259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50</w:t>
            </w:r>
            <w:r w:rsidR="00E870E2">
              <w:rPr>
                <w:rFonts w:ascii="Times New Roman" w:hAnsi="Times New Roman" w:cs="Times New Roman"/>
              </w:rPr>
              <w:t>,</w:t>
            </w:r>
            <w:r w:rsidRPr="00586953">
              <w:rPr>
                <w:rFonts w:ascii="Times New Roman" w:hAnsi="Times New Roman" w:cs="Times New Roman"/>
              </w:rPr>
              <w:t>87744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49</w:t>
            </w:r>
            <w:r w:rsidR="00E870E2">
              <w:rPr>
                <w:rFonts w:ascii="Times New Roman" w:hAnsi="Times New Roman" w:cs="Times New Roman"/>
              </w:rPr>
              <w:t>,</w:t>
            </w:r>
            <w:r w:rsidRPr="00586953">
              <w:rPr>
                <w:rFonts w:ascii="Times New Roman" w:hAnsi="Times New Roman" w:cs="Times New Roman"/>
              </w:rPr>
              <w:t>12256</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6</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086876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47</w:t>
            </w:r>
            <w:r w:rsidR="00E870E2">
              <w:rPr>
                <w:rFonts w:ascii="Times New Roman" w:hAnsi="Times New Roman" w:cs="Times New Roman"/>
              </w:rPr>
              <w:t>,</w:t>
            </w:r>
            <w:r w:rsidRPr="00586953">
              <w:rPr>
                <w:rFonts w:ascii="Times New Roman" w:hAnsi="Times New Roman" w:cs="Times New Roman"/>
              </w:rPr>
              <w:t>88790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52</w:t>
            </w:r>
            <w:r w:rsidR="00E870E2">
              <w:rPr>
                <w:rFonts w:ascii="Times New Roman" w:hAnsi="Times New Roman" w:cs="Times New Roman"/>
              </w:rPr>
              <w:t>,</w:t>
            </w:r>
            <w:r w:rsidRPr="00586953">
              <w:rPr>
                <w:rFonts w:ascii="Times New Roman" w:hAnsi="Times New Roman" w:cs="Times New Roman"/>
              </w:rPr>
              <w:t>11210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7</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089276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45</w:t>
            </w:r>
            <w:r w:rsidR="00E870E2">
              <w:rPr>
                <w:rFonts w:ascii="Times New Roman" w:hAnsi="Times New Roman" w:cs="Times New Roman"/>
              </w:rPr>
              <w:t>,</w:t>
            </w:r>
            <w:r w:rsidRPr="00586953">
              <w:rPr>
                <w:rFonts w:ascii="Times New Roman" w:hAnsi="Times New Roman" w:cs="Times New Roman"/>
              </w:rPr>
              <w:t>56136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54</w:t>
            </w:r>
            <w:r w:rsidR="00E870E2">
              <w:rPr>
                <w:rFonts w:ascii="Times New Roman" w:hAnsi="Times New Roman" w:cs="Times New Roman"/>
              </w:rPr>
              <w:t>,</w:t>
            </w:r>
            <w:r w:rsidRPr="00586953">
              <w:rPr>
                <w:rFonts w:ascii="Times New Roman" w:hAnsi="Times New Roman" w:cs="Times New Roman"/>
              </w:rPr>
              <w:t>43864</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8</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091438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43</w:t>
            </w:r>
            <w:r w:rsidR="00E870E2">
              <w:rPr>
                <w:rFonts w:ascii="Times New Roman" w:hAnsi="Times New Roman" w:cs="Times New Roman"/>
              </w:rPr>
              <w:t>,</w:t>
            </w:r>
            <w:r w:rsidRPr="00586953">
              <w:rPr>
                <w:rFonts w:ascii="Times New Roman" w:hAnsi="Times New Roman" w:cs="Times New Roman"/>
              </w:rPr>
              <w:t>81915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56</w:t>
            </w:r>
            <w:r w:rsidR="00E870E2">
              <w:rPr>
                <w:rFonts w:ascii="Times New Roman" w:hAnsi="Times New Roman" w:cs="Times New Roman"/>
              </w:rPr>
              <w:t>,</w:t>
            </w:r>
            <w:r w:rsidRPr="00586953">
              <w:rPr>
                <w:rFonts w:ascii="Times New Roman" w:hAnsi="Times New Roman" w:cs="Times New Roman"/>
              </w:rPr>
              <w:t>18085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proofErr w:type="gramStart"/>
            <w:r w:rsidRPr="00586953">
              <w:rPr>
                <w:rFonts w:ascii="Times New Roman" w:hAnsi="Times New Roman" w:cs="Times New Roman"/>
              </w:rPr>
              <w:t>9</w:t>
            </w:r>
            <w:proofErr w:type="gramEnd"/>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093346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42</w:t>
            </w:r>
            <w:r w:rsidR="00E870E2">
              <w:rPr>
                <w:rFonts w:ascii="Times New Roman" w:hAnsi="Times New Roman" w:cs="Times New Roman"/>
              </w:rPr>
              <w:t>,</w:t>
            </w:r>
            <w:r w:rsidRPr="00586953">
              <w:rPr>
                <w:rFonts w:ascii="Times New Roman" w:hAnsi="Times New Roman" w:cs="Times New Roman"/>
              </w:rPr>
              <w:t>53969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57</w:t>
            </w:r>
            <w:r w:rsidR="00E870E2">
              <w:rPr>
                <w:rFonts w:ascii="Times New Roman" w:hAnsi="Times New Roman" w:cs="Times New Roman"/>
              </w:rPr>
              <w:t>,</w:t>
            </w:r>
            <w:r w:rsidRPr="00586953">
              <w:rPr>
                <w:rFonts w:ascii="Times New Roman" w:hAnsi="Times New Roman" w:cs="Times New Roman"/>
              </w:rPr>
              <w:t>46031</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095001</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41</w:t>
            </w:r>
            <w:r w:rsidR="00E870E2">
              <w:rPr>
                <w:rFonts w:ascii="Times New Roman" w:hAnsi="Times New Roman" w:cs="Times New Roman"/>
              </w:rPr>
              <w:t>,</w:t>
            </w:r>
            <w:r w:rsidRPr="00586953">
              <w:rPr>
                <w:rFonts w:ascii="Times New Roman" w:hAnsi="Times New Roman" w:cs="Times New Roman"/>
              </w:rPr>
              <w:t>60594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58</w:t>
            </w:r>
            <w:r w:rsidR="00E870E2">
              <w:rPr>
                <w:rFonts w:ascii="Times New Roman" w:hAnsi="Times New Roman" w:cs="Times New Roman"/>
              </w:rPr>
              <w:t>,</w:t>
            </w:r>
            <w:r w:rsidRPr="00586953">
              <w:rPr>
                <w:rFonts w:ascii="Times New Roman" w:hAnsi="Times New Roman" w:cs="Times New Roman"/>
              </w:rPr>
              <w:t>39406</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2836DE" w:rsidP="00E17EF4">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E17EF4" w:rsidRPr="00586953">
              <w:rPr>
                <w:rFonts w:ascii="Times New Roman" w:hAnsi="Times New Roman" w:cs="Times New Roman"/>
              </w:rPr>
              <w:t xml:space="preserve">Ordenamento de </w:t>
            </w:r>
            <w:proofErr w:type="spellStart"/>
            <w:r w:rsidRPr="00586953">
              <w:rPr>
                <w:rFonts w:ascii="Times New Roman" w:hAnsi="Times New Roman" w:cs="Times New Roman"/>
              </w:rPr>
              <w:t>Cholesky</w:t>
            </w:r>
            <w:proofErr w:type="spellEnd"/>
            <w:r w:rsidRPr="00586953">
              <w:rPr>
                <w:rFonts w:ascii="Times New Roman" w:hAnsi="Times New Roman" w:cs="Times New Roman"/>
              </w:rPr>
              <w:t xml:space="preserve">: </w:t>
            </w:r>
            <w:r w:rsidR="00E17EF4" w:rsidRPr="00586953">
              <w:rPr>
                <w:rFonts w:ascii="Times New Roman" w:hAnsi="Times New Roman" w:cs="Times New Roman"/>
              </w:rPr>
              <w:t>i/y</w:t>
            </w:r>
            <w:r w:rsidRPr="00586953">
              <w:rPr>
                <w:rFonts w:ascii="Times New Roman" w:hAnsi="Times New Roman" w:cs="Times New Roman"/>
              </w:rPr>
              <w:t xml:space="preserve"> </w:t>
            </w:r>
            <w:r w:rsidR="00E17EF4" w:rsidRPr="00586953">
              <w:rPr>
                <w:rFonts w:ascii="Times New Roman" w:hAnsi="Times New Roman" w:cs="Times New Roman"/>
              </w:rPr>
              <w:t>s/y</w:t>
            </w:r>
          </w:p>
        </w:tc>
      </w:tr>
      <w:tr w:rsidR="002836DE" w:rsidRPr="00586953" w:rsidTr="00154B10">
        <w:trPr>
          <w:trHeight w:hRule="exact" w:val="90"/>
          <w:jc w:val="center"/>
        </w:trPr>
        <w:tc>
          <w:tcPr>
            <w:tcW w:w="822"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r>
    </w:tbl>
    <w:p w:rsidR="00DB728A" w:rsidRPr="00586953" w:rsidRDefault="00E17EF4" w:rsidP="00AD2648">
      <w:pPr>
        <w:tabs>
          <w:tab w:val="left" w:pos="8080"/>
        </w:tabs>
        <w:ind w:right="991"/>
        <w:jc w:val="both"/>
        <w:rPr>
          <w:rFonts w:ascii="Times New Roman" w:hAnsi="Times New Roman" w:cs="Times New Roman"/>
          <w:sz w:val="20"/>
          <w:szCs w:val="20"/>
        </w:rPr>
      </w:pPr>
      <w:r w:rsidRPr="00586953">
        <w:rPr>
          <w:rFonts w:ascii="Times New Roman" w:hAnsi="Times New Roman" w:cs="Times New Roman"/>
          <w:sz w:val="20"/>
          <w:szCs w:val="20"/>
        </w:rPr>
        <w:t xml:space="preserve">                          </w:t>
      </w:r>
      <w:r w:rsidR="00F36789">
        <w:rPr>
          <w:rFonts w:ascii="Times New Roman" w:hAnsi="Times New Roman" w:cs="Times New Roman"/>
          <w:sz w:val="20"/>
          <w:szCs w:val="20"/>
        </w:rPr>
        <w:t xml:space="preserve">             </w:t>
      </w:r>
      <w:r w:rsidRPr="00586953">
        <w:rPr>
          <w:rFonts w:ascii="Times New Roman" w:hAnsi="Times New Roman" w:cs="Times New Roman"/>
          <w:b/>
          <w:sz w:val="20"/>
          <w:szCs w:val="20"/>
        </w:rPr>
        <w:t>Nota:</w:t>
      </w:r>
      <w:r w:rsidRPr="00586953">
        <w:rPr>
          <w:rFonts w:ascii="Times New Roman" w:hAnsi="Times New Roman" w:cs="Times New Roman"/>
          <w:sz w:val="20"/>
          <w:szCs w:val="20"/>
        </w:rPr>
        <w:t xml:space="preserve"> elaboração do autor</w:t>
      </w:r>
      <w:r w:rsidR="00F36789">
        <w:rPr>
          <w:rFonts w:ascii="Times New Roman" w:hAnsi="Times New Roman" w:cs="Times New Roman"/>
          <w:sz w:val="20"/>
          <w:szCs w:val="20"/>
        </w:rPr>
        <w:t>. “S.E.” significa erro-padrão (</w:t>
      </w:r>
      <w:r w:rsidR="00F36789" w:rsidRPr="00F02817">
        <w:rPr>
          <w:rFonts w:ascii="Times New Roman" w:hAnsi="Times New Roman" w:cs="Times New Roman"/>
          <w:i/>
          <w:sz w:val="20"/>
          <w:szCs w:val="20"/>
        </w:rPr>
        <w:t xml:space="preserve">standard </w:t>
      </w:r>
      <w:proofErr w:type="spellStart"/>
      <w:r w:rsidR="00F36789" w:rsidRPr="00F02817">
        <w:rPr>
          <w:rFonts w:ascii="Times New Roman" w:hAnsi="Times New Roman" w:cs="Times New Roman"/>
          <w:i/>
          <w:sz w:val="20"/>
          <w:szCs w:val="20"/>
        </w:rPr>
        <w:t>error</w:t>
      </w:r>
      <w:proofErr w:type="spellEnd"/>
      <w:r w:rsidR="00F36789">
        <w:rPr>
          <w:rFonts w:ascii="Times New Roman" w:hAnsi="Times New Roman" w:cs="Times New Roman"/>
          <w:sz w:val="20"/>
          <w:szCs w:val="20"/>
        </w:rPr>
        <w:t>)</w:t>
      </w:r>
    </w:p>
    <w:p w:rsidR="004B3779" w:rsidRDefault="004B3779"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Note que, decorridos 10 trimestres, a trajetória da razão investimento/PIB é afetada pelo seu próprio comportamento (88,37%). Dito de outro modo, variações na razão poupança/PIB explicariam apenas 11,63% da variabilidade da razão investimento/PIB.</w:t>
      </w:r>
    </w:p>
    <w:p w:rsidR="004B3779" w:rsidRPr="00586953" w:rsidRDefault="004B3779"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Por outro lado, decorridos 10 trimestres, 58.39% da variabilidade</w:t>
      </w:r>
      <w:r w:rsidRPr="00586953">
        <w:rPr>
          <w:rFonts w:ascii="Times New Roman" w:hAnsi="Times New Roman" w:cs="Times New Roman"/>
          <w:sz w:val="24"/>
          <w:szCs w:val="24"/>
        </w:rPr>
        <w:t xml:space="preserve"> da</w:t>
      </w:r>
      <w:r>
        <w:rPr>
          <w:rFonts w:ascii="Times New Roman" w:hAnsi="Times New Roman" w:cs="Times New Roman"/>
          <w:sz w:val="24"/>
          <w:szCs w:val="24"/>
        </w:rPr>
        <w:t xml:space="preserve"> razão</w:t>
      </w:r>
      <w:r w:rsidRPr="00586953">
        <w:rPr>
          <w:rFonts w:ascii="Times New Roman" w:hAnsi="Times New Roman" w:cs="Times New Roman"/>
          <w:sz w:val="24"/>
          <w:szCs w:val="24"/>
        </w:rPr>
        <w:t xml:space="preserve"> poupança</w:t>
      </w:r>
      <w:r>
        <w:rPr>
          <w:rFonts w:ascii="Times New Roman" w:hAnsi="Times New Roman" w:cs="Times New Roman"/>
          <w:sz w:val="24"/>
          <w:szCs w:val="24"/>
        </w:rPr>
        <w:t>/PIB é explicada por ela mesma, ao passo que o restante 41,61% de sua variabilidade seria explicado pelo comportamento da razão investimento/PIB. Portanto, os resultados indicam maior dependência da taxa de poupança em relação à taxa de investimento, do que o contrário.</w:t>
      </w:r>
    </w:p>
    <w:p w:rsidR="004B3779" w:rsidRPr="00586953" w:rsidRDefault="004B3779" w:rsidP="00AD2648">
      <w:pPr>
        <w:tabs>
          <w:tab w:val="left" w:pos="8080"/>
        </w:tabs>
        <w:ind w:right="991"/>
        <w:jc w:val="both"/>
        <w:rPr>
          <w:rFonts w:ascii="Times New Roman" w:hAnsi="Times New Roman" w:cs="Times New Roman"/>
          <w:sz w:val="20"/>
          <w:szCs w:val="20"/>
        </w:rPr>
      </w:pPr>
    </w:p>
    <w:p w:rsidR="00127DC3" w:rsidRPr="00586953" w:rsidRDefault="00FE4276" w:rsidP="0097252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127DC3" w:rsidRPr="00586953">
        <w:rPr>
          <w:rFonts w:ascii="Times New Roman" w:hAnsi="Times New Roman" w:cs="Times New Roman"/>
          <w:b/>
          <w:sz w:val="24"/>
          <w:szCs w:val="24"/>
        </w:rPr>
        <w:t>.</w:t>
      </w:r>
      <w:r w:rsidR="00B522BC" w:rsidRPr="00586953">
        <w:rPr>
          <w:rFonts w:ascii="Times New Roman" w:hAnsi="Times New Roman" w:cs="Times New Roman"/>
          <w:b/>
          <w:sz w:val="24"/>
          <w:szCs w:val="24"/>
        </w:rPr>
        <w:t xml:space="preserve"> </w:t>
      </w:r>
      <w:r w:rsidR="00127DC3" w:rsidRPr="00586953">
        <w:rPr>
          <w:rFonts w:ascii="Times New Roman" w:hAnsi="Times New Roman" w:cs="Times New Roman"/>
          <w:b/>
          <w:sz w:val="24"/>
          <w:szCs w:val="24"/>
        </w:rPr>
        <w:t>Conclusão</w:t>
      </w:r>
    </w:p>
    <w:p w:rsidR="00855C66" w:rsidRDefault="00855C66" w:rsidP="0097252F">
      <w:pPr>
        <w:spacing w:after="0" w:line="360" w:lineRule="auto"/>
        <w:jc w:val="both"/>
        <w:rPr>
          <w:rFonts w:ascii="Times New Roman" w:hAnsi="Times New Roman" w:cs="Times New Roman"/>
          <w:b/>
          <w:sz w:val="24"/>
          <w:szCs w:val="24"/>
        </w:rPr>
      </w:pPr>
    </w:p>
    <w:p w:rsidR="004B3779" w:rsidRDefault="004B3779" w:rsidP="004B3779">
      <w:pPr>
        <w:spacing w:after="0" w:line="360" w:lineRule="auto"/>
        <w:ind w:firstLine="709"/>
        <w:jc w:val="both"/>
        <w:rPr>
          <w:rFonts w:ascii="Times New Roman" w:hAnsi="Times New Roman" w:cs="Times New Roman"/>
          <w:color w:val="FF0000"/>
          <w:sz w:val="24"/>
          <w:szCs w:val="24"/>
        </w:rPr>
      </w:pPr>
      <w:r w:rsidRPr="00E332D8">
        <w:rPr>
          <w:rFonts w:ascii="Times New Roman" w:hAnsi="Times New Roman" w:cs="Times New Roman"/>
          <w:sz w:val="24"/>
          <w:szCs w:val="24"/>
        </w:rPr>
        <w:t xml:space="preserve">Esse estudo </w:t>
      </w:r>
      <w:r>
        <w:rPr>
          <w:rFonts w:ascii="Times New Roman" w:hAnsi="Times New Roman" w:cs="Times New Roman"/>
          <w:sz w:val="24"/>
          <w:szCs w:val="24"/>
        </w:rPr>
        <w:t>investigou</w:t>
      </w:r>
      <w:r w:rsidRPr="00E332D8">
        <w:rPr>
          <w:rFonts w:ascii="Times New Roman" w:hAnsi="Times New Roman" w:cs="Times New Roman"/>
          <w:sz w:val="24"/>
          <w:szCs w:val="24"/>
        </w:rPr>
        <w:t xml:space="preserve"> a relação entre poupança e investimento no Brasil durante o período 1995 a 2012. Os resultados obtidos de um modelo VAR</w:t>
      </w:r>
      <w:r>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bicausalidade de Granger, 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Pr>
          <w:rFonts w:ascii="Times New Roman" w:hAnsi="Times New Roman" w:cs="Times New Roman"/>
          <w:sz w:val="24"/>
          <w:szCs w:val="24"/>
        </w:rPr>
        <w:t>, como também evidências da validade do enigma de Feldstein-Horioka</w:t>
      </w:r>
      <w:r w:rsidRPr="00E332D8">
        <w:rPr>
          <w:rFonts w:ascii="Times New Roman" w:hAnsi="Times New Roman" w:cs="Times New Roman"/>
          <w:sz w:val="24"/>
          <w:szCs w:val="24"/>
        </w:rPr>
        <w:t>.</w:t>
      </w:r>
      <w:r>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r w:rsidRPr="006A504B">
        <w:rPr>
          <w:rFonts w:ascii="Times New Roman" w:hAnsi="Times New Roman" w:cs="Times New Roman"/>
          <w:color w:val="FF0000"/>
          <w:sz w:val="24"/>
          <w:szCs w:val="24"/>
        </w:rPr>
        <w:t xml:space="preserve"> </w:t>
      </w:r>
    </w:p>
    <w:p w:rsidR="00682A0A" w:rsidRPr="00682A0A" w:rsidRDefault="00682A0A" w:rsidP="004B3779">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enigma de Feldstein-Horioka ainda continua sendo tema não consensual na literatura empírica sobre o caso brasileiro. Tampouco o debate entre as visões ortodoxa e heterodoxa sobre a relação entre poupança e investimento está finalizado. Apesar de este estudo trazer novas evidências sobre os temas aqui tratados, é importante sugerir que, em pesquisas futuras, sejam utilizadas metodologias que possam trazer resultados ainda mais robustos para essa investigação empírica, por exemplo, o método dos momentos generalizados.</w:t>
      </w:r>
    </w:p>
    <w:p w:rsidR="00B6220F" w:rsidRDefault="00B6220F" w:rsidP="0097252F">
      <w:pPr>
        <w:autoSpaceDE w:val="0"/>
        <w:autoSpaceDN w:val="0"/>
        <w:adjustRightInd w:val="0"/>
        <w:spacing w:after="0" w:line="360" w:lineRule="auto"/>
        <w:jc w:val="both"/>
        <w:rPr>
          <w:rFonts w:ascii="Times New Roman" w:hAnsi="Times New Roman" w:cs="Times New Roman"/>
          <w:b/>
          <w:sz w:val="24"/>
          <w:szCs w:val="24"/>
        </w:rPr>
      </w:pPr>
    </w:p>
    <w:p w:rsidR="00B6220F" w:rsidRDefault="00127DC3" w:rsidP="00B6220F">
      <w:pPr>
        <w:autoSpaceDE w:val="0"/>
        <w:autoSpaceDN w:val="0"/>
        <w:adjustRightInd w:val="0"/>
        <w:spacing w:after="0" w:line="360" w:lineRule="auto"/>
        <w:jc w:val="both"/>
        <w:rPr>
          <w:rFonts w:ascii="Times New Roman" w:hAnsi="Times New Roman" w:cs="Times New Roman"/>
          <w:b/>
          <w:sz w:val="24"/>
          <w:szCs w:val="24"/>
          <w:lang w:val="en-US"/>
        </w:rPr>
      </w:pPr>
      <w:proofErr w:type="spellStart"/>
      <w:r w:rsidRPr="00586953">
        <w:rPr>
          <w:rFonts w:ascii="Times New Roman" w:hAnsi="Times New Roman" w:cs="Times New Roman"/>
          <w:b/>
          <w:sz w:val="24"/>
          <w:szCs w:val="24"/>
          <w:lang w:val="en-US"/>
        </w:rPr>
        <w:t>Referências</w:t>
      </w:r>
      <w:proofErr w:type="spellEnd"/>
      <w:r w:rsidRPr="00586953">
        <w:rPr>
          <w:rFonts w:ascii="Times New Roman" w:hAnsi="Times New Roman" w:cs="Times New Roman"/>
          <w:b/>
          <w:sz w:val="24"/>
          <w:szCs w:val="24"/>
          <w:lang w:val="en-US"/>
        </w:rPr>
        <w:t xml:space="preserve"> </w:t>
      </w:r>
    </w:p>
    <w:p w:rsidR="00B6220F" w:rsidRDefault="00B6220F" w:rsidP="00B6220F">
      <w:pPr>
        <w:autoSpaceDE w:val="0"/>
        <w:autoSpaceDN w:val="0"/>
        <w:adjustRightInd w:val="0"/>
        <w:spacing w:after="0" w:line="360" w:lineRule="auto"/>
        <w:jc w:val="both"/>
        <w:rPr>
          <w:rFonts w:ascii="Times New Roman" w:hAnsi="Times New Roman" w:cs="Times New Roman"/>
          <w:b/>
          <w:sz w:val="24"/>
          <w:szCs w:val="24"/>
          <w:lang w:val="en-US"/>
        </w:rPr>
      </w:pPr>
    </w:p>
    <w:p w:rsidR="00B6220F" w:rsidRDefault="00E96976" w:rsidP="00B6220F">
      <w:pPr>
        <w:autoSpaceDE w:val="0"/>
        <w:autoSpaceDN w:val="0"/>
        <w:adjustRightInd w:val="0"/>
        <w:spacing w:after="0" w:line="360" w:lineRule="auto"/>
        <w:jc w:val="both"/>
        <w:rPr>
          <w:rFonts w:ascii="Times New Roman" w:hAnsi="Times New Roman" w:cs="Times New Roman"/>
          <w:lang w:val="en-US"/>
        </w:rPr>
      </w:pPr>
      <w:r w:rsidRPr="00586953">
        <w:rPr>
          <w:rFonts w:ascii="Times New Roman" w:hAnsi="Times New Roman" w:cs="Times New Roman"/>
          <w:lang w:val="en-US"/>
        </w:rPr>
        <w:t xml:space="preserve">AFZAL, M. Savings and investment in developing countries: Granger causality test. </w:t>
      </w:r>
      <w:proofErr w:type="gramStart"/>
      <w:r w:rsidRPr="00586953">
        <w:rPr>
          <w:rFonts w:ascii="Times New Roman" w:hAnsi="Times New Roman" w:cs="Times New Roman"/>
          <w:lang w:val="en-US"/>
        </w:rPr>
        <w:t>The Philippine review of economics</w:t>
      </w:r>
      <w:r w:rsidR="003E0504">
        <w:rPr>
          <w:rFonts w:ascii="Times New Roman" w:hAnsi="Times New Roman" w:cs="Times New Roman"/>
          <w:lang w:val="en-US"/>
        </w:rPr>
        <w:t>, v</w:t>
      </w:r>
      <w:r w:rsidR="007571C7">
        <w:rPr>
          <w:rFonts w:ascii="Times New Roman" w:hAnsi="Times New Roman" w:cs="Times New Roman"/>
          <w:lang w:val="en-US"/>
        </w:rPr>
        <w:t xml:space="preserve">. 44, n. 2, p. 99-110, </w:t>
      </w:r>
      <w:r w:rsidR="003E0504">
        <w:rPr>
          <w:rFonts w:ascii="Times New Roman" w:hAnsi="Times New Roman" w:cs="Times New Roman"/>
          <w:lang w:val="en-US"/>
        </w:rPr>
        <w:t>2007.</w:t>
      </w:r>
      <w:proofErr w:type="gramEnd"/>
    </w:p>
    <w:p w:rsidR="00B6220F" w:rsidRDefault="00B6220F" w:rsidP="00B6220F">
      <w:pPr>
        <w:autoSpaceDE w:val="0"/>
        <w:autoSpaceDN w:val="0"/>
        <w:adjustRightInd w:val="0"/>
        <w:spacing w:after="0" w:line="360" w:lineRule="auto"/>
        <w:jc w:val="both"/>
        <w:rPr>
          <w:rFonts w:ascii="Times New Roman" w:hAnsi="Times New Roman" w:cs="Times New Roman"/>
          <w:lang w:val="en-US"/>
        </w:rPr>
      </w:pPr>
    </w:p>
    <w:p w:rsidR="00E96976" w:rsidRPr="00586953" w:rsidRDefault="00E96976" w:rsidP="00B6220F">
      <w:pPr>
        <w:autoSpaceDE w:val="0"/>
        <w:autoSpaceDN w:val="0"/>
        <w:adjustRightInd w:val="0"/>
        <w:spacing w:after="0" w:line="360" w:lineRule="auto"/>
        <w:jc w:val="both"/>
        <w:rPr>
          <w:rFonts w:ascii="Times New Roman" w:hAnsi="Times New Roman" w:cs="Times New Roman"/>
          <w:b/>
          <w:lang w:val="en-US"/>
        </w:rPr>
      </w:pPr>
      <w:proofErr w:type="gramStart"/>
      <w:r w:rsidRPr="00586953">
        <w:rPr>
          <w:rFonts w:ascii="Times New Roman" w:hAnsi="Times New Roman" w:cs="Times New Roman"/>
          <w:lang w:val="en-US"/>
        </w:rPr>
        <w:t>ALEXIOUS, C.</w:t>
      </w:r>
      <w:proofErr w:type="gramEnd"/>
      <w:r w:rsidRPr="00586953">
        <w:rPr>
          <w:rFonts w:ascii="Times New Roman" w:hAnsi="Times New Roman" w:cs="Times New Roman"/>
          <w:lang w:val="en-US"/>
        </w:rPr>
        <w:t xml:space="preserve"> An Econometric Investigation into the Macroeconomic Relationship between Investment and Savin</w:t>
      </w:r>
      <w:r w:rsidR="007571C7">
        <w:rPr>
          <w:rFonts w:ascii="Times New Roman" w:hAnsi="Times New Roman" w:cs="Times New Roman"/>
          <w:lang w:val="en-US"/>
        </w:rPr>
        <w:t>g: Evidence from the EU Region.</w:t>
      </w:r>
      <w:r w:rsidRPr="00586953">
        <w:rPr>
          <w:rFonts w:ascii="Times New Roman" w:hAnsi="Times New Roman" w:cs="Times New Roman"/>
          <w:lang w:val="en-US"/>
        </w:rPr>
        <w:t xml:space="preserve"> </w:t>
      </w:r>
      <w:proofErr w:type="gramStart"/>
      <w:r w:rsidRPr="00586953">
        <w:rPr>
          <w:rFonts w:ascii="Times New Roman" w:hAnsi="Times New Roman" w:cs="Times New Roman"/>
          <w:lang w:val="en-US"/>
        </w:rPr>
        <w:t xml:space="preserve">International Review of Applied Economics, </w:t>
      </w:r>
      <w:r w:rsidR="007571C7">
        <w:rPr>
          <w:rFonts w:ascii="Times New Roman" w:hAnsi="Times New Roman" w:cs="Times New Roman"/>
          <w:lang w:val="en-US"/>
        </w:rPr>
        <w:t xml:space="preserve">v. </w:t>
      </w:r>
      <w:r w:rsidRPr="00586953">
        <w:rPr>
          <w:rFonts w:ascii="Times New Roman" w:hAnsi="Times New Roman" w:cs="Times New Roman"/>
          <w:lang w:val="en-US"/>
        </w:rPr>
        <w:t>18</w:t>
      </w:r>
      <w:r w:rsidR="007571C7">
        <w:rPr>
          <w:rFonts w:ascii="Times New Roman" w:hAnsi="Times New Roman" w:cs="Times New Roman"/>
          <w:lang w:val="en-US"/>
        </w:rPr>
        <w:t>,</w:t>
      </w:r>
      <w:r w:rsidRPr="00586953">
        <w:rPr>
          <w:rFonts w:ascii="Times New Roman" w:hAnsi="Times New Roman" w:cs="Times New Roman"/>
          <w:lang w:val="en-US"/>
        </w:rPr>
        <w:t xml:space="preserve"> </w:t>
      </w:r>
      <w:r w:rsidR="007571C7">
        <w:rPr>
          <w:rFonts w:ascii="Times New Roman" w:hAnsi="Times New Roman" w:cs="Times New Roman"/>
          <w:lang w:val="en-US"/>
        </w:rPr>
        <w:t>n. 1</w:t>
      </w:r>
      <w:r w:rsidRPr="00586953">
        <w:rPr>
          <w:rFonts w:ascii="Times New Roman" w:hAnsi="Times New Roman" w:cs="Times New Roman"/>
          <w:lang w:val="en-US"/>
        </w:rPr>
        <w:t>,</w:t>
      </w:r>
      <w:r w:rsidR="007571C7">
        <w:rPr>
          <w:rFonts w:ascii="Times New Roman" w:hAnsi="Times New Roman" w:cs="Times New Roman"/>
          <w:lang w:val="en-US"/>
        </w:rPr>
        <w:t xml:space="preserve"> p.</w:t>
      </w:r>
      <w:r w:rsidRPr="00586953">
        <w:rPr>
          <w:rFonts w:ascii="Times New Roman" w:hAnsi="Times New Roman" w:cs="Times New Roman"/>
          <w:lang w:val="en-US"/>
        </w:rPr>
        <w:t xml:space="preserve"> 93-102</w:t>
      </w:r>
      <w:r w:rsidR="007571C7">
        <w:rPr>
          <w:rFonts w:ascii="Times New Roman" w:hAnsi="Times New Roman" w:cs="Times New Roman"/>
          <w:lang w:val="en-US"/>
        </w:rPr>
        <w:t>, 2004.</w:t>
      </w:r>
      <w:proofErr w:type="gramEnd"/>
    </w:p>
    <w:p w:rsidR="00127DC3" w:rsidRDefault="00E96976" w:rsidP="004B3779">
      <w:pPr>
        <w:pStyle w:val="Ttulo1"/>
        <w:shd w:val="clear" w:color="auto" w:fill="FFFFFF"/>
        <w:contextualSpacing/>
        <w:rPr>
          <w:rFonts w:ascii="Times New Roman" w:hAnsi="Times New Roman" w:cs="Times New Roman"/>
          <w:b w:val="0"/>
          <w:shd w:val="clear" w:color="auto" w:fill="FFFFFF"/>
          <w:lang w:val="en-US"/>
        </w:rPr>
      </w:pPr>
      <w:r w:rsidRPr="00586953">
        <w:rPr>
          <w:rFonts w:ascii="Times New Roman" w:hAnsi="Times New Roman" w:cs="Times New Roman"/>
          <w:b w:val="0"/>
          <w:lang w:val="en-US"/>
        </w:rPr>
        <w:lastRenderedPageBreak/>
        <w:t xml:space="preserve">ANORUO, E. </w:t>
      </w:r>
      <w:r w:rsidRPr="00586953">
        <w:rPr>
          <w:rFonts w:ascii="Times New Roman" w:hAnsi="Times New Roman" w:cs="Times New Roman"/>
          <w:b w:val="0"/>
          <w:kern w:val="36"/>
          <w:lang w:val="en-US"/>
        </w:rPr>
        <w:t xml:space="preserve">Saving-Investment Connection: Evidence from the </w:t>
      </w:r>
      <w:proofErr w:type="spellStart"/>
      <w:r w:rsidRPr="00586953">
        <w:rPr>
          <w:rFonts w:ascii="Times New Roman" w:hAnsi="Times New Roman" w:cs="Times New Roman"/>
          <w:b w:val="0"/>
          <w:kern w:val="36"/>
          <w:lang w:val="en-US"/>
        </w:rPr>
        <w:t>Asean</w:t>
      </w:r>
      <w:proofErr w:type="spellEnd"/>
      <w:r w:rsidRPr="00586953">
        <w:rPr>
          <w:rFonts w:ascii="Times New Roman" w:hAnsi="Times New Roman" w:cs="Times New Roman"/>
          <w:b w:val="0"/>
          <w:kern w:val="36"/>
          <w:lang w:val="en-US"/>
        </w:rPr>
        <w:t xml:space="preserve"> Countries</w:t>
      </w:r>
      <w:r w:rsidR="007571C7">
        <w:rPr>
          <w:rFonts w:ascii="Times New Roman" w:hAnsi="Times New Roman" w:cs="Times New Roman"/>
          <w:b w:val="0"/>
          <w:lang w:val="en-US"/>
        </w:rPr>
        <w:t>.</w:t>
      </w:r>
      <w:r w:rsidRPr="00586953">
        <w:rPr>
          <w:rFonts w:ascii="Times New Roman" w:hAnsi="Times New Roman" w:cs="Times New Roman"/>
          <w:b w:val="0"/>
          <w:lang w:val="en-US"/>
        </w:rPr>
        <w:t xml:space="preserve"> </w:t>
      </w:r>
      <w:proofErr w:type="gramStart"/>
      <w:r w:rsidRPr="00586953">
        <w:rPr>
          <w:rFonts w:ascii="Times New Roman" w:hAnsi="Times New Roman" w:cs="Times New Roman"/>
          <w:b w:val="0"/>
          <w:iCs/>
          <w:bdr w:val="none" w:sz="0" w:space="0" w:color="auto" w:frame="1"/>
          <w:lang w:val="en-US"/>
        </w:rPr>
        <w:t>American Economist</w:t>
      </w:r>
      <w:r w:rsidRPr="00586953">
        <w:rPr>
          <w:rFonts w:ascii="Times New Roman" w:hAnsi="Times New Roman" w:cs="Times New Roman"/>
          <w:b w:val="0"/>
          <w:bdr w:val="none" w:sz="0" w:space="0" w:color="auto" w:frame="1"/>
          <w:lang w:val="en-US"/>
        </w:rPr>
        <w:t xml:space="preserve">, </w:t>
      </w:r>
      <w:r w:rsidR="007571C7">
        <w:rPr>
          <w:rFonts w:ascii="Times New Roman" w:hAnsi="Times New Roman" w:cs="Times New Roman"/>
          <w:b w:val="0"/>
          <w:bdr w:val="none" w:sz="0" w:space="0" w:color="auto" w:frame="1"/>
          <w:lang w:val="en-US"/>
        </w:rPr>
        <w:t xml:space="preserve">v. 45, n. 1, p. </w:t>
      </w:r>
      <w:r w:rsidRPr="00586953">
        <w:rPr>
          <w:rFonts w:ascii="Times New Roman" w:hAnsi="Times New Roman" w:cs="Times New Roman"/>
          <w:b w:val="0"/>
          <w:bdr w:val="none" w:sz="0" w:space="0" w:color="auto" w:frame="1"/>
          <w:lang w:val="en-US"/>
        </w:rPr>
        <w:t>4</w:t>
      </w:r>
      <w:r w:rsidRPr="00586953">
        <w:rPr>
          <w:rFonts w:ascii="Times New Roman" w:hAnsi="Times New Roman" w:cs="Times New Roman"/>
          <w:b w:val="0"/>
          <w:shd w:val="clear" w:color="auto" w:fill="FFFFFF"/>
          <w:lang w:val="en-US"/>
        </w:rPr>
        <w:t>6-53</w:t>
      </w:r>
      <w:r w:rsidR="007571C7">
        <w:rPr>
          <w:rFonts w:ascii="Times New Roman" w:hAnsi="Times New Roman" w:cs="Times New Roman"/>
          <w:b w:val="0"/>
          <w:shd w:val="clear" w:color="auto" w:fill="FFFFFF"/>
          <w:lang w:val="en-US"/>
        </w:rPr>
        <w:t xml:space="preserve">, </w:t>
      </w:r>
      <w:r w:rsidR="007571C7">
        <w:rPr>
          <w:rFonts w:ascii="Times New Roman" w:hAnsi="Times New Roman" w:cs="Times New Roman"/>
          <w:b w:val="0"/>
          <w:lang w:val="en-US"/>
        </w:rPr>
        <w:t>2001.</w:t>
      </w:r>
      <w:proofErr w:type="gramEnd"/>
    </w:p>
    <w:p w:rsidR="00D00DD9" w:rsidRDefault="00D00DD9" w:rsidP="004B3779">
      <w:pPr>
        <w:spacing w:line="360" w:lineRule="auto"/>
        <w:contextualSpacing/>
        <w:jc w:val="both"/>
        <w:rPr>
          <w:lang w:val="en-US"/>
        </w:rPr>
      </w:pPr>
    </w:p>
    <w:p w:rsidR="00D00DD9" w:rsidRDefault="00D00DD9" w:rsidP="004B3779">
      <w:pPr>
        <w:spacing w:line="360" w:lineRule="auto"/>
        <w:contextualSpacing/>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ARGINON, I.; ROLDAN, J. Saving, investment and international capital mobility in E. C. countries.</w:t>
      </w:r>
      <w:proofErr w:type="gramEnd"/>
      <w:r>
        <w:rPr>
          <w:rFonts w:ascii="Times New Roman" w:hAnsi="Times New Roman" w:cs="Times New Roman"/>
          <w:sz w:val="24"/>
          <w:szCs w:val="24"/>
          <w:lang w:val="en-US"/>
        </w:rPr>
        <w:t xml:space="preserve"> </w:t>
      </w:r>
      <w:proofErr w:type="gramStart"/>
      <w:r w:rsidRPr="00DE30D1">
        <w:rPr>
          <w:rFonts w:ascii="Times New Roman" w:hAnsi="Times New Roman" w:cs="Times New Roman"/>
          <w:i/>
          <w:sz w:val="24"/>
          <w:szCs w:val="24"/>
          <w:lang w:val="en-US"/>
        </w:rPr>
        <w:t>European Economic Review</w:t>
      </w:r>
      <w:r>
        <w:rPr>
          <w:rFonts w:ascii="Times New Roman" w:hAnsi="Times New Roman" w:cs="Times New Roman"/>
          <w:sz w:val="24"/>
          <w:szCs w:val="24"/>
          <w:lang w:val="en-US"/>
        </w:rPr>
        <w:t xml:space="preserve">, v. 38, p. </w:t>
      </w:r>
      <w:r w:rsidR="00DE30D1">
        <w:rPr>
          <w:rFonts w:ascii="Times New Roman" w:hAnsi="Times New Roman" w:cs="Times New Roman"/>
          <w:sz w:val="24"/>
          <w:szCs w:val="24"/>
          <w:lang w:val="en-US"/>
        </w:rPr>
        <w:t>59-67, 1994.</w:t>
      </w:r>
      <w:proofErr w:type="gramEnd"/>
    </w:p>
    <w:p w:rsidR="00A67BF0" w:rsidRDefault="00A67BF0" w:rsidP="004B3779">
      <w:pPr>
        <w:spacing w:line="360" w:lineRule="auto"/>
        <w:contextualSpacing/>
        <w:jc w:val="both"/>
        <w:rPr>
          <w:rFonts w:ascii="Times New Roman" w:hAnsi="Times New Roman" w:cs="Times New Roman"/>
          <w:sz w:val="24"/>
          <w:szCs w:val="24"/>
          <w:lang w:val="en-US"/>
        </w:rPr>
      </w:pPr>
    </w:p>
    <w:p w:rsidR="005125E2" w:rsidRDefault="005125E2" w:rsidP="004B3779">
      <w:pPr>
        <w:pStyle w:val="Pr-formataoHTML"/>
        <w:spacing w:line="360" w:lineRule="auto"/>
        <w:contextualSpacing/>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APERGIS, N.; TSOUMAS, C.</w:t>
      </w:r>
      <w:proofErr w:type="gramEnd"/>
      <w:r>
        <w:rPr>
          <w:rFonts w:ascii="Times New Roman" w:hAnsi="Times New Roman" w:cs="Times New Roman"/>
          <w:sz w:val="24"/>
          <w:szCs w:val="24"/>
          <w:lang w:val="en-US"/>
        </w:rPr>
        <w:t xml:space="preserve"> </w:t>
      </w:r>
      <w:r w:rsidRPr="003B5620">
        <w:rPr>
          <w:rFonts w:ascii="Times New Roman" w:hAnsi="Times New Roman" w:cs="Times New Roman"/>
          <w:sz w:val="24"/>
          <w:szCs w:val="24"/>
          <w:lang w:val="en-US"/>
        </w:rPr>
        <w:t>The relationship between saving e finance: theory e evidence from E.U. countries</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Research in Economics.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Elsevier, v. 51, n.</w:t>
      </w:r>
      <w:r w:rsidR="00FF57F4">
        <w:rPr>
          <w:rFonts w:ascii="Times New Roman" w:hAnsi="Times New Roman" w:cs="Times New Roman"/>
          <w:sz w:val="24"/>
          <w:szCs w:val="24"/>
          <w:lang w:val="en-US"/>
        </w:rPr>
        <w:t xml:space="preserve"> </w:t>
      </w:r>
      <w:r>
        <w:rPr>
          <w:rFonts w:ascii="Times New Roman" w:hAnsi="Times New Roman" w:cs="Times New Roman"/>
          <w:sz w:val="24"/>
          <w:szCs w:val="24"/>
          <w:lang w:val="en-US"/>
        </w:rPr>
        <w:t>4, p. 333-358, 1997.</w:t>
      </w:r>
      <w:proofErr w:type="gramEnd"/>
    </w:p>
    <w:p w:rsidR="00FF57F4" w:rsidRPr="003B5620" w:rsidRDefault="00FF57F4" w:rsidP="004B3779">
      <w:pPr>
        <w:pStyle w:val="Pr-formataoHTML"/>
        <w:spacing w:line="360" w:lineRule="auto"/>
        <w:contextualSpacing/>
        <w:jc w:val="both"/>
        <w:rPr>
          <w:rFonts w:ascii="Times New Roman" w:hAnsi="Times New Roman" w:cs="Times New Roman"/>
          <w:sz w:val="24"/>
          <w:szCs w:val="24"/>
          <w:lang w:val="en-US"/>
        </w:rPr>
      </w:pPr>
    </w:p>
    <w:p w:rsidR="005125E2" w:rsidRPr="00FF57F4" w:rsidRDefault="005125E2"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APERGIS, N.; TSOUMAS, C.</w:t>
      </w:r>
      <w:proofErr w:type="gramEnd"/>
      <w:r>
        <w:rPr>
          <w:rFonts w:ascii="Times New Roman" w:eastAsia="Times New Roman" w:hAnsi="Times New Roman" w:cs="Times New Roman"/>
          <w:sz w:val="24"/>
          <w:szCs w:val="24"/>
          <w:lang w:val="en-US"/>
        </w:rPr>
        <w:t xml:space="preserve"> </w:t>
      </w:r>
      <w:r w:rsidRPr="003B5620">
        <w:rPr>
          <w:rFonts w:ascii="Times New Roman" w:eastAsia="Times New Roman" w:hAnsi="Times New Roman" w:cs="Times New Roman"/>
          <w:sz w:val="24"/>
          <w:szCs w:val="24"/>
          <w:lang w:val="en-US"/>
        </w:rPr>
        <w:t xml:space="preserve">A survey of the Feldstein-Horioka puzzle: What has been done e where we </w:t>
      </w:r>
      <w:proofErr w:type="gramStart"/>
      <w:r w:rsidRPr="003B5620">
        <w:rPr>
          <w:rFonts w:ascii="Times New Roman" w:eastAsia="Times New Roman" w:hAnsi="Times New Roman" w:cs="Times New Roman"/>
          <w:sz w:val="24"/>
          <w:szCs w:val="24"/>
          <w:lang w:val="en-US"/>
        </w:rPr>
        <w:t>st</w:t>
      </w:r>
      <w:r>
        <w:rPr>
          <w:rFonts w:ascii="Times New Roman" w:eastAsia="Times New Roman" w:hAnsi="Times New Roman" w:cs="Times New Roman"/>
          <w:sz w:val="24"/>
          <w:szCs w:val="24"/>
          <w:lang w:val="en-US"/>
        </w:rPr>
        <w:t>and</w:t>
      </w:r>
      <w:r w:rsidRPr="003B5620">
        <w:rPr>
          <w:rFonts w:ascii="Times New Roman" w:eastAsia="Times New Roman" w:hAnsi="Times New Roman" w:cs="Times New Roman"/>
          <w:sz w:val="24"/>
          <w:szCs w:val="24"/>
          <w:lang w:val="en-US"/>
        </w:rPr>
        <w:t>.</w:t>
      </w:r>
      <w:proofErr w:type="gramEnd"/>
      <w:r w:rsidRPr="003B5620">
        <w:rPr>
          <w:rFonts w:ascii="Times New Roman" w:eastAsia="Times New Roman" w:hAnsi="Times New Roman" w:cs="Times New Roman"/>
          <w:sz w:val="24"/>
          <w:szCs w:val="24"/>
          <w:lang w:val="en-US"/>
        </w:rPr>
        <w:t xml:space="preserve"> </w:t>
      </w:r>
      <w:proofErr w:type="gramStart"/>
      <w:r w:rsidRPr="003B5620">
        <w:rPr>
          <w:rFonts w:ascii="Times New Roman" w:eastAsia="Times New Roman" w:hAnsi="Times New Roman" w:cs="Times New Roman"/>
          <w:sz w:val="24"/>
          <w:szCs w:val="24"/>
          <w:lang w:val="en-US"/>
        </w:rPr>
        <w:t>Research in Economics</w:t>
      </w:r>
      <w:r>
        <w:rPr>
          <w:rFonts w:ascii="Times New Roman" w:eastAsia="Times New Roman" w:hAnsi="Times New Roman" w:cs="Times New Roman"/>
          <w:sz w:val="24"/>
          <w:szCs w:val="24"/>
          <w:lang w:val="en-US"/>
        </w:rPr>
        <w:t>.</w:t>
      </w:r>
      <w:proofErr w:type="gramEnd"/>
      <w:r w:rsidRPr="003B5620">
        <w:rPr>
          <w:rFonts w:ascii="Times New Roman" w:eastAsia="Times New Roman" w:hAnsi="Times New Roman" w:cs="Times New Roman"/>
          <w:sz w:val="24"/>
          <w:szCs w:val="24"/>
          <w:lang w:val="en-US"/>
        </w:rPr>
        <w:t xml:space="preserve"> </w:t>
      </w:r>
      <w:proofErr w:type="gramStart"/>
      <w:r w:rsidRPr="003B5620">
        <w:rPr>
          <w:rFonts w:ascii="Times New Roman" w:eastAsia="Times New Roman" w:hAnsi="Times New Roman" w:cs="Times New Roman"/>
          <w:sz w:val="24"/>
          <w:szCs w:val="24"/>
          <w:lang w:val="en-US"/>
        </w:rPr>
        <w:t>El</w:t>
      </w:r>
      <w:r>
        <w:rPr>
          <w:rFonts w:ascii="Times New Roman" w:eastAsia="Times New Roman" w:hAnsi="Times New Roman" w:cs="Times New Roman"/>
          <w:sz w:val="24"/>
          <w:szCs w:val="24"/>
          <w:lang w:val="en-US"/>
        </w:rPr>
        <w:t>sevier, v. 63, n.</w:t>
      </w:r>
      <w:r w:rsidR="00FF57F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 p. 64-76, 2009.</w:t>
      </w:r>
      <w:proofErr w:type="gramEnd"/>
    </w:p>
    <w:p w:rsidR="00DE30D1" w:rsidRPr="00D00DD9" w:rsidRDefault="00DE30D1" w:rsidP="004B3779">
      <w:pPr>
        <w:spacing w:line="360" w:lineRule="auto"/>
        <w:contextualSpacing/>
        <w:jc w:val="both"/>
        <w:rPr>
          <w:rFonts w:ascii="Times New Roman" w:hAnsi="Times New Roman" w:cs="Times New Roman"/>
          <w:sz w:val="24"/>
          <w:szCs w:val="24"/>
          <w:lang w:val="en-US"/>
        </w:rPr>
      </w:pPr>
    </w:p>
    <w:p w:rsidR="00D00DD9" w:rsidRDefault="00D00DD9" w:rsidP="004B3779">
      <w:pPr>
        <w:spacing w:line="360" w:lineRule="auto"/>
        <w:contextualSpacing/>
        <w:jc w:val="both"/>
        <w:rPr>
          <w:rFonts w:ascii="Times New Roman" w:hAnsi="Times New Roman" w:cs="Times New Roman"/>
          <w:sz w:val="24"/>
          <w:szCs w:val="24"/>
          <w:lang w:val="en-US"/>
        </w:rPr>
      </w:pPr>
      <w:r w:rsidRPr="00D00DD9">
        <w:rPr>
          <w:rFonts w:ascii="Times New Roman" w:hAnsi="Times New Roman" w:cs="Times New Roman"/>
          <w:sz w:val="24"/>
          <w:szCs w:val="24"/>
          <w:lang w:val="en-US"/>
        </w:rPr>
        <w:t>BA</w:t>
      </w:r>
      <w:r>
        <w:rPr>
          <w:rFonts w:ascii="Times New Roman" w:hAnsi="Times New Roman" w:cs="Times New Roman"/>
          <w:sz w:val="24"/>
          <w:szCs w:val="24"/>
          <w:lang w:val="en-US"/>
        </w:rPr>
        <w:t xml:space="preserve">YOUMI, T. Saving-investment correlations: immobile capital, government policy, or endogenous behavior? </w:t>
      </w:r>
      <w:proofErr w:type="gramStart"/>
      <w:r w:rsidRPr="00D00DD9">
        <w:rPr>
          <w:rFonts w:ascii="Times New Roman" w:hAnsi="Times New Roman" w:cs="Times New Roman"/>
          <w:i/>
          <w:sz w:val="24"/>
          <w:szCs w:val="24"/>
          <w:lang w:val="en-US"/>
        </w:rPr>
        <w:t>International Monetary Fund Staff Papers</w:t>
      </w:r>
      <w:r>
        <w:rPr>
          <w:rFonts w:ascii="Times New Roman" w:hAnsi="Times New Roman" w:cs="Times New Roman"/>
          <w:sz w:val="24"/>
          <w:szCs w:val="24"/>
          <w:lang w:val="en-US"/>
        </w:rPr>
        <w:t>, v. 37, p. 360-387, 1990.</w:t>
      </w:r>
      <w:proofErr w:type="gramEnd"/>
    </w:p>
    <w:p w:rsidR="004B3779" w:rsidRPr="00D00DD9" w:rsidRDefault="004B3779" w:rsidP="004B3779">
      <w:pPr>
        <w:spacing w:line="360" w:lineRule="auto"/>
        <w:contextualSpacing/>
        <w:jc w:val="both"/>
        <w:rPr>
          <w:rFonts w:ascii="Times New Roman" w:hAnsi="Times New Roman" w:cs="Times New Roman"/>
          <w:sz w:val="24"/>
          <w:szCs w:val="24"/>
          <w:lang w:val="en-US"/>
        </w:rPr>
      </w:pPr>
    </w:p>
    <w:p w:rsidR="00966799" w:rsidRDefault="00966799" w:rsidP="004B3779">
      <w:pPr>
        <w:pStyle w:val="Pr-formataoHTML"/>
        <w:spacing w:line="360" w:lineRule="auto"/>
        <w:contextualSpacing/>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BANGAKE, C.;</w:t>
      </w:r>
      <w:r w:rsidRPr="003B5620">
        <w:rPr>
          <w:rFonts w:ascii="Times New Roman" w:hAnsi="Times New Roman" w:cs="Times New Roman"/>
          <w:sz w:val="24"/>
          <w:szCs w:val="24"/>
          <w:lang w:val="en-US"/>
        </w:rPr>
        <w:t xml:space="preserve"> EGGOH, </w:t>
      </w:r>
      <w:r>
        <w:rPr>
          <w:rFonts w:ascii="Times New Roman" w:hAnsi="Times New Roman" w:cs="Times New Roman"/>
          <w:sz w:val="24"/>
          <w:szCs w:val="24"/>
          <w:lang w:val="en-US"/>
        </w:rPr>
        <w:t>J.</w:t>
      </w:r>
      <w:proofErr w:type="gramEnd"/>
      <w:r>
        <w:rPr>
          <w:rFonts w:ascii="Times New Roman" w:hAnsi="Times New Roman" w:cs="Times New Roman"/>
          <w:sz w:val="24"/>
          <w:szCs w:val="24"/>
          <w:lang w:val="en-US"/>
        </w:rPr>
        <w:t xml:space="preserve"> </w:t>
      </w:r>
      <w:r w:rsidRPr="003B5620">
        <w:rPr>
          <w:rFonts w:ascii="Times New Roman" w:hAnsi="Times New Roman" w:cs="Times New Roman"/>
          <w:sz w:val="24"/>
          <w:szCs w:val="24"/>
          <w:lang w:val="en-US"/>
        </w:rPr>
        <w:t xml:space="preserve">The Feldstein-Horioka puzzle in African countries: A panel </w:t>
      </w:r>
      <w:proofErr w:type="spellStart"/>
      <w:r w:rsidRPr="003B5620">
        <w:rPr>
          <w:rFonts w:ascii="Times New Roman" w:hAnsi="Times New Roman" w:cs="Times New Roman"/>
          <w:sz w:val="24"/>
          <w:szCs w:val="24"/>
          <w:lang w:val="en-US"/>
        </w:rPr>
        <w:t>cointegration</w:t>
      </w:r>
      <w:proofErr w:type="spellEnd"/>
      <w:r w:rsidRPr="003B5620">
        <w:rPr>
          <w:rFonts w:ascii="Times New Roman" w:hAnsi="Times New Roman" w:cs="Times New Roman"/>
          <w:sz w:val="24"/>
          <w:szCs w:val="24"/>
          <w:lang w:val="en-US"/>
        </w:rPr>
        <w:t xml:space="preserve"> analysis. </w:t>
      </w:r>
      <w:proofErr w:type="gramStart"/>
      <w:r w:rsidRPr="003B5620">
        <w:rPr>
          <w:rFonts w:ascii="Times New Roman" w:hAnsi="Times New Roman" w:cs="Times New Roman"/>
          <w:sz w:val="24"/>
          <w:szCs w:val="24"/>
          <w:lang w:val="en-US"/>
        </w:rPr>
        <w:t xml:space="preserve">Economic </w:t>
      </w:r>
      <w:proofErr w:type="spellStart"/>
      <w:r w:rsidRPr="003B5620">
        <w:rPr>
          <w:rFonts w:ascii="Times New Roman" w:hAnsi="Times New Roman" w:cs="Times New Roman"/>
          <w:sz w:val="24"/>
          <w:szCs w:val="24"/>
          <w:lang w:val="en-US"/>
        </w:rPr>
        <w:t>Modelling</w:t>
      </w:r>
      <w:proofErr w:type="spellEnd"/>
      <w:r w:rsidRPr="003B5620">
        <w:rPr>
          <w:rFonts w:ascii="Times New Roman" w:hAnsi="Times New Roman" w:cs="Times New Roman"/>
          <w:sz w:val="24"/>
          <w:szCs w:val="24"/>
          <w:lang w:val="en-US"/>
        </w:rPr>
        <w:t>,</w:t>
      </w:r>
      <w:r>
        <w:rPr>
          <w:rFonts w:ascii="Times New Roman" w:hAnsi="Times New Roman" w:cs="Times New Roman"/>
          <w:sz w:val="24"/>
          <w:szCs w:val="24"/>
          <w:lang w:val="en-US"/>
        </w:rPr>
        <w:t xml:space="preserve"> Elsevier, v. 28, n.</w:t>
      </w:r>
      <w:r w:rsidR="00FF57F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3, p. 939-947, </w:t>
      </w:r>
      <w:r w:rsidRPr="003B5620">
        <w:rPr>
          <w:rFonts w:ascii="Times New Roman" w:hAnsi="Times New Roman" w:cs="Times New Roman"/>
          <w:sz w:val="24"/>
          <w:szCs w:val="24"/>
          <w:lang w:val="en-US"/>
        </w:rPr>
        <w:t>2011</w:t>
      </w:r>
      <w:r>
        <w:rPr>
          <w:rFonts w:ascii="Times New Roman" w:hAnsi="Times New Roman" w:cs="Times New Roman"/>
          <w:sz w:val="24"/>
          <w:szCs w:val="24"/>
          <w:lang w:val="en-US"/>
        </w:rPr>
        <w:t>.</w:t>
      </w:r>
      <w:proofErr w:type="gramEnd"/>
    </w:p>
    <w:p w:rsidR="002B09CC" w:rsidRDefault="002B09CC" w:rsidP="004B3779">
      <w:pPr>
        <w:pStyle w:val="Pr-formataoHTML"/>
        <w:spacing w:line="360" w:lineRule="auto"/>
        <w:contextualSpacing/>
        <w:jc w:val="both"/>
        <w:rPr>
          <w:rFonts w:ascii="Times New Roman" w:hAnsi="Times New Roman" w:cs="Times New Roman"/>
          <w:sz w:val="24"/>
          <w:szCs w:val="24"/>
          <w:lang w:val="en-US"/>
        </w:rPr>
      </w:pPr>
    </w:p>
    <w:p w:rsidR="002B09CC" w:rsidRPr="003B5620" w:rsidRDefault="002B09CC" w:rsidP="004B3779">
      <w:pPr>
        <w:pStyle w:val="Pr-formataoHTML"/>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BASÍLIO, F. </w:t>
      </w:r>
      <w:proofErr w:type="spellStart"/>
      <w:r>
        <w:rPr>
          <w:rFonts w:ascii="Times New Roman" w:hAnsi="Times New Roman" w:cs="Times New Roman"/>
          <w:sz w:val="24"/>
          <w:szCs w:val="24"/>
          <w:lang w:val="en-US"/>
        </w:rPr>
        <w:t>Neoclássicos</w:t>
      </w:r>
      <w:proofErr w:type="spellEnd"/>
      <w:r>
        <w:rPr>
          <w:rFonts w:ascii="Times New Roman" w:hAnsi="Times New Roman" w:cs="Times New Roman"/>
          <w:sz w:val="24"/>
          <w:szCs w:val="24"/>
          <w:lang w:val="en-US"/>
        </w:rPr>
        <w:t xml:space="preserve"> versus keynesianos e a crise. </w:t>
      </w:r>
      <w:proofErr w:type="gramStart"/>
      <w:r w:rsidRPr="002B09CC">
        <w:rPr>
          <w:rFonts w:ascii="Times New Roman" w:hAnsi="Times New Roman" w:cs="Times New Roman"/>
          <w:i/>
          <w:sz w:val="24"/>
          <w:szCs w:val="24"/>
          <w:lang w:val="en-US"/>
        </w:rPr>
        <w:t>Valor Econômico</w:t>
      </w:r>
      <w:r>
        <w:rPr>
          <w:rFonts w:ascii="Times New Roman" w:hAnsi="Times New Roman" w:cs="Times New Roman"/>
          <w:sz w:val="24"/>
          <w:szCs w:val="24"/>
          <w:lang w:val="en-US"/>
        </w:rPr>
        <w:t xml:space="preserve">, São Paulo, 26 </w:t>
      </w:r>
      <w:proofErr w:type="spellStart"/>
      <w:r>
        <w:rPr>
          <w:rFonts w:ascii="Times New Roman" w:hAnsi="Times New Roman" w:cs="Times New Roman"/>
          <w:sz w:val="24"/>
          <w:szCs w:val="24"/>
          <w:lang w:val="en-US"/>
        </w:rPr>
        <w:t>dez</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2008.</w:t>
      </w:r>
    </w:p>
    <w:p w:rsidR="00966799" w:rsidRDefault="00966799" w:rsidP="004B3779">
      <w:pPr>
        <w:spacing w:after="0" w:line="360" w:lineRule="auto"/>
        <w:contextualSpacing/>
        <w:jc w:val="both"/>
        <w:rPr>
          <w:rFonts w:ascii="Times New Roman" w:hAnsi="Times New Roman" w:cs="Times New Roman"/>
          <w:sz w:val="24"/>
          <w:szCs w:val="24"/>
          <w:lang w:val="en-US"/>
        </w:rPr>
      </w:pPr>
    </w:p>
    <w:p w:rsidR="009C7B56" w:rsidRDefault="009C7B56"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BIAGE, M.; CORREA, V. P.; NEDER, H. D. </w:t>
      </w:r>
      <w:proofErr w:type="spellStart"/>
      <w:r>
        <w:rPr>
          <w:rFonts w:ascii="Times New Roman" w:hAnsi="Times New Roman" w:cs="Times New Roman"/>
          <w:sz w:val="24"/>
          <w:szCs w:val="24"/>
          <w:lang w:val="en-US"/>
        </w:rPr>
        <w:t>Risco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país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fluxos</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capitais</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determinação</w:t>
      </w:r>
      <w:proofErr w:type="spellEnd"/>
      <w:r>
        <w:rPr>
          <w:rFonts w:ascii="Times New Roman" w:hAnsi="Times New Roman" w:cs="Times New Roman"/>
          <w:sz w:val="24"/>
          <w:szCs w:val="24"/>
          <w:lang w:val="en-US"/>
        </w:rPr>
        <w:t xml:space="preserve"> da </w:t>
      </w:r>
      <w:proofErr w:type="spellStart"/>
      <w:r>
        <w:rPr>
          <w:rFonts w:ascii="Times New Roman" w:hAnsi="Times New Roman" w:cs="Times New Roman"/>
          <w:sz w:val="24"/>
          <w:szCs w:val="24"/>
          <w:lang w:val="en-US"/>
        </w:rPr>
        <w:t>taxa</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juros</w:t>
      </w:r>
      <w:proofErr w:type="spellEnd"/>
      <w:r>
        <w:rPr>
          <w:rFonts w:ascii="Times New Roman" w:hAnsi="Times New Roman" w:cs="Times New Roman"/>
          <w:sz w:val="24"/>
          <w:szCs w:val="24"/>
          <w:lang w:val="en-US"/>
        </w:rPr>
        <w:t xml:space="preserve"> no </w:t>
      </w:r>
      <w:proofErr w:type="spellStart"/>
      <w:r>
        <w:rPr>
          <w:rFonts w:ascii="Times New Roman" w:hAnsi="Times New Roman" w:cs="Times New Roman"/>
          <w:sz w:val="24"/>
          <w:szCs w:val="24"/>
          <w:lang w:val="en-US"/>
        </w:rPr>
        <w:t>Brasil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análise</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impactos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meio</w:t>
      </w:r>
      <w:proofErr w:type="spellEnd"/>
      <w:r>
        <w:rPr>
          <w:rFonts w:ascii="Times New Roman" w:hAnsi="Times New Roman" w:cs="Times New Roman"/>
          <w:sz w:val="24"/>
          <w:szCs w:val="24"/>
          <w:lang w:val="en-US"/>
        </w:rPr>
        <w:t xml:space="preserve"> da </w:t>
      </w:r>
      <w:proofErr w:type="spellStart"/>
      <w:r>
        <w:rPr>
          <w:rFonts w:ascii="Times New Roman" w:hAnsi="Times New Roman" w:cs="Times New Roman"/>
          <w:sz w:val="24"/>
          <w:szCs w:val="24"/>
          <w:lang w:val="en-US"/>
        </w:rPr>
        <w:t>metodologia</w:t>
      </w:r>
      <w:proofErr w:type="spellEnd"/>
      <w:r>
        <w:rPr>
          <w:rFonts w:ascii="Times New Roman" w:hAnsi="Times New Roman" w:cs="Times New Roman"/>
          <w:sz w:val="24"/>
          <w:szCs w:val="24"/>
          <w:lang w:val="en-US"/>
        </w:rPr>
        <w:t xml:space="preserve"> VEC.</w:t>
      </w:r>
      <w:r w:rsidR="0069468E">
        <w:rPr>
          <w:rFonts w:ascii="Times New Roman" w:hAnsi="Times New Roman" w:cs="Times New Roman"/>
          <w:sz w:val="24"/>
          <w:szCs w:val="24"/>
          <w:lang w:val="en-US"/>
        </w:rPr>
        <w:t xml:space="preserve"> </w:t>
      </w:r>
      <w:proofErr w:type="spellStart"/>
      <w:r w:rsidR="0069468E">
        <w:rPr>
          <w:rFonts w:ascii="Times New Roman" w:hAnsi="Times New Roman" w:cs="Times New Roman"/>
          <w:sz w:val="24"/>
          <w:szCs w:val="24"/>
          <w:lang w:val="en-US"/>
        </w:rPr>
        <w:t>Economia</w:t>
      </w:r>
      <w:proofErr w:type="spellEnd"/>
      <w:r w:rsidR="0069468E">
        <w:rPr>
          <w:rFonts w:ascii="Times New Roman" w:hAnsi="Times New Roman" w:cs="Times New Roman"/>
          <w:sz w:val="24"/>
          <w:szCs w:val="24"/>
          <w:lang w:val="en-US"/>
        </w:rPr>
        <w:t xml:space="preserve">, v. 9, n. 1, p. 63-113, </w:t>
      </w:r>
      <w:proofErr w:type="spellStart"/>
      <w:r w:rsidR="0069468E">
        <w:rPr>
          <w:rFonts w:ascii="Times New Roman" w:hAnsi="Times New Roman" w:cs="Times New Roman"/>
          <w:sz w:val="24"/>
          <w:szCs w:val="24"/>
          <w:lang w:val="en-US"/>
        </w:rPr>
        <w:t>jan</w:t>
      </w:r>
      <w:proofErr w:type="spellEnd"/>
      <w:proofErr w:type="gramStart"/>
      <w:r w:rsidR="0069468E">
        <w:rPr>
          <w:rFonts w:ascii="Times New Roman" w:hAnsi="Times New Roman" w:cs="Times New Roman"/>
          <w:sz w:val="24"/>
          <w:szCs w:val="24"/>
          <w:lang w:val="en-US"/>
        </w:rPr>
        <w:t>./</w:t>
      </w:r>
      <w:proofErr w:type="gramEnd"/>
      <w:r w:rsidR="0069468E">
        <w:rPr>
          <w:rFonts w:ascii="Times New Roman" w:hAnsi="Times New Roman" w:cs="Times New Roman"/>
          <w:sz w:val="24"/>
          <w:szCs w:val="24"/>
          <w:lang w:val="en-US"/>
        </w:rPr>
        <w:t>abr. 2008.</w:t>
      </w:r>
    </w:p>
    <w:p w:rsidR="009C7B56" w:rsidRDefault="009C7B56" w:rsidP="004B3779">
      <w:pPr>
        <w:spacing w:after="0" w:line="360" w:lineRule="auto"/>
        <w:contextualSpacing/>
        <w:jc w:val="both"/>
        <w:rPr>
          <w:rFonts w:ascii="Times New Roman" w:hAnsi="Times New Roman" w:cs="Times New Roman"/>
          <w:sz w:val="24"/>
          <w:szCs w:val="24"/>
          <w:lang w:val="en-US"/>
        </w:rPr>
      </w:pPr>
    </w:p>
    <w:p w:rsidR="00D00DD9" w:rsidRDefault="00D00DD9"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DOOLEY, M.; FRANKEL, J.; MATHIESON, D. International capital mobility: what do saving-investment correlations tell </w:t>
      </w:r>
      <w:proofErr w:type="gramStart"/>
      <w:r>
        <w:rPr>
          <w:rFonts w:ascii="Times New Roman" w:hAnsi="Times New Roman" w:cs="Times New Roman"/>
          <w:sz w:val="24"/>
          <w:szCs w:val="24"/>
          <w:lang w:val="en-US"/>
        </w:rPr>
        <w:t>us.</w:t>
      </w:r>
      <w:proofErr w:type="gramEnd"/>
      <w:r>
        <w:rPr>
          <w:rFonts w:ascii="Times New Roman" w:hAnsi="Times New Roman" w:cs="Times New Roman"/>
          <w:sz w:val="24"/>
          <w:szCs w:val="24"/>
          <w:lang w:val="en-US"/>
        </w:rPr>
        <w:t xml:space="preserve"> </w:t>
      </w:r>
      <w:proofErr w:type="gramStart"/>
      <w:r w:rsidRPr="00D00DD9">
        <w:rPr>
          <w:rFonts w:ascii="Times New Roman" w:hAnsi="Times New Roman" w:cs="Times New Roman"/>
          <w:i/>
          <w:sz w:val="24"/>
          <w:szCs w:val="24"/>
          <w:lang w:val="en-US"/>
        </w:rPr>
        <w:t>International Monetary Fund Staff Papers</w:t>
      </w:r>
      <w:r>
        <w:rPr>
          <w:rFonts w:ascii="Times New Roman" w:hAnsi="Times New Roman" w:cs="Times New Roman"/>
          <w:sz w:val="24"/>
          <w:szCs w:val="24"/>
          <w:lang w:val="en-US"/>
        </w:rPr>
        <w:t>, v. 34, p. 503-530, 1987.</w:t>
      </w:r>
      <w:proofErr w:type="gramEnd"/>
    </w:p>
    <w:p w:rsidR="00D00DD9" w:rsidRDefault="00D00DD9" w:rsidP="004B3779">
      <w:pPr>
        <w:spacing w:after="0" w:line="360" w:lineRule="auto"/>
        <w:contextualSpacing/>
        <w:jc w:val="both"/>
        <w:rPr>
          <w:rFonts w:ascii="Times New Roman" w:hAnsi="Times New Roman" w:cs="Times New Roman"/>
          <w:sz w:val="24"/>
          <w:szCs w:val="24"/>
          <w:lang w:val="en-US"/>
        </w:rPr>
      </w:pPr>
    </w:p>
    <w:p w:rsidR="00E332D8" w:rsidRPr="00586953" w:rsidRDefault="00E332D8"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ENDERS, W. Applied econometric time series – third edition. </w:t>
      </w:r>
      <w:smartTag w:uri="urn:schemas-microsoft-com:office:smarttags" w:element="place">
        <w:smartTag w:uri="urn:schemas-microsoft-com:office:smarttags" w:element="State">
          <w:r w:rsidR="001024FB" w:rsidRPr="001024FB">
            <w:rPr>
              <w:rFonts w:ascii="Times New Roman" w:hAnsi="Times New Roman" w:cs="Times New Roman"/>
              <w:sz w:val="24"/>
              <w:szCs w:val="24"/>
              <w:lang w:val="en-US"/>
            </w:rPr>
            <w:t>New York</w:t>
          </w:r>
        </w:smartTag>
      </w:smartTag>
      <w:r w:rsidR="001024FB" w:rsidRPr="001024FB">
        <w:rPr>
          <w:rFonts w:ascii="Times New Roman" w:hAnsi="Times New Roman" w:cs="Times New Roman"/>
          <w:sz w:val="24"/>
          <w:szCs w:val="24"/>
          <w:lang w:val="en-US"/>
        </w:rPr>
        <w:t>: Wiley series in probability and mathematical statistics</w:t>
      </w:r>
      <w:r>
        <w:rPr>
          <w:rFonts w:ascii="Times New Roman" w:hAnsi="Times New Roman" w:cs="Times New Roman"/>
          <w:sz w:val="24"/>
          <w:szCs w:val="24"/>
          <w:lang w:val="en-US"/>
        </w:rPr>
        <w:t>, 2010.</w:t>
      </w:r>
    </w:p>
    <w:p w:rsidR="001024FB" w:rsidRDefault="001024FB" w:rsidP="004B3779">
      <w:pPr>
        <w:spacing w:after="0" w:line="360" w:lineRule="auto"/>
        <w:contextualSpacing/>
        <w:jc w:val="both"/>
        <w:rPr>
          <w:rFonts w:ascii="Times New Roman" w:hAnsi="Times New Roman" w:cs="Times New Roman"/>
          <w:sz w:val="24"/>
          <w:szCs w:val="24"/>
          <w:lang w:val="en-US"/>
        </w:rPr>
      </w:pPr>
    </w:p>
    <w:p w:rsidR="00181966" w:rsidRDefault="00181966" w:rsidP="004B3779">
      <w:pPr>
        <w:spacing w:after="0" w:line="360" w:lineRule="auto"/>
        <w:contextualSpacing/>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ESSO, L. J.; KEHO, Y.</w:t>
      </w:r>
      <w:proofErr w:type="gramEnd"/>
      <w:r>
        <w:rPr>
          <w:rFonts w:ascii="Times New Roman" w:hAnsi="Times New Roman" w:cs="Times New Roman"/>
          <w:sz w:val="24"/>
          <w:szCs w:val="24"/>
          <w:lang w:val="en-US"/>
        </w:rPr>
        <w:t xml:space="preserve"> The savings-investment relationship: </w:t>
      </w:r>
      <w:proofErr w:type="spellStart"/>
      <w:r>
        <w:rPr>
          <w:rFonts w:ascii="Times New Roman" w:hAnsi="Times New Roman" w:cs="Times New Roman"/>
          <w:sz w:val="24"/>
          <w:szCs w:val="24"/>
          <w:lang w:val="en-US"/>
        </w:rPr>
        <w:t>cointegration</w:t>
      </w:r>
      <w:proofErr w:type="spellEnd"/>
      <w:r>
        <w:rPr>
          <w:rFonts w:ascii="Times New Roman" w:hAnsi="Times New Roman" w:cs="Times New Roman"/>
          <w:sz w:val="24"/>
          <w:szCs w:val="24"/>
          <w:lang w:val="en-US"/>
        </w:rPr>
        <w:t xml:space="preserve"> and causality – Evidence from UEMOA countries. </w:t>
      </w:r>
      <w:r w:rsidRPr="00181966">
        <w:rPr>
          <w:rFonts w:ascii="Times New Roman" w:hAnsi="Times New Roman" w:cs="Times New Roman"/>
          <w:i/>
          <w:sz w:val="24"/>
          <w:szCs w:val="24"/>
          <w:lang w:val="en-US"/>
        </w:rPr>
        <w:t>International Journal of Economics and Finance</w:t>
      </w:r>
      <w:r>
        <w:rPr>
          <w:rFonts w:ascii="Times New Roman" w:hAnsi="Times New Roman" w:cs="Times New Roman"/>
          <w:sz w:val="24"/>
          <w:szCs w:val="24"/>
          <w:lang w:val="en-US"/>
        </w:rPr>
        <w:t>, v. 2, n. 1, 2010.</w:t>
      </w:r>
    </w:p>
    <w:p w:rsidR="00181966" w:rsidRDefault="00181966" w:rsidP="004B3779">
      <w:pPr>
        <w:spacing w:after="0" w:line="360" w:lineRule="auto"/>
        <w:contextualSpacing/>
        <w:jc w:val="both"/>
        <w:rPr>
          <w:rFonts w:ascii="Times New Roman" w:hAnsi="Times New Roman" w:cs="Times New Roman"/>
          <w:sz w:val="24"/>
          <w:szCs w:val="24"/>
          <w:lang w:val="en-US"/>
        </w:rPr>
      </w:pPr>
    </w:p>
    <w:p w:rsidR="007571C7" w:rsidRDefault="00E332D8"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r w:rsidRPr="008E4301">
        <w:rPr>
          <w:rFonts w:ascii="Times New Roman" w:eastAsia="Calibri" w:hAnsi="Times New Roman" w:cs="Times New Roman"/>
          <w:sz w:val="24"/>
          <w:szCs w:val="24"/>
          <w:lang w:val="en-US"/>
        </w:rPr>
        <w:t xml:space="preserve">EWING, B.T. </w:t>
      </w:r>
      <w:proofErr w:type="gramStart"/>
      <w:r w:rsidRPr="008E4301">
        <w:rPr>
          <w:rFonts w:ascii="Times New Roman" w:eastAsia="Calibri" w:hAnsi="Times New Roman" w:cs="Times New Roman"/>
          <w:sz w:val="24"/>
          <w:szCs w:val="24"/>
          <w:lang w:val="en-US"/>
        </w:rPr>
        <w:t>The response of the default risk premium to macroeconomic shocks.</w:t>
      </w:r>
      <w:proofErr w:type="gramEnd"/>
      <w:r w:rsidRPr="008E4301">
        <w:rPr>
          <w:rFonts w:ascii="Times New Roman" w:eastAsia="Calibri" w:hAnsi="Times New Roman" w:cs="Times New Roman"/>
          <w:sz w:val="24"/>
          <w:szCs w:val="24"/>
          <w:lang w:val="en-US"/>
        </w:rPr>
        <w:t xml:space="preserve"> </w:t>
      </w:r>
      <w:proofErr w:type="gramStart"/>
      <w:r w:rsidRPr="007571C7">
        <w:rPr>
          <w:rFonts w:ascii="Times New Roman" w:eastAsia="Calibri" w:hAnsi="Times New Roman" w:cs="Times New Roman"/>
          <w:i/>
          <w:sz w:val="24"/>
          <w:szCs w:val="24"/>
          <w:lang w:val="en-US"/>
        </w:rPr>
        <w:t>The Quarterly Review of Economics and Financ</w:t>
      </w:r>
      <w:r w:rsidRPr="007571C7">
        <w:rPr>
          <w:rFonts w:ascii="Times New Roman" w:eastAsia="Calibri" w:hAnsi="Times New Roman" w:cs="Times New Roman"/>
          <w:sz w:val="24"/>
          <w:szCs w:val="24"/>
          <w:lang w:val="en-US"/>
        </w:rPr>
        <w:t>e, v. 43, p. 261-272, 2003.</w:t>
      </w:r>
      <w:proofErr w:type="gramEnd"/>
    </w:p>
    <w:p w:rsidR="007571C7" w:rsidRPr="007571C7" w:rsidRDefault="007571C7"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p>
    <w:p w:rsidR="00FF57F4" w:rsidRDefault="00D00DD9"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r w:rsidRPr="007571C7">
        <w:rPr>
          <w:rFonts w:ascii="Times New Roman" w:eastAsia="Calibri" w:hAnsi="Times New Roman" w:cs="Times New Roman"/>
          <w:sz w:val="24"/>
          <w:szCs w:val="24"/>
          <w:lang w:val="en-US"/>
        </w:rPr>
        <w:t xml:space="preserve">FELDSTEIN, M.; HORIOKA, C. Domestic saving and international capital flows. </w:t>
      </w:r>
      <w:proofErr w:type="gramStart"/>
      <w:r w:rsidRPr="007571C7">
        <w:rPr>
          <w:rFonts w:ascii="Times New Roman" w:eastAsia="Calibri" w:hAnsi="Times New Roman" w:cs="Times New Roman"/>
          <w:i/>
          <w:sz w:val="24"/>
          <w:szCs w:val="24"/>
          <w:lang w:val="en-US"/>
        </w:rPr>
        <w:t>Economic Journal</w:t>
      </w:r>
      <w:r w:rsidR="0021764B">
        <w:rPr>
          <w:rFonts w:ascii="Times New Roman" w:eastAsia="Calibri" w:hAnsi="Times New Roman" w:cs="Times New Roman"/>
          <w:sz w:val="24"/>
          <w:szCs w:val="24"/>
          <w:lang w:val="en-US"/>
        </w:rPr>
        <w:t>, v. 90, p. 314-329, 1980.</w:t>
      </w:r>
      <w:proofErr w:type="gramEnd"/>
    </w:p>
    <w:p w:rsidR="00E06DD2" w:rsidRDefault="00E06DD2"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AC7054" w:rsidRPr="00D50EB5"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 xml:space="preserve">FELDSTEIN, M. </w:t>
      </w:r>
      <w:r w:rsidRPr="003B5620">
        <w:rPr>
          <w:rFonts w:ascii="Times New Roman" w:hAnsi="Times New Roman" w:cs="Times New Roman"/>
          <w:color w:val="000000"/>
          <w:sz w:val="24"/>
          <w:szCs w:val="24"/>
          <w:lang w:val="en-US"/>
        </w:rPr>
        <w:t>Domestic Saving e International Capital Movements in the Long Run e</w:t>
      </w:r>
      <w:r>
        <w:rPr>
          <w:rFonts w:ascii="Times New Roman" w:hAnsi="Times New Roman" w:cs="Times New Roman"/>
          <w:color w:val="000000"/>
          <w:sz w:val="24"/>
          <w:szCs w:val="24"/>
          <w:lang w:val="en-US"/>
        </w:rPr>
        <w:t xml:space="preserve"> in the Short Run</w:t>
      </w:r>
      <w:r w:rsidRPr="003B5620">
        <w:rPr>
          <w:rFonts w:ascii="Times New Roman" w:hAnsi="Times New Roman" w:cs="Times New Roman"/>
          <w:color w:val="000000"/>
          <w:sz w:val="24"/>
          <w:szCs w:val="24"/>
          <w:lang w:val="en-US"/>
        </w:rPr>
        <w:t>.</w:t>
      </w:r>
      <w:proofErr w:type="gramEnd"/>
      <w:r w:rsidRPr="003B5620">
        <w:rPr>
          <w:rFonts w:ascii="Times New Roman" w:hAnsi="Times New Roman" w:cs="Times New Roman"/>
          <w:color w:val="000000"/>
          <w:sz w:val="24"/>
          <w:szCs w:val="24"/>
          <w:lang w:val="en-US"/>
        </w:rPr>
        <w:t xml:space="preserve"> </w:t>
      </w:r>
      <w:proofErr w:type="gramStart"/>
      <w:r w:rsidRPr="003B5620">
        <w:rPr>
          <w:rFonts w:ascii="Times New Roman" w:hAnsi="Times New Roman" w:cs="Times New Roman"/>
          <w:i/>
          <w:iCs/>
          <w:color w:val="000000"/>
          <w:sz w:val="24"/>
          <w:szCs w:val="24"/>
          <w:lang w:val="en-US"/>
        </w:rPr>
        <w:t xml:space="preserve">European Economic </w:t>
      </w:r>
      <w:r w:rsidRPr="00D50EB5">
        <w:rPr>
          <w:rFonts w:ascii="Times New Roman" w:hAnsi="Times New Roman" w:cs="Times New Roman"/>
          <w:i/>
          <w:iCs/>
          <w:color w:val="000000"/>
          <w:sz w:val="24"/>
          <w:szCs w:val="24"/>
          <w:lang w:val="en-US"/>
        </w:rPr>
        <w:t>Review</w:t>
      </w:r>
      <w:r>
        <w:rPr>
          <w:rFonts w:ascii="Times New Roman" w:hAnsi="Times New Roman" w:cs="Times New Roman"/>
          <w:color w:val="000000"/>
          <w:sz w:val="24"/>
          <w:szCs w:val="24"/>
          <w:lang w:val="en-US"/>
        </w:rPr>
        <w:t>,</w:t>
      </w:r>
      <w:r w:rsidRPr="00D50EB5">
        <w:rPr>
          <w:rFonts w:ascii="Times New Roman" w:hAnsi="Times New Roman" w:cs="Times New Roman"/>
          <w:color w:val="000000"/>
          <w:sz w:val="24"/>
          <w:szCs w:val="24"/>
          <w:lang w:val="en-US"/>
        </w:rPr>
        <w:t xml:space="preserve"> </w:t>
      </w:r>
      <w:r w:rsidRPr="00D50EB5">
        <w:rPr>
          <w:rFonts w:ascii="Times New Roman" w:hAnsi="Times New Roman" w:cs="Times New Roman"/>
          <w:sz w:val="24"/>
          <w:szCs w:val="24"/>
          <w:lang w:val="en-US"/>
        </w:rPr>
        <w:t xml:space="preserve">Elsevier, </w:t>
      </w:r>
      <w:r>
        <w:rPr>
          <w:rFonts w:ascii="Times New Roman" w:hAnsi="Times New Roman" w:cs="Times New Roman"/>
          <w:sz w:val="24"/>
          <w:szCs w:val="24"/>
          <w:lang w:val="en-US"/>
        </w:rPr>
        <w:t>v. 21, n.1-2, p.</w:t>
      </w:r>
      <w:r w:rsidRPr="00D50EB5">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129-151, 1983.</w:t>
      </w:r>
      <w:proofErr w:type="gramEnd"/>
    </w:p>
    <w:p w:rsidR="00FF57F4" w:rsidRPr="003B5620"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 xml:space="preserve">FELDSTEIN, M.; BACCHETTA, P. </w:t>
      </w:r>
      <w:r w:rsidRPr="003B5620">
        <w:rPr>
          <w:rFonts w:ascii="Times New Roman" w:hAnsi="Times New Roman" w:cs="Times New Roman"/>
          <w:color w:val="000000"/>
          <w:sz w:val="24"/>
          <w:szCs w:val="24"/>
          <w:lang w:val="en-US"/>
        </w:rPr>
        <w:t>National Saving e</w:t>
      </w:r>
      <w:r>
        <w:rPr>
          <w:rFonts w:ascii="Times New Roman" w:hAnsi="Times New Roman" w:cs="Times New Roman"/>
          <w:color w:val="000000"/>
          <w:sz w:val="24"/>
          <w:szCs w:val="24"/>
          <w:lang w:val="en-US"/>
        </w:rPr>
        <w:t xml:space="preserve"> International Investment</w:t>
      </w:r>
      <w:r w:rsidRPr="003B5620">
        <w:rPr>
          <w:rFonts w:ascii="Times New Roman" w:hAnsi="Times New Roman" w:cs="Times New Roman"/>
          <w:color w:val="000000"/>
          <w:sz w:val="24"/>
          <w:szCs w:val="24"/>
          <w:lang w:val="en-US"/>
        </w:rPr>
        <w:t>.</w:t>
      </w:r>
      <w:proofErr w:type="gramEnd"/>
      <w:r w:rsidRPr="003B5620">
        <w:rPr>
          <w:rFonts w:ascii="Times New Roman" w:hAnsi="Times New Roman" w:cs="Times New Roman"/>
          <w:color w:val="000000"/>
          <w:sz w:val="24"/>
          <w:szCs w:val="24"/>
          <w:lang w:val="en-US"/>
        </w:rPr>
        <w:t xml:space="preserve"> </w:t>
      </w:r>
      <w:proofErr w:type="gramStart"/>
      <w:r w:rsidRPr="003B5620">
        <w:rPr>
          <w:rFonts w:ascii="Times New Roman" w:hAnsi="Times New Roman" w:cs="Times New Roman"/>
          <w:color w:val="000000"/>
          <w:sz w:val="24"/>
          <w:szCs w:val="24"/>
          <w:lang w:val="en-US"/>
        </w:rPr>
        <w:t xml:space="preserve">In </w:t>
      </w:r>
      <w:r w:rsidRPr="003B5620">
        <w:rPr>
          <w:rFonts w:ascii="Times New Roman" w:hAnsi="Times New Roman" w:cs="Times New Roman"/>
          <w:i/>
          <w:iCs/>
          <w:color w:val="000000"/>
          <w:sz w:val="24"/>
          <w:szCs w:val="24"/>
          <w:lang w:val="en-US"/>
        </w:rPr>
        <w:t>National Saving e Economic Performance</w:t>
      </w:r>
      <w:r w:rsidRPr="003B5620">
        <w:rPr>
          <w:rFonts w:ascii="Times New Roman" w:hAnsi="Times New Roman" w:cs="Times New Roman"/>
          <w:color w:val="000000"/>
          <w:sz w:val="24"/>
          <w:szCs w:val="24"/>
          <w:lang w:val="en-US"/>
        </w:rPr>
        <w:t xml:space="preserve">, edited by D. </w:t>
      </w:r>
      <w:proofErr w:type="spellStart"/>
      <w:r w:rsidRPr="003B5620">
        <w:rPr>
          <w:rFonts w:ascii="Times New Roman" w:hAnsi="Times New Roman" w:cs="Times New Roman"/>
          <w:color w:val="000000"/>
          <w:sz w:val="24"/>
          <w:szCs w:val="24"/>
          <w:lang w:val="en-US"/>
        </w:rPr>
        <w:t>Bernheim</w:t>
      </w:r>
      <w:proofErr w:type="spellEnd"/>
      <w:r w:rsidRPr="003B5620">
        <w:rPr>
          <w:rFonts w:ascii="Times New Roman" w:hAnsi="Times New Roman" w:cs="Times New Roman"/>
          <w:color w:val="000000"/>
          <w:sz w:val="24"/>
          <w:szCs w:val="24"/>
          <w:lang w:val="en-US"/>
        </w:rPr>
        <w:t xml:space="preserve"> e J. </w:t>
      </w:r>
      <w:proofErr w:type="spellStart"/>
      <w:r w:rsidRPr="003B5620">
        <w:rPr>
          <w:rFonts w:ascii="Times New Roman" w:hAnsi="Times New Roman" w:cs="Times New Roman"/>
          <w:color w:val="000000"/>
          <w:sz w:val="24"/>
          <w:szCs w:val="24"/>
          <w:lang w:val="en-US"/>
        </w:rPr>
        <w:t>Shoven</w:t>
      </w:r>
      <w:proofErr w:type="spellEnd"/>
      <w:r w:rsidRPr="003B5620">
        <w:rPr>
          <w:rFonts w:ascii="Times New Roman" w:hAnsi="Times New Roman" w:cs="Times New Roman"/>
          <w:color w:val="000000"/>
          <w:sz w:val="24"/>
          <w:szCs w:val="24"/>
          <w:lang w:val="en-US"/>
        </w:rPr>
        <w:t>.</w:t>
      </w:r>
      <w:proofErr w:type="gramEnd"/>
      <w:r w:rsidRPr="003B5620">
        <w:rPr>
          <w:rFonts w:ascii="Times New Roman" w:hAnsi="Times New Roman" w:cs="Times New Roman"/>
          <w:color w:val="000000"/>
          <w:sz w:val="24"/>
          <w:szCs w:val="24"/>
          <w:lang w:val="en-US"/>
        </w:rPr>
        <w:t xml:space="preserve"> Chicago: Unive</w:t>
      </w:r>
      <w:r>
        <w:rPr>
          <w:rFonts w:ascii="Times New Roman" w:hAnsi="Times New Roman" w:cs="Times New Roman"/>
          <w:color w:val="000000"/>
          <w:sz w:val="24"/>
          <w:szCs w:val="24"/>
          <w:lang w:val="en-US"/>
        </w:rPr>
        <w:t xml:space="preserve">rsity of Chicago Press, p. 201-220, </w:t>
      </w:r>
      <w:r w:rsidRPr="003B5620">
        <w:rPr>
          <w:rFonts w:ascii="Times New Roman" w:hAnsi="Times New Roman" w:cs="Times New Roman"/>
          <w:color w:val="000000"/>
          <w:sz w:val="24"/>
          <w:szCs w:val="24"/>
          <w:lang w:val="en-US"/>
        </w:rPr>
        <w:t>1991</w:t>
      </w:r>
      <w:r>
        <w:rPr>
          <w:rFonts w:ascii="Times New Roman" w:hAnsi="Times New Roman" w:cs="Times New Roman"/>
          <w:color w:val="000000"/>
          <w:sz w:val="24"/>
          <w:szCs w:val="24"/>
          <w:lang w:val="en-US"/>
        </w:rPr>
        <w:t>.</w:t>
      </w:r>
    </w:p>
    <w:p w:rsidR="00FF57F4"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21764B" w:rsidRDefault="00A44C51" w:rsidP="004B3779">
      <w:pPr>
        <w:pStyle w:val="Pr-formataoHTML"/>
        <w:spacing w:line="360" w:lineRule="auto"/>
        <w:contextualSpacing/>
        <w:jc w:val="both"/>
        <w:rPr>
          <w:rFonts w:ascii="Times New Roman" w:hAnsi="Times New Roman" w:cs="Times New Roman"/>
          <w:sz w:val="24"/>
          <w:szCs w:val="24"/>
        </w:rPr>
      </w:pPr>
      <w:proofErr w:type="gramStart"/>
      <w:r w:rsidRPr="00586953">
        <w:rPr>
          <w:rFonts w:ascii="Times New Roman" w:hAnsi="Times New Roman" w:cs="Times New Roman"/>
          <w:sz w:val="24"/>
          <w:szCs w:val="24"/>
          <w:lang w:val="en-US"/>
        </w:rPr>
        <w:t xml:space="preserve">GRANGER, C. </w:t>
      </w:r>
      <w:r w:rsidR="00127DC3" w:rsidRPr="00586953">
        <w:rPr>
          <w:rFonts w:ascii="Times New Roman" w:hAnsi="Times New Roman" w:cs="Times New Roman"/>
          <w:sz w:val="24"/>
          <w:szCs w:val="24"/>
          <w:lang w:val="en-US"/>
        </w:rPr>
        <w:t>Investigating causal relations by econometric m</w:t>
      </w:r>
      <w:r w:rsidRPr="00586953">
        <w:rPr>
          <w:rFonts w:ascii="Times New Roman" w:hAnsi="Times New Roman" w:cs="Times New Roman"/>
          <w:sz w:val="24"/>
          <w:szCs w:val="24"/>
          <w:lang w:val="en-US"/>
        </w:rPr>
        <w:t>odels and cross-spectral models</w:t>
      </w:r>
      <w:r w:rsidR="00127DC3" w:rsidRPr="00586953">
        <w:rPr>
          <w:rFonts w:ascii="Times New Roman" w:hAnsi="Times New Roman" w:cs="Times New Roman"/>
          <w:sz w:val="24"/>
          <w:szCs w:val="24"/>
          <w:lang w:val="en-US"/>
        </w:rPr>
        <w:t>.</w:t>
      </w:r>
      <w:proofErr w:type="gramEnd"/>
      <w:r w:rsidR="00127DC3" w:rsidRPr="00586953">
        <w:rPr>
          <w:rFonts w:ascii="Times New Roman" w:hAnsi="Times New Roman" w:cs="Times New Roman"/>
          <w:sz w:val="24"/>
          <w:szCs w:val="24"/>
          <w:lang w:val="en-US"/>
        </w:rPr>
        <w:t xml:space="preserve"> </w:t>
      </w:r>
      <w:proofErr w:type="spellStart"/>
      <w:r w:rsidR="00127DC3" w:rsidRPr="00AC7054">
        <w:rPr>
          <w:rFonts w:ascii="Times New Roman" w:hAnsi="Times New Roman" w:cs="Times New Roman"/>
          <w:i/>
          <w:sz w:val="24"/>
          <w:szCs w:val="24"/>
          <w:lang w:val="en-US"/>
        </w:rPr>
        <w:t>Econometrica</w:t>
      </w:r>
      <w:proofErr w:type="spellEnd"/>
      <w:r w:rsidR="00127DC3" w:rsidRPr="00AC7054">
        <w:rPr>
          <w:rFonts w:ascii="Times New Roman" w:hAnsi="Times New Roman" w:cs="Times New Roman"/>
          <w:sz w:val="24"/>
          <w:szCs w:val="24"/>
          <w:lang w:val="en-US"/>
        </w:rPr>
        <w:t>, Econometric Society</w:t>
      </w:r>
      <w:r w:rsidR="00127DC3" w:rsidRPr="00586953">
        <w:rPr>
          <w:rFonts w:ascii="Times New Roman" w:hAnsi="Times New Roman" w:cs="Times New Roman"/>
          <w:sz w:val="24"/>
          <w:szCs w:val="24"/>
        </w:rPr>
        <w:t xml:space="preserve">, </w:t>
      </w:r>
      <w:r w:rsidRPr="00586953">
        <w:rPr>
          <w:rFonts w:ascii="Times New Roman" w:hAnsi="Times New Roman" w:cs="Times New Roman"/>
          <w:sz w:val="24"/>
          <w:szCs w:val="24"/>
        </w:rPr>
        <w:t xml:space="preserve">v. </w:t>
      </w:r>
      <w:r w:rsidR="00127DC3" w:rsidRPr="00586953">
        <w:rPr>
          <w:rFonts w:ascii="Times New Roman" w:hAnsi="Times New Roman" w:cs="Times New Roman"/>
          <w:sz w:val="24"/>
          <w:szCs w:val="24"/>
        </w:rPr>
        <w:t>37</w:t>
      </w:r>
      <w:r w:rsidRPr="00586953">
        <w:rPr>
          <w:rFonts w:ascii="Times New Roman" w:hAnsi="Times New Roman" w:cs="Times New Roman"/>
          <w:sz w:val="24"/>
          <w:szCs w:val="24"/>
        </w:rPr>
        <w:t xml:space="preserve">, n. 3, p. 424-38, </w:t>
      </w:r>
      <w:r w:rsidRPr="007571C7">
        <w:rPr>
          <w:rFonts w:ascii="Times New Roman" w:hAnsi="Times New Roman" w:cs="Times New Roman"/>
          <w:sz w:val="24"/>
          <w:szCs w:val="24"/>
        </w:rPr>
        <w:t>1969.</w:t>
      </w:r>
    </w:p>
    <w:p w:rsidR="00FF57F4" w:rsidRDefault="00FF57F4" w:rsidP="004B3779">
      <w:pPr>
        <w:pStyle w:val="Pr-formataoHTML"/>
        <w:spacing w:line="360" w:lineRule="auto"/>
        <w:contextualSpacing/>
        <w:jc w:val="both"/>
        <w:rPr>
          <w:rFonts w:ascii="Times New Roman" w:hAnsi="Times New Roman" w:cs="Times New Roman"/>
          <w:sz w:val="24"/>
          <w:szCs w:val="24"/>
        </w:rPr>
      </w:pPr>
    </w:p>
    <w:p w:rsidR="00AC7054" w:rsidRPr="003B5620"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HAAN, J.; SIERMANN, C.L.J. </w:t>
      </w:r>
      <w:proofErr w:type="gramStart"/>
      <w:r w:rsidRPr="003B5620">
        <w:rPr>
          <w:rFonts w:ascii="Times New Roman" w:hAnsi="Times New Roman" w:cs="Times New Roman"/>
          <w:color w:val="000000"/>
          <w:sz w:val="24"/>
          <w:szCs w:val="24"/>
          <w:lang w:val="en-US"/>
        </w:rPr>
        <w:t>Saving</w:t>
      </w:r>
      <w:proofErr w:type="gramEnd"/>
      <w:r w:rsidRPr="003B5620">
        <w:rPr>
          <w:rFonts w:ascii="Times New Roman" w:hAnsi="Times New Roman" w:cs="Times New Roman"/>
          <w:color w:val="000000"/>
          <w:sz w:val="24"/>
          <w:szCs w:val="24"/>
          <w:lang w:val="en-US"/>
        </w:rPr>
        <w:t xml:space="preserve">, investment </w:t>
      </w:r>
      <w:r>
        <w:rPr>
          <w:rFonts w:ascii="Times New Roman" w:hAnsi="Times New Roman" w:cs="Times New Roman"/>
          <w:color w:val="000000"/>
          <w:sz w:val="24"/>
          <w:szCs w:val="24"/>
          <w:lang w:val="en-US"/>
        </w:rPr>
        <w:t>and</w:t>
      </w:r>
      <w:r w:rsidRPr="003B5620">
        <w:rPr>
          <w:rFonts w:ascii="Times New Roman" w:hAnsi="Times New Roman" w:cs="Times New Roman"/>
          <w:color w:val="000000"/>
          <w:sz w:val="24"/>
          <w:szCs w:val="24"/>
          <w:lang w:val="en-US"/>
        </w:rPr>
        <w:t xml:space="preserve"> capital mobility: a comment</w:t>
      </w:r>
      <w:r w:rsidRPr="003B5620">
        <w:rPr>
          <w:rFonts w:ascii="Times New Roman" w:hAnsi="Times New Roman" w:cs="Times New Roman"/>
          <w:sz w:val="24"/>
          <w:szCs w:val="24"/>
          <w:lang w:val="en-US"/>
        </w:rPr>
        <w:t xml:space="preserve"> </w:t>
      </w:r>
      <w:r w:rsidRPr="003B5620">
        <w:rPr>
          <w:rFonts w:ascii="Times New Roman" w:hAnsi="Times New Roman" w:cs="Times New Roman"/>
          <w:color w:val="000000"/>
          <w:sz w:val="24"/>
          <w:szCs w:val="24"/>
          <w:lang w:val="en-US"/>
        </w:rPr>
        <w:t xml:space="preserve">on </w:t>
      </w:r>
      <w:proofErr w:type="spellStart"/>
      <w:r w:rsidRPr="003B5620">
        <w:rPr>
          <w:rFonts w:ascii="Times New Roman" w:hAnsi="Times New Roman" w:cs="Times New Roman"/>
          <w:color w:val="000000"/>
          <w:sz w:val="24"/>
          <w:szCs w:val="24"/>
          <w:lang w:val="en-US"/>
        </w:rPr>
        <w:t>Leachman</w:t>
      </w:r>
      <w:proofErr w:type="spellEnd"/>
      <w:r>
        <w:rPr>
          <w:rFonts w:ascii="Times New Roman" w:hAnsi="Times New Roman" w:cs="Times New Roman"/>
          <w:color w:val="000000"/>
          <w:sz w:val="24"/>
          <w:szCs w:val="24"/>
          <w:lang w:val="en-US"/>
        </w:rPr>
        <w:t>.</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Open Economies Review</w:t>
      </w:r>
      <w:r w:rsidRPr="003B562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v. 5, p. 5-17, 1994.</w:t>
      </w:r>
    </w:p>
    <w:p w:rsidR="00AC7054" w:rsidRPr="00AC7054" w:rsidRDefault="00AC7054" w:rsidP="004B3779">
      <w:pPr>
        <w:pStyle w:val="Pr-formataoHTML"/>
        <w:spacing w:line="360" w:lineRule="auto"/>
        <w:contextualSpacing/>
        <w:jc w:val="both"/>
        <w:rPr>
          <w:rFonts w:ascii="Times New Roman" w:hAnsi="Times New Roman" w:cs="Times New Roman"/>
          <w:sz w:val="24"/>
          <w:szCs w:val="24"/>
          <w:lang w:val="en-US"/>
        </w:rPr>
      </w:pPr>
    </w:p>
    <w:p w:rsidR="0021764B" w:rsidRPr="0021764B" w:rsidRDefault="0021764B" w:rsidP="004B3779">
      <w:pPr>
        <w:pStyle w:val="Pr-formataoHTML"/>
        <w:spacing w:line="360" w:lineRule="auto"/>
        <w:contextualSpacing/>
        <w:jc w:val="both"/>
        <w:rPr>
          <w:rFonts w:ascii="Times New Roman" w:hAnsi="Times New Roman" w:cs="Times New Roman"/>
          <w:sz w:val="24"/>
          <w:szCs w:val="24"/>
          <w:lang w:val="en-US"/>
        </w:rPr>
      </w:pPr>
      <w:proofErr w:type="gramStart"/>
      <w:r w:rsidRPr="0021764B">
        <w:rPr>
          <w:rFonts w:ascii="Times New Roman" w:hAnsi="Times New Roman" w:cs="Times New Roman"/>
          <w:color w:val="333333"/>
          <w:sz w:val="24"/>
          <w:szCs w:val="24"/>
          <w:lang w:val="en-US"/>
        </w:rPr>
        <w:t xml:space="preserve">JOHANSEN, S.; JUSELIUS, K. Maximum Likelihood Estimation and Inference on </w:t>
      </w:r>
      <w:proofErr w:type="spellStart"/>
      <w:r w:rsidRPr="0021764B">
        <w:rPr>
          <w:rFonts w:ascii="Times New Roman" w:hAnsi="Times New Roman" w:cs="Times New Roman"/>
          <w:color w:val="333333"/>
          <w:sz w:val="24"/>
          <w:szCs w:val="24"/>
          <w:lang w:val="en-US"/>
        </w:rPr>
        <w:t>Cointegration</w:t>
      </w:r>
      <w:proofErr w:type="spellEnd"/>
      <w:r w:rsidRPr="0021764B">
        <w:rPr>
          <w:rFonts w:ascii="Times New Roman" w:hAnsi="Times New Roman" w:cs="Times New Roman"/>
          <w:color w:val="333333"/>
          <w:sz w:val="24"/>
          <w:szCs w:val="24"/>
          <w:lang w:val="en-US"/>
        </w:rPr>
        <w:t xml:space="preserve"> - with Applications to the Demand for Money.</w:t>
      </w:r>
      <w:proofErr w:type="gramEnd"/>
      <w:r w:rsidRPr="0021764B">
        <w:rPr>
          <w:rFonts w:ascii="Times New Roman" w:hAnsi="Times New Roman" w:cs="Times New Roman"/>
          <w:color w:val="333333"/>
          <w:sz w:val="24"/>
          <w:szCs w:val="24"/>
          <w:lang w:val="en-US"/>
        </w:rPr>
        <w:t xml:space="preserve"> </w:t>
      </w:r>
      <w:proofErr w:type="gramStart"/>
      <w:r w:rsidRPr="0021764B">
        <w:rPr>
          <w:rFonts w:ascii="Times New Roman" w:hAnsi="Times New Roman" w:cs="Times New Roman"/>
          <w:color w:val="333333"/>
          <w:sz w:val="24"/>
          <w:szCs w:val="24"/>
          <w:lang w:val="en-US"/>
        </w:rPr>
        <w:t>Oxford Bulletin of Economics and Statistics, v. 52, p. 169-210, 1990.</w:t>
      </w:r>
      <w:proofErr w:type="gramEnd"/>
    </w:p>
    <w:p w:rsidR="00FE0FC5" w:rsidRPr="0021764B" w:rsidRDefault="00FE0FC5" w:rsidP="004B3779">
      <w:pPr>
        <w:spacing w:after="0" w:line="360" w:lineRule="auto"/>
        <w:contextualSpacing/>
        <w:jc w:val="both"/>
        <w:rPr>
          <w:rStyle w:val="reference-text"/>
          <w:rFonts w:ascii="Times New Roman" w:hAnsi="Times New Roman" w:cs="Times New Roman"/>
          <w:sz w:val="24"/>
          <w:szCs w:val="24"/>
          <w:lang w:val="en-US"/>
        </w:rPr>
      </w:pPr>
    </w:p>
    <w:p w:rsidR="00FE0FC5" w:rsidRPr="00586953" w:rsidRDefault="00FE0FC5"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roofErr w:type="gramStart"/>
      <w:r w:rsidRPr="00586953">
        <w:rPr>
          <w:rFonts w:ascii="Times New Roman" w:hAnsi="Times New Roman" w:cs="Times New Roman"/>
          <w:sz w:val="24"/>
          <w:szCs w:val="24"/>
          <w:lang w:val="en-US"/>
        </w:rPr>
        <w:t>KOOP, G.; PESARAN, M. H.; POTTER, S. M. Impulse response analysis in non-linear multivariate models.</w:t>
      </w:r>
      <w:proofErr w:type="gramEnd"/>
      <w:r w:rsidRPr="00586953">
        <w:rPr>
          <w:rFonts w:ascii="Times New Roman" w:hAnsi="Times New Roman" w:cs="Times New Roman"/>
          <w:sz w:val="24"/>
          <w:szCs w:val="24"/>
          <w:lang w:val="en-US"/>
        </w:rPr>
        <w:t xml:space="preserve"> </w:t>
      </w:r>
      <w:proofErr w:type="gramStart"/>
      <w:r w:rsidRPr="00586953">
        <w:rPr>
          <w:rFonts w:ascii="Times New Roman" w:hAnsi="Times New Roman" w:cs="Times New Roman"/>
          <w:i/>
          <w:sz w:val="24"/>
          <w:szCs w:val="24"/>
          <w:lang w:val="en-US"/>
        </w:rPr>
        <w:t>Journal of Econometrics</w:t>
      </w:r>
      <w:r w:rsidRPr="00586953">
        <w:rPr>
          <w:rFonts w:ascii="Times New Roman" w:hAnsi="Times New Roman" w:cs="Times New Roman"/>
          <w:sz w:val="24"/>
          <w:szCs w:val="24"/>
          <w:lang w:val="en-US"/>
        </w:rPr>
        <w:t xml:space="preserve">, </w:t>
      </w:r>
      <w:r w:rsidR="002506EA" w:rsidRPr="00586953">
        <w:rPr>
          <w:rFonts w:ascii="Times New Roman" w:hAnsi="Times New Roman" w:cs="Times New Roman"/>
          <w:sz w:val="24"/>
          <w:szCs w:val="24"/>
          <w:lang w:val="en-US"/>
        </w:rPr>
        <w:t>v. 74, n. 1, p. 119-</w:t>
      </w:r>
      <w:r w:rsidRPr="00586953">
        <w:rPr>
          <w:rFonts w:ascii="Times New Roman" w:hAnsi="Times New Roman" w:cs="Times New Roman"/>
          <w:sz w:val="24"/>
          <w:szCs w:val="24"/>
          <w:lang w:val="en-US"/>
        </w:rPr>
        <w:t>147, 1996.</w:t>
      </w:r>
      <w:proofErr w:type="gramEnd"/>
    </w:p>
    <w:p w:rsidR="00974F89" w:rsidRPr="00586953" w:rsidRDefault="00974F8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127DC3" w:rsidRPr="00586953"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roofErr w:type="gramStart"/>
      <w:r w:rsidRPr="00586953">
        <w:rPr>
          <w:rFonts w:ascii="Times New Roman" w:hAnsi="Times New Roman" w:cs="Times New Roman"/>
          <w:sz w:val="24"/>
          <w:szCs w:val="24"/>
          <w:lang w:val="en-US"/>
        </w:rPr>
        <w:t>LANNE, M.; SAIKKONEN, P.;</w:t>
      </w:r>
      <w:r w:rsidR="00127DC3" w:rsidRPr="00586953">
        <w:rPr>
          <w:rFonts w:ascii="Times New Roman" w:hAnsi="Times New Roman" w:cs="Times New Roman"/>
          <w:sz w:val="24"/>
          <w:szCs w:val="24"/>
          <w:lang w:val="en-US"/>
        </w:rPr>
        <w:t xml:space="preserve"> LÜTKEPOHL, H. Comparison of unit root tests fo</w:t>
      </w:r>
      <w:r w:rsidRPr="00586953">
        <w:rPr>
          <w:rFonts w:ascii="Times New Roman" w:hAnsi="Times New Roman" w:cs="Times New Roman"/>
          <w:sz w:val="24"/>
          <w:szCs w:val="24"/>
          <w:lang w:val="en-US"/>
        </w:rPr>
        <w:t>r time series with level shifts</w:t>
      </w:r>
      <w:r w:rsidR="00127DC3" w:rsidRPr="00586953">
        <w:rPr>
          <w:rFonts w:ascii="Times New Roman" w:hAnsi="Times New Roman" w:cs="Times New Roman"/>
          <w:sz w:val="24"/>
          <w:szCs w:val="24"/>
          <w:lang w:val="en-US"/>
        </w:rPr>
        <w:t>.</w:t>
      </w:r>
      <w:proofErr w:type="gramEnd"/>
      <w:r w:rsidR="00127DC3" w:rsidRPr="00586953">
        <w:rPr>
          <w:rFonts w:ascii="Times New Roman" w:hAnsi="Times New Roman" w:cs="Times New Roman"/>
          <w:sz w:val="24"/>
          <w:szCs w:val="24"/>
          <w:lang w:val="en-US"/>
        </w:rPr>
        <w:t xml:space="preserve"> </w:t>
      </w:r>
      <w:r w:rsidR="00127DC3" w:rsidRPr="00586953">
        <w:rPr>
          <w:rFonts w:ascii="Times New Roman" w:hAnsi="Times New Roman" w:cs="Times New Roman"/>
          <w:i/>
          <w:sz w:val="24"/>
          <w:szCs w:val="24"/>
          <w:lang w:val="en-US"/>
        </w:rPr>
        <w:t>Journal of Time Series Analysis</w:t>
      </w:r>
      <w:r w:rsidR="00127DC3" w:rsidRPr="00586953">
        <w:rPr>
          <w:rFonts w:ascii="Times New Roman" w:hAnsi="Times New Roman" w:cs="Times New Roman"/>
          <w:sz w:val="24"/>
          <w:szCs w:val="24"/>
          <w:lang w:val="en-US"/>
        </w:rPr>
        <w:t xml:space="preserve">, </w:t>
      </w:r>
      <w:r w:rsidRPr="00586953">
        <w:rPr>
          <w:rFonts w:ascii="Times New Roman" w:hAnsi="Times New Roman" w:cs="Times New Roman"/>
          <w:sz w:val="24"/>
          <w:szCs w:val="24"/>
          <w:lang w:val="en-US"/>
        </w:rPr>
        <w:t>v.23, p.</w:t>
      </w:r>
      <w:r w:rsidR="00127DC3" w:rsidRPr="00586953">
        <w:rPr>
          <w:rFonts w:ascii="Times New Roman" w:hAnsi="Times New Roman" w:cs="Times New Roman"/>
          <w:sz w:val="24"/>
          <w:szCs w:val="24"/>
          <w:lang w:val="en-US"/>
        </w:rPr>
        <w:t xml:space="preserve"> 667-685</w:t>
      </w:r>
      <w:r w:rsidRPr="00586953">
        <w:rPr>
          <w:rFonts w:ascii="Times New Roman" w:hAnsi="Times New Roman" w:cs="Times New Roman"/>
          <w:sz w:val="24"/>
          <w:szCs w:val="24"/>
          <w:lang w:val="en-US"/>
        </w:rPr>
        <w:t>, 2002.</w:t>
      </w:r>
    </w:p>
    <w:p w:rsidR="00A44C51"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C7054" w:rsidRP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sidRPr="003B5620">
        <w:rPr>
          <w:rFonts w:ascii="Times New Roman" w:hAnsi="Times New Roman" w:cs="Times New Roman"/>
          <w:color w:val="000000"/>
          <w:sz w:val="24"/>
          <w:szCs w:val="24"/>
          <w:lang w:val="en-US"/>
        </w:rPr>
        <w:lastRenderedPageBreak/>
        <w:t>LEACHMAN</w:t>
      </w:r>
      <w:r>
        <w:rPr>
          <w:rFonts w:ascii="Times New Roman" w:hAnsi="Times New Roman" w:cs="Times New Roman"/>
          <w:color w:val="000000"/>
          <w:sz w:val="24"/>
          <w:szCs w:val="24"/>
          <w:lang w:val="en-US"/>
        </w:rPr>
        <w:t xml:space="preserve">, L.L. </w:t>
      </w:r>
      <w:proofErr w:type="gramStart"/>
      <w:r w:rsidRPr="003B5620">
        <w:rPr>
          <w:rFonts w:ascii="Times New Roman" w:hAnsi="Times New Roman" w:cs="Times New Roman"/>
          <w:color w:val="000000"/>
          <w:sz w:val="24"/>
          <w:szCs w:val="24"/>
          <w:lang w:val="en-US"/>
        </w:rPr>
        <w:t>Saving</w:t>
      </w:r>
      <w:proofErr w:type="gramEnd"/>
      <w:r w:rsidRPr="003B5620">
        <w:rPr>
          <w:rFonts w:ascii="Times New Roman" w:hAnsi="Times New Roman" w:cs="Times New Roman"/>
          <w:color w:val="000000"/>
          <w:sz w:val="24"/>
          <w:szCs w:val="24"/>
          <w:lang w:val="en-US"/>
        </w:rPr>
        <w:t>, investment e capital mobility among OECD countries</w:t>
      </w:r>
      <w:r>
        <w:rPr>
          <w:rFonts w:ascii="Times New Roman" w:hAnsi="Times New Roman" w:cs="Times New Roman"/>
          <w:color w:val="000000"/>
          <w:sz w:val="24"/>
          <w:szCs w:val="24"/>
          <w:lang w:val="en-US"/>
        </w:rPr>
        <w:t>.</w:t>
      </w:r>
      <w:r w:rsidRPr="003B5620">
        <w:rPr>
          <w:rFonts w:ascii="Times New Roman" w:hAnsi="Times New Roman" w:cs="Times New Roman"/>
          <w:color w:val="000000"/>
          <w:sz w:val="24"/>
          <w:szCs w:val="24"/>
          <w:lang w:val="en-US"/>
        </w:rPr>
        <w:t xml:space="preserve"> </w:t>
      </w:r>
      <w:r w:rsidRPr="00AC7054">
        <w:rPr>
          <w:rFonts w:ascii="Times New Roman" w:hAnsi="Times New Roman" w:cs="Times New Roman"/>
          <w:i/>
          <w:iCs/>
          <w:color w:val="000000"/>
          <w:sz w:val="24"/>
          <w:szCs w:val="24"/>
          <w:lang w:val="en-US"/>
        </w:rPr>
        <w:t>Open Economies Review</w:t>
      </w:r>
      <w:r>
        <w:rPr>
          <w:rFonts w:ascii="Times New Roman" w:hAnsi="Times New Roman" w:cs="Times New Roman"/>
          <w:color w:val="000000"/>
          <w:sz w:val="24"/>
          <w:szCs w:val="24"/>
          <w:lang w:val="en-US"/>
        </w:rPr>
        <w:t>, v. 2, p. 137-163, 1991.</w:t>
      </w:r>
    </w:p>
    <w:p w:rsidR="00AC7054" w:rsidRPr="00586953"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E96976" w:rsidRDefault="00F653CA"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LÜTKEPOHL</w:t>
      </w:r>
      <w:r w:rsidR="00A44C51" w:rsidRPr="00586953">
        <w:rPr>
          <w:rFonts w:ascii="Times New Roman" w:hAnsi="Times New Roman" w:cs="Times New Roman"/>
          <w:sz w:val="24"/>
          <w:szCs w:val="24"/>
          <w:lang w:val="en-US"/>
        </w:rPr>
        <w:t xml:space="preserve">, H. </w:t>
      </w:r>
      <w:r w:rsidR="00A44C51" w:rsidRPr="00586953">
        <w:rPr>
          <w:rFonts w:ascii="Times New Roman" w:hAnsi="Times New Roman" w:cs="Times New Roman"/>
          <w:i/>
          <w:sz w:val="24"/>
          <w:szCs w:val="24"/>
          <w:lang w:val="en-US"/>
        </w:rPr>
        <w:t>Introduction to multiple time series analysis</w:t>
      </w:r>
      <w:r w:rsidR="00A44C51" w:rsidRPr="00586953">
        <w:rPr>
          <w:rFonts w:ascii="Times New Roman" w:hAnsi="Times New Roman" w:cs="Times New Roman"/>
          <w:sz w:val="24"/>
          <w:szCs w:val="24"/>
          <w:lang w:val="en-US"/>
        </w:rPr>
        <w:t>. Berlin: Springer, 1991.</w:t>
      </w:r>
    </w:p>
    <w:p w:rsidR="00DE30D1" w:rsidRDefault="00DE30D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DE30D1" w:rsidRDefault="00DE30D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MILLER, S.</w:t>
      </w:r>
      <w:proofErr w:type="gramEnd"/>
      <w:r>
        <w:rPr>
          <w:rFonts w:ascii="Times New Roman" w:hAnsi="Times New Roman" w:cs="Times New Roman"/>
          <w:sz w:val="24"/>
          <w:szCs w:val="24"/>
          <w:lang w:val="en-US"/>
        </w:rPr>
        <w:t xml:space="preserve"> Are saving and investment </w:t>
      </w:r>
      <w:proofErr w:type="spellStart"/>
      <w:r>
        <w:rPr>
          <w:rFonts w:ascii="Times New Roman" w:hAnsi="Times New Roman" w:cs="Times New Roman"/>
          <w:sz w:val="24"/>
          <w:szCs w:val="24"/>
          <w:lang w:val="en-US"/>
        </w:rPr>
        <w:t>cointegrated</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Economic Letters, v. 27, p. 31-34, 1988.</w:t>
      </w:r>
      <w:proofErr w:type="gramEnd"/>
    </w:p>
    <w:p w:rsidR="00AC7054"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C7054" w:rsidRP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bCs/>
          <w:color w:val="000000"/>
          <w:sz w:val="24"/>
          <w:szCs w:val="24"/>
          <w:lang w:val="en-US"/>
        </w:rPr>
        <w:t>MISHRA, P., DAS, J.</w:t>
      </w:r>
      <w:proofErr w:type="gramStart"/>
      <w:r>
        <w:rPr>
          <w:rFonts w:ascii="Times New Roman" w:hAnsi="Times New Roman" w:cs="Times New Roman"/>
          <w:bCs/>
          <w:color w:val="000000"/>
          <w:sz w:val="24"/>
          <w:szCs w:val="24"/>
          <w:lang w:val="en-US"/>
        </w:rPr>
        <w:t xml:space="preserve">; </w:t>
      </w:r>
      <w:r w:rsidRPr="00AC7054">
        <w:rPr>
          <w:rFonts w:ascii="Times New Roman" w:hAnsi="Times New Roman" w:cs="Times New Roman"/>
          <w:bCs/>
          <w:color w:val="000000"/>
          <w:sz w:val="24"/>
          <w:szCs w:val="24"/>
          <w:lang w:val="en-US"/>
        </w:rPr>
        <w:t xml:space="preserve"> MISHRA</w:t>
      </w:r>
      <w:proofErr w:type="gramEnd"/>
      <w:r w:rsidRPr="00AC7054">
        <w:rPr>
          <w:rFonts w:ascii="Times New Roman" w:hAnsi="Times New Roman" w:cs="Times New Roman"/>
          <w:bCs/>
          <w:color w:val="000000"/>
          <w:sz w:val="24"/>
          <w:szCs w:val="24"/>
          <w:lang w:val="en-US"/>
        </w:rPr>
        <w:t xml:space="preserve">, S. </w:t>
      </w:r>
      <w:proofErr w:type="gramStart"/>
      <w:r w:rsidRPr="003B5620">
        <w:rPr>
          <w:rFonts w:ascii="Times New Roman" w:hAnsi="Times New Roman" w:cs="Times New Roman"/>
          <w:bCs/>
          <w:color w:val="000000"/>
          <w:sz w:val="24"/>
          <w:szCs w:val="24"/>
          <w:lang w:val="en-US"/>
        </w:rPr>
        <w:t xml:space="preserve">The Dynamics of Savings </w:t>
      </w:r>
      <w:r>
        <w:rPr>
          <w:rFonts w:ascii="Times New Roman" w:hAnsi="Times New Roman" w:cs="Times New Roman"/>
          <w:bCs/>
          <w:color w:val="000000"/>
          <w:sz w:val="24"/>
          <w:szCs w:val="24"/>
          <w:lang w:val="en-US"/>
        </w:rPr>
        <w:t>and</w:t>
      </w:r>
      <w:r w:rsidRPr="003B5620">
        <w:rPr>
          <w:rFonts w:ascii="Times New Roman" w:hAnsi="Times New Roman" w:cs="Times New Roman"/>
          <w:bCs/>
          <w:color w:val="000000"/>
          <w:sz w:val="24"/>
          <w:szCs w:val="24"/>
          <w:lang w:val="en-US"/>
        </w:rPr>
        <w:t xml:space="preserve"> Investment Relationship in India.</w:t>
      </w:r>
      <w:proofErr w:type="gramEnd"/>
      <w:r w:rsidRPr="003B5620">
        <w:rPr>
          <w:rFonts w:ascii="Times New Roman" w:hAnsi="Times New Roman" w:cs="Times New Roman"/>
          <w:bCs/>
          <w:color w:val="000000"/>
          <w:sz w:val="24"/>
          <w:szCs w:val="24"/>
          <w:lang w:val="en-US"/>
        </w:rPr>
        <w:t xml:space="preserve"> </w:t>
      </w:r>
      <w:r w:rsidRPr="00D50EB5">
        <w:rPr>
          <w:rFonts w:ascii="Times New Roman" w:hAnsi="Times New Roman" w:cs="Times New Roman"/>
          <w:i/>
          <w:color w:val="000000"/>
          <w:sz w:val="24"/>
          <w:szCs w:val="24"/>
          <w:lang w:val="en-US"/>
        </w:rPr>
        <w:t>European Journal of Economics, Finance e Administrative Sciences</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v.18: 163-172, </w:t>
      </w:r>
      <w:r w:rsidRPr="003B5620">
        <w:rPr>
          <w:rFonts w:ascii="Times New Roman" w:hAnsi="Times New Roman" w:cs="Times New Roman"/>
          <w:bCs/>
          <w:color w:val="000000"/>
          <w:sz w:val="24"/>
          <w:szCs w:val="24"/>
          <w:lang w:val="en-US"/>
        </w:rPr>
        <w:t>2010</w:t>
      </w:r>
      <w:r>
        <w:rPr>
          <w:rFonts w:ascii="Times New Roman" w:hAnsi="Times New Roman" w:cs="Times New Roman"/>
          <w:bCs/>
          <w:color w:val="000000"/>
          <w:sz w:val="24"/>
          <w:szCs w:val="24"/>
          <w:lang w:val="en-US"/>
        </w:rPr>
        <w:t>.</w:t>
      </w:r>
    </w:p>
    <w:p w:rsidR="00D00DD9" w:rsidRDefault="00D00DD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D00DD9" w:rsidRPr="00586953" w:rsidRDefault="00D00DD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MURPHY, R. G. Capital mobility and the relationship between saving and investment rates in OECD countries. </w:t>
      </w:r>
      <w:proofErr w:type="gramStart"/>
      <w:r w:rsidRPr="00D00DD9">
        <w:rPr>
          <w:rFonts w:ascii="Times New Roman" w:hAnsi="Times New Roman" w:cs="Times New Roman"/>
          <w:i/>
          <w:sz w:val="24"/>
          <w:szCs w:val="24"/>
          <w:lang w:val="en-US"/>
        </w:rPr>
        <w:t>Journal of International Money and Finance</w:t>
      </w:r>
      <w:r>
        <w:rPr>
          <w:rFonts w:ascii="Times New Roman" w:hAnsi="Times New Roman" w:cs="Times New Roman"/>
          <w:sz w:val="24"/>
          <w:szCs w:val="24"/>
          <w:lang w:val="en-US"/>
        </w:rPr>
        <w:t>, v. 3, p. 327-342, 1984.</w:t>
      </w:r>
      <w:proofErr w:type="gramEnd"/>
    </w:p>
    <w:p w:rsidR="00E96976" w:rsidRDefault="00E96976"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5125E2" w:rsidRDefault="005125E2"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OBSTFELD, M. </w:t>
      </w:r>
      <w:r w:rsidRPr="003B5620">
        <w:rPr>
          <w:rFonts w:ascii="Times New Roman" w:hAnsi="Times New Roman" w:cs="Times New Roman"/>
          <w:color w:val="000000"/>
          <w:sz w:val="24"/>
          <w:szCs w:val="24"/>
          <w:lang w:val="en-US"/>
        </w:rPr>
        <w:t>Capital Mobility in the World Economy: Theory e</w:t>
      </w:r>
      <w:r>
        <w:rPr>
          <w:rFonts w:ascii="Times New Roman" w:hAnsi="Times New Roman" w:cs="Times New Roman"/>
          <w:color w:val="000000"/>
          <w:sz w:val="24"/>
          <w:szCs w:val="24"/>
          <w:lang w:val="en-US"/>
        </w:rPr>
        <w:t xml:space="preserve"> Measurement.</w:t>
      </w:r>
      <w:r w:rsidRPr="003B5620">
        <w:rPr>
          <w:rFonts w:ascii="Times New Roman" w:hAnsi="Times New Roman" w:cs="Times New Roman"/>
          <w:color w:val="000000"/>
          <w:sz w:val="24"/>
          <w:szCs w:val="24"/>
          <w:lang w:val="en-US"/>
        </w:rPr>
        <w:t xml:space="preserve"> </w:t>
      </w:r>
      <w:proofErr w:type="gramStart"/>
      <w:r w:rsidRPr="003B5620">
        <w:rPr>
          <w:rFonts w:ascii="Times New Roman" w:hAnsi="Times New Roman" w:cs="Times New Roman"/>
          <w:i/>
          <w:iCs/>
          <w:color w:val="000000"/>
          <w:sz w:val="24"/>
          <w:szCs w:val="24"/>
          <w:lang w:val="en-US"/>
        </w:rPr>
        <w:t>Carnegie</w:t>
      </w:r>
      <w:r>
        <w:rPr>
          <w:rFonts w:ascii="Times New Roman" w:hAnsi="Times New Roman" w:cs="Times New Roman"/>
          <w:i/>
          <w:iCs/>
          <w:color w:val="000000"/>
          <w:sz w:val="24"/>
          <w:szCs w:val="24"/>
          <w:lang w:val="en-US"/>
        </w:rPr>
        <w:t xml:space="preserve"> </w:t>
      </w:r>
      <w:r w:rsidRPr="003B5620">
        <w:rPr>
          <w:rFonts w:ascii="Times New Roman" w:hAnsi="Times New Roman" w:cs="Times New Roman"/>
          <w:i/>
          <w:iCs/>
          <w:color w:val="000000"/>
          <w:sz w:val="24"/>
          <w:szCs w:val="24"/>
          <w:lang w:val="en-US"/>
        </w:rPr>
        <w:t>Rochester Conference Series on Public Policy</w:t>
      </w:r>
      <w:r w:rsidRPr="003B562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p.</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1-24, </w:t>
      </w:r>
      <w:r w:rsidRPr="003B5620">
        <w:rPr>
          <w:rFonts w:ascii="Times New Roman" w:hAnsi="Times New Roman" w:cs="Times New Roman"/>
          <w:color w:val="000000"/>
          <w:sz w:val="24"/>
          <w:szCs w:val="24"/>
          <w:lang w:val="en-US"/>
        </w:rPr>
        <w:t>1986</w:t>
      </w:r>
      <w:r>
        <w:rPr>
          <w:rFonts w:ascii="Times New Roman" w:hAnsi="Times New Roman" w:cs="Times New Roman"/>
          <w:color w:val="000000"/>
          <w:sz w:val="24"/>
          <w:szCs w:val="24"/>
          <w:lang w:val="en-US"/>
        </w:rPr>
        <w:t>.</w:t>
      </w:r>
      <w:proofErr w:type="gramEnd"/>
    </w:p>
    <w:p w:rsidR="00FF57F4"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5125E2" w:rsidRPr="005125E2"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OBSTFELD, M.;</w:t>
      </w:r>
      <w:r w:rsidR="005125E2">
        <w:rPr>
          <w:rFonts w:ascii="Times New Roman" w:hAnsi="Times New Roman" w:cs="Times New Roman"/>
          <w:color w:val="000000"/>
          <w:sz w:val="24"/>
          <w:szCs w:val="24"/>
          <w:lang w:val="en-US"/>
        </w:rPr>
        <w:t xml:space="preserve"> ROGOFF, R.</w:t>
      </w:r>
      <w:proofErr w:type="gramEnd"/>
      <w:r w:rsidR="005125E2">
        <w:rPr>
          <w:rFonts w:ascii="Times New Roman" w:hAnsi="Times New Roman" w:cs="Times New Roman"/>
          <w:color w:val="000000"/>
          <w:sz w:val="24"/>
          <w:szCs w:val="24"/>
          <w:lang w:val="en-US"/>
        </w:rPr>
        <w:t xml:space="preserve"> </w:t>
      </w:r>
      <w:r w:rsidR="005125E2" w:rsidRPr="003B5620">
        <w:rPr>
          <w:rFonts w:ascii="Times New Roman" w:hAnsi="Times New Roman" w:cs="Times New Roman"/>
          <w:color w:val="000000"/>
          <w:sz w:val="24"/>
          <w:szCs w:val="24"/>
          <w:lang w:val="en-US"/>
        </w:rPr>
        <w:t xml:space="preserve">The Six Major Puzzles in International Macroeconomics: is </w:t>
      </w:r>
      <w:proofErr w:type="gramStart"/>
      <w:r w:rsidR="005125E2">
        <w:rPr>
          <w:rFonts w:ascii="Times New Roman" w:hAnsi="Times New Roman" w:cs="Times New Roman"/>
          <w:color w:val="000000"/>
          <w:sz w:val="24"/>
          <w:szCs w:val="24"/>
          <w:lang w:val="en-US"/>
        </w:rPr>
        <w:t>There</w:t>
      </w:r>
      <w:proofErr w:type="gramEnd"/>
      <w:r w:rsidR="005125E2">
        <w:rPr>
          <w:rFonts w:ascii="Times New Roman" w:hAnsi="Times New Roman" w:cs="Times New Roman"/>
          <w:color w:val="000000"/>
          <w:sz w:val="24"/>
          <w:szCs w:val="24"/>
          <w:lang w:val="en-US"/>
        </w:rPr>
        <w:t xml:space="preserve"> a Common Cause? </w:t>
      </w:r>
      <w:proofErr w:type="gramStart"/>
      <w:r w:rsidR="005125E2">
        <w:rPr>
          <w:rFonts w:ascii="Times New Roman" w:hAnsi="Times New Roman" w:cs="Times New Roman"/>
          <w:color w:val="000000"/>
          <w:sz w:val="24"/>
          <w:szCs w:val="24"/>
          <w:lang w:val="en-US"/>
        </w:rPr>
        <w:t>NBER Working Paper 7777, 2000.</w:t>
      </w:r>
      <w:proofErr w:type="gramEnd"/>
    </w:p>
    <w:p w:rsidR="005125E2" w:rsidRPr="00586953" w:rsidRDefault="005125E2"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E96976" w:rsidRPr="00586953" w:rsidRDefault="00E96976" w:rsidP="004B3779">
      <w:pPr>
        <w:pStyle w:val="Pr-formataoHTML"/>
        <w:spacing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ONAFOWARA, O.; </w:t>
      </w:r>
      <w:r w:rsidR="00370FC0">
        <w:rPr>
          <w:rFonts w:ascii="Times New Roman" w:hAnsi="Times New Roman" w:cs="Times New Roman"/>
          <w:sz w:val="24"/>
          <w:szCs w:val="24"/>
          <w:lang w:val="en-US"/>
        </w:rPr>
        <w:t>OWOYE</w:t>
      </w:r>
      <w:r w:rsidRPr="00586953">
        <w:rPr>
          <w:rFonts w:ascii="Times New Roman" w:hAnsi="Times New Roman" w:cs="Times New Roman"/>
          <w:sz w:val="24"/>
          <w:szCs w:val="24"/>
          <w:lang w:val="en-US"/>
        </w:rPr>
        <w:t xml:space="preserve">, O.; </w:t>
      </w:r>
      <w:r w:rsidR="00370FC0">
        <w:rPr>
          <w:rFonts w:ascii="Times New Roman" w:hAnsi="Times New Roman" w:cs="Times New Roman"/>
          <w:sz w:val="24"/>
          <w:szCs w:val="24"/>
          <w:lang w:val="en-US"/>
        </w:rPr>
        <w:t>HUART</w:t>
      </w:r>
      <w:r w:rsidRPr="00586953">
        <w:rPr>
          <w:rFonts w:ascii="Times New Roman" w:hAnsi="Times New Roman" w:cs="Times New Roman"/>
          <w:sz w:val="24"/>
          <w:szCs w:val="24"/>
          <w:lang w:val="en-US"/>
        </w:rPr>
        <w:t>, F. The Temporal Relationship between Saving and Investment: Eviden</w:t>
      </w:r>
      <w:r w:rsidR="007571C7">
        <w:rPr>
          <w:rFonts w:ascii="Times New Roman" w:hAnsi="Times New Roman" w:cs="Times New Roman"/>
          <w:sz w:val="24"/>
          <w:szCs w:val="24"/>
          <w:lang w:val="en-US"/>
        </w:rPr>
        <w:t xml:space="preserve">ce from Advanced EU Countries. </w:t>
      </w:r>
      <w:proofErr w:type="gramStart"/>
      <w:r w:rsidRPr="00370FC0">
        <w:rPr>
          <w:rFonts w:ascii="Times New Roman" w:hAnsi="Times New Roman" w:cs="Times New Roman"/>
          <w:i/>
          <w:sz w:val="24"/>
          <w:szCs w:val="24"/>
          <w:lang w:val="en-US"/>
        </w:rPr>
        <w:t>International Journal of Business and Social Science</w:t>
      </w:r>
      <w:r w:rsidRPr="00586953">
        <w:rPr>
          <w:rFonts w:ascii="Times New Roman" w:hAnsi="Times New Roman" w:cs="Times New Roman"/>
          <w:sz w:val="24"/>
          <w:szCs w:val="24"/>
          <w:lang w:val="en-US"/>
        </w:rPr>
        <w:t xml:space="preserve">, </w:t>
      </w:r>
      <w:r w:rsidR="007571C7">
        <w:rPr>
          <w:rFonts w:ascii="Times New Roman" w:hAnsi="Times New Roman" w:cs="Times New Roman"/>
          <w:sz w:val="24"/>
          <w:szCs w:val="24"/>
          <w:lang w:val="en-US"/>
        </w:rPr>
        <w:t>v. 2, n. 2, p.</w:t>
      </w:r>
      <w:r w:rsidRPr="00586953">
        <w:rPr>
          <w:rFonts w:ascii="Times New Roman" w:hAnsi="Times New Roman" w:cs="Times New Roman"/>
          <w:sz w:val="24"/>
          <w:szCs w:val="24"/>
          <w:lang w:val="en-US"/>
        </w:rPr>
        <w:t xml:space="preserve"> 1-12</w:t>
      </w:r>
      <w:r w:rsidR="007571C7">
        <w:rPr>
          <w:rFonts w:ascii="Times New Roman" w:hAnsi="Times New Roman" w:cs="Times New Roman"/>
          <w:sz w:val="24"/>
          <w:szCs w:val="24"/>
          <w:lang w:val="en-US"/>
        </w:rPr>
        <w:t>, 2011.</w:t>
      </w:r>
      <w:proofErr w:type="gramEnd"/>
    </w:p>
    <w:p w:rsidR="00FF57F4" w:rsidRDefault="00FF57F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434074" w:rsidRDefault="0043407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PALLEY, T. I. The saving-investment nexus: why it matters and how it works. </w:t>
      </w:r>
      <w:r w:rsidRPr="00434074">
        <w:rPr>
          <w:rFonts w:ascii="Times New Roman" w:hAnsi="Times New Roman" w:cs="Times New Roman"/>
          <w:i/>
          <w:sz w:val="24"/>
          <w:szCs w:val="24"/>
          <w:lang w:val="en-US"/>
        </w:rPr>
        <w:t>Center for Economic Policy Analysis Working Paper</w:t>
      </w:r>
      <w:r>
        <w:rPr>
          <w:rFonts w:ascii="Times New Roman" w:hAnsi="Times New Roman" w:cs="Times New Roman"/>
          <w:sz w:val="24"/>
          <w:szCs w:val="24"/>
          <w:lang w:val="en-US"/>
        </w:rPr>
        <w:t xml:space="preserve"> n. 1, 1996.</w:t>
      </w:r>
    </w:p>
    <w:p w:rsidR="00434074" w:rsidRDefault="0043407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127DC3" w:rsidRPr="00586953" w:rsidRDefault="00127DC3"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PERRON, P. </w:t>
      </w:r>
      <w:r w:rsidRPr="00586953">
        <w:rPr>
          <w:rFonts w:ascii="Times New Roman" w:hAnsi="Times New Roman" w:cs="Times New Roman"/>
          <w:bCs/>
          <w:sz w:val="24"/>
          <w:szCs w:val="24"/>
          <w:lang w:val="en-US"/>
        </w:rPr>
        <w:t>The great crash, the oil price shoc</w:t>
      </w:r>
      <w:r w:rsidR="00A44C51" w:rsidRPr="00586953">
        <w:rPr>
          <w:rFonts w:ascii="Times New Roman" w:hAnsi="Times New Roman" w:cs="Times New Roman"/>
          <w:bCs/>
          <w:sz w:val="24"/>
          <w:szCs w:val="24"/>
          <w:lang w:val="en-US"/>
        </w:rPr>
        <w:t>k, and the unit root Hypothesis</w:t>
      </w:r>
      <w:r w:rsidRPr="00586953">
        <w:rPr>
          <w:rFonts w:ascii="Times New Roman" w:hAnsi="Times New Roman" w:cs="Times New Roman"/>
          <w:bCs/>
          <w:sz w:val="24"/>
          <w:szCs w:val="24"/>
          <w:lang w:val="en-US"/>
        </w:rPr>
        <w:t>.</w:t>
      </w:r>
      <w:r w:rsidRPr="00586953">
        <w:rPr>
          <w:rFonts w:ascii="Times New Roman" w:hAnsi="Times New Roman" w:cs="Times New Roman"/>
          <w:sz w:val="24"/>
          <w:szCs w:val="24"/>
          <w:lang w:val="en-US"/>
        </w:rPr>
        <w:t xml:space="preserve"> </w:t>
      </w:r>
      <w:proofErr w:type="spellStart"/>
      <w:proofErr w:type="gramStart"/>
      <w:r w:rsidRPr="00586953">
        <w:rPr>
          <w:rFonts w:ascii="Times New Roman" w:hAnsi="Times New Roman" w:cs="Times New Roman"/>
          <w:i/>
          <w:sz w:val="24"/>
          <w:szCs w:val="24"/>
          <w:lang w:val="en-US"/>
        </w:rPr>
        <w:t>Econometrica</w:t>
      </w:r>
      <w:proofErr w:type="spellEnd"/>
      <w:r w:rsidRPr="00586953">
        <w:rPr>
          <w:rFonts w:ascii="Times New Roman" w:hAnsi="Times New Roman" w:cs="Times New Roman"/>
          <w:sz w:val="24"/>
          <w:szCs w:val="24"/>
          <w:lang w:val="en-US"/>
        </w:rPr>
        <w:t xml:space="preserve">, </w:t>
      </w:r>
      <w:r w:rsidR="00A44C51" w:rsidRPr="00586953">
        <w:rPr>
          <w:rFonts w:ascii="Times New Roman" w:hAnsi="Times New Roman" w:cs="Times New Roman"/>
          <w:sz w:val="24"/>
          <w:szCs w:val="24"/>
          <w:lang w:val="en-US"/>
        </w:rPr>
        <w:t>v. 57, n. 6, p.</w:t>
      </w:r>
      <w:r w:rsidRPr="00586953">
        <w:rPr>
          <w:rFonts w:ascii="Times New Roman" w:hAnsi="Times New Roman" w:cs="Times New Roman"/>
          <w:sz w:val="24"/>
          <w:szCs w:val="24"/>
          <w:lang w:val="en-US"/>
        </w:rPr>
        <w:t xml:space="preserve"> 1361-1401</w:t>
      </w:r>
      <w:r w:rsidR="00A44C51" w:rsidRPr="00586953">
        <w:rPr>
          <w:rFonts w:ascii="Times New Roman" w:hAnsi="Times New Roman" w:cs="Times New Roman"/>
          <w:sz w:val="24"/>
          <w:szCs w:val="24"/>
          <w:lang w:val="en-US"/>
        </w:rPr>
        <w:t>, 1989.</w:t>
      </w:r>
      <w:proofErr w:type="gramEnd"/>
    </w:p>
    <w:p w:rsidR="00127DC3" w:rsidRPr="00586953" w:rsidRDefault="00127DC3" w:rsidP="004B3779">
      <w:pPr>
        <w:pStyle w:val="Pr-formataoHTML"/>
        <w:spacing w:line="360" w:lineRule="auto"/>
        <w:contextualSpacing/>
        <w:jc w:val="both"/>
        <w:rPr>
          <w:rFonts w:ascii="Times New Roman" w:hAnsi="Times New Roman" w:cs="Times New Roman"/>
          <w:sz w:val="24"/>
          <w:szCs w:val="24"/>
          <w:lang w:val="en-US"/>
        </w:rPr>
      </w:pPr>
    </w:p>
    <w:p w:rsidR="00A44C51" w:rsidRDefault="00A44C51" w:rsidP="004B3779">
      <w:pPr>
        <w:autoSpaceDE w:val="0"/>
        <w:autoSpaceDN w:val="0"/>
        <w:adjustRightInd w:val="0"/>
        <w:spacing w:after="0" w:line="360" w:lineRule="auto"/>
        <w:contextualSpacing/>
        <w:jc w:val="both"/>
        <w:rPr>
          <w:rFonts w:ascii="Times New Roman" w:hAnsi="Times New Roman" w:cs="Times New Roman"/>
          <w:sz w:val="24"/>
          <w:szCs w:val="24"/>
        </w:rPr>
      </w:pPr>
      <w:proofErr w:type="gramStart"/>
      <w:r w:rsidRPr="00586953">
        <w:rPr>
          <w:rFonts w:ascii="Times New Roman" w:hAnsi="Times New Roman" w:cs="Times New Roman"/>
          <w:sz w:val="24"/>
          <w:szCs w:val="24"/>
          <w:lang w:val="en-US"/>
        </w:rPr>
        <w:t>PESARAN, M. H.; SHIN, Y. Generalized impulse response analysis in linear multivariate models.</w:t>
      </w:r>
      <w:proofErr w:type="gramEnd"/>
      <w:r w:rsidRPr="00586953">
        <w:rPr>
          <w:rFonts w:ascii="Times New Roman" w:hAnsi="Times New Roman" w:cs="Times New Roman"/>
          <w:sz w:val="24"/>
          <w:szCs w:val="24"/>
          <w:lang w:val="en-US"/>
        </w:rPr>
        <w:t xml:space="preserve"> </w:t>
      </w:r>
      <w:proofErr w:type="spellStart"/>
      <w:r w:rsidRPr="00586953">
        <w:rPr>
          <w:rFonts w:ascii="Times New Roman" w:hAnsi="Times New Roman" w:cs="Times New Roman"/>
          <w:i/>
          <w:sz w:val="24"/>
          <w:szCs w:val="24"/>
        </w:rPr>
        <w:t>Economics</w:t>
      </w:r>
      <w:proofErr w:type="spellEnd"/>
      <w:r w:rsidRPr="00586953">
        <w:rPr>
          <w:rFonts w:ascii="Times New Roman" w:hAnsi="Times New Roman" w:cs="Times New Roman"/>
          <w:i/>
          <w:sz w:val="24"/>
          <w:szCs w:val="24"/>
        </w:rPr>
        <w:t xml:space="preserve"> </w:t>
      </w:r>
      <w:proofErr w:type="spellStart"/>
      <w:r w:rsidRPr="00586953">
        <w:rPr>
          <w:rFonts w:ascii="Times New Roman" w:hAnsi="Times New Roman" w:cs="Times New Roman"/>
          <w:i/>
          <w:sz w:val="24"/>
          <w:szCs w:val="24"/>
        </w:rPr>
        <w:t>Letters</w:t>
      </w:r>
      <w:proofErr w:type="spellEnd"/>
      <w:r w:rsidRPr="00586953">
        <w:rPr>
          <w:rFonts w:ascii="Times New Roman" w:hAnsi="Times New Roman" w:cs="Times New Roman"/>
          <w:sz w:val="24"/>
          <w:szCs w:val="24"/>
        </w:rPr>
        <w:t>, v. 58, n. 1, p. 17-29, 1998.</w:t>
      </w:r>
    </w:p>
    <w:p w:rsidR="00A06B49" w:rsidRDefault="00A06B49" w:rsidP="004B3779">
      <w:pPr>
        <w:autoSpaceDE w:val="0"/>
        <w:autoSpaceDN w:val="0"/>
        <w:adjustRightInd w:val="0"/>
        <w:spacing w:after="0" w:line="360" w:lineRule="auto"/>
        <w:contextualSpacing/>
        <w:jc w:val="both"/>
        <w:rPr>
          <w:rFonts w:ascii="Times New Roman" w:hAnsi="Times New Roman" w:cs="Times New Roman"/>
          <w:sz w:val="24"/>
          <w:szCs w:val="24"/>
        </w:rPr>
      </w:pPr>
    </w:p>
    <w:p w:rsidR="00A06B49" w:rsidRDefault="00A06B49" w:rsidP="004B3779">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RAMAKRISHNA, G.; RAO, S. V.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relationship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between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savings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investment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Ethiopia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cointegration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ECM approach. </w:t>
      </w:r>
      <w:proofErr w:type="spellStart"/>
      <w:r w:rsidRPr="00A06B49">
        <w:rPr>
          <w:rFonts w:ascii="Times New Roman" w:hAnsi="Times New Roman" w:cs="Times New Roman"/>
          <w:i/>
          <w:sz w:val="24"/>
          <w:szCs w:val="24"/>
        </w:rPr>
        <w:t>Developing</w:t>
      </w:r>
      <w:proofErr w:type="spellEnd"/>
      <w:r w:rsidRPr="00A06B49">
        <w:rPr>
          <w:rFonts w:ascii="Times New Roman" w:hAnsi="Times New Roman" w:cs="Times New Roman"/>
          <w:i/>
          <w:sz w:val="24"/>
          <w:szCs w:val="24"/>
        </w:rPr>
        <w:t xml:space="preserve"> Country </w:t>
      </w:r>
      <w:proofErr w:type="spellStart"/>
      <w:r w:rsidRPr="00A06B49">
        <w:rPr>
          <w:rFonts w:ascii="Times New Roman" w:hAnsi="Times New Roman" w:cs="Times New Roman"/>
          <w:i/>
          <w:sz w:val="24"/>
          <w:szCs w:val="24"/>
        </w:rPr>
        <w:t>Studies</w:t>
      </w:r>
      <w:proofErr w:type="spellEnd"/>
      <w:r>
        <w:rPr>
          <w:rFonts w:ascii="Times New Roman" w:hAnsi="Times New Roman" w:cs="Times New Roman"/>
          <w:sz w:val="24"/>
          <w:szCs w:val="24"/>
        </w:rPr>
        <w:t>, v. 2, n. 4, 2012.</w:t>
      </w:r>
    </w:p>
    <w:p w:rsidR="00F653CA"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p>
    <w:p w:rsidR="00BC6522" w:rsidRDefault="00BC6522" w:rsidP="004B3779">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SACHSIDA. A. Testes de exogeneidade sobre a correlação poupança doméstica e investimento. Instituto de Pesquisa Econômica Aplicada, </w:t>
      </w:r>
      <w:r w:rsidRPr="00BC6522">
        <w:rPr>
          <w:rFonts w:ascii="Times New Roman" w:hAnsi="Times New Roman" w:cs="Times New Roman"/>
          <w:i/>
          <w:sz w:val="24"/>
          <w:szCs w:val="24"/>
        </w:rPr>
        <w:t>Texto para Discussão</w:t>
      </w:r>
      <w:r>
        <w:rPr>
          <w:rFonts w:ascii="Times New Roman" w:hAnsi="Times New Roman" w:cs="Times New Roman"/>
          <w:sz w:val="24"/>
          <w:szCs w:val="24"/>
        </w:rPr>
        <w:t xml:space="preserve"> n. 659, Brasília, 1999.</w:t>
      </w:r>
    </w:p>
    <w:p w:rsidR="00F653CA"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p>
    <w:p w:rsidR="00F653CA" w:rsidRPr="00586953"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SACHSIDA, A.; MENDONÇA, M. J. C. </w:t>
      </w:r>
      <w:proofErr w:type="spellStart"/>
      <w:r>
        <w:rPr>
          <w:rFonts w:ascii="Times New Roman" w:hAnsi="Times New Roman" w:cs="Times New Roman"/>
          <w:sz w:val="24"/>
          <w:szCs w:val="24"/>
        </w:rPr>
        <w:t>Domestic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saving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revised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Feldstein-Horioka </w:t>
      </w:r>
      <w:proofErr w:type="spellStart"/>
      <w:r>
        <w:rPr>
          <w:rFonts w:ascii="Times New Roman" w:hAnsi="Times New Roman" w:cs="Times New Roman"/>
          <w:sz w:val="24"/>
          <w:szCs w:val="24"/>
        </w:rPr>
        <w:t>equation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policy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Instituto de Pesquisa Econômica Aplicada, </w:t>
      </w:r>
      <w:r w:rsidRPr="00F653CA">
        <w:rPr>
          <w:rFonts w:ascii="Times New Roman" w:hAnsi="Times New Roman" w:cs="Times New Roman"/>
          <w:i/>
          <w:sz w:val="24"/>
          <w:szCs w:val="24"/>
        </w:rPr>
        <w:t>Texto para Discussão</w:t>
      </w:r>
      <w:r>
        <w:rPr>
          <w:rFonts w:ascii="Times New Roman" w:hAnsi="Times New Roman" w:cs="Times New Roman"/>
          <w:sz w:val="24"/>
          <w:szCs w:val="24"/>
        </w:rPr>
        <w:t xml:space="preserve"> n. 1158, Rio de Janeiro, 2006.</w:t>
      </w:r>
    </w:p>
    <w:p w:rsidR="00974F89" w:rsidRPr="00586953" w:rsidRDefault="00974F89" w:rsidP="004B3779">
      <w:pPr>
        <w:autoSpaceDE w:val="0"/>
        <w:autoSpaceDN w:val="0"/>
        <w:adjustRightInd w:val="0"/>
        <w:spacing w:after="0" w:line="360" w:lineRule="auto"/>
        <w:contextualSpacing/>
        <w:jc w:val="both"/>
        <w:rPr>
          <w:rFonts w:ascii="Times New Roman" w:hAnsi="Times New Roman" w:cs="Times New Roman"/>
          <w:sz w:val="24"/>
          <w:szCs w:val="24"/>
        </w:rPr>
      </w:pPr>
    </w:p>
    <w:p w:rsidR="00127DC3" w:rsidRPr="00586953" w:rsidRDefault="00F12EBE" w:rsidP="004B3779">
      <w:pPr>
        <w:autoSpaceDE w:val="0"/>
        <w:autoSpaceDN w:val="0"/>
        <w:adjustRightInd w:val="0"/>
        <w:spacing w:after="0" w:line="360" w:lineRule="auto"/>
        <w:contextualSpacing/>
        <w:jc w:val="both"/>
        <w:rPr>
          <w:rFonts w:ascii="Times New Roman" w:hAnsi="Times New Roman" w:cs="Times New Roman"/>
          <w:sz w:val="24"/>
          <w:szCs w:val="24"/>
        </w:rPr>
      </w:pPr>
      <w:r w:rsidRPr="00586953">
        <w:rPr>
          <w:rFonts w:ascii="Times New Roman" w:hAnsi="Times New Roman" w:cs="Times New Roman"/>
          <w:sz w:val="24"/>
          <w:szCs w:val="24"/>
          <w:lang w:val="en-US"/>
        </w:rPr>
        <w:t>SAIKKONEN, P.;</w:t>
      </w:r>
      <w:r w:rsidR="00127DC3" w:rsidRPr="00586953">
        <w:rPr>
          <w:rFonts w:ascii="Times New Roman" w:hAnsi="Times New Roman" w:cs="Times New Roman"/>
          <w:sz w:val="24"/>
          <w:szCs w:val="24"/>
          <w:lang w:val="en-US"/>
        </w:rPr>
        <w:t xml:space="preserve"> LÜTKEPOHL, H. Testing for a unit root in a time series wit</w:t>
      </w:r>
      <w:r w:rsidRPr="00586953">
        <w:rPr>
          <w:rFonts w:ascii="Times New Roman" w:hAnsi="Times New Roman" w:cs="Times New Roman"/>
          <w:sz w:val="24"/>
          <w:szCs w:val="24"/>
          <w:lang w:val="en-US"/>
        </w:rPr>
        <w:t>h a level shift at unknown time</w:t>
      </w:r>
      <w:r w:rsidR="00127DC3" w:rsidRPr="00586953">
        <w:rPr>
          <w:rFonts w:ascii="Times New Roman" w:hAnsi="Times New Roman" w:cs="Times New Roman"/>
          <w:sz w:val="24"/>
          <w:szCs w:val="24"/>
          <w:lang w:val="en-US"/>
        </w:rPr>
        <w:t xml:space="preserve">. </w:t>
      </w:r>
      <w:proofErr w:type="spellStart"/>
      <w:r w:rsidR="00127DC3" w:rsidRPr="00586953">
        <w:rPr>
          <w:rFonts w:ascii="Times New Roman" w:hAnsi="Times New Roman" w:cs="Times New Roman"/>
          <w:i/>
          <w:sz w:val="24"/>
          <w:szCs w:val="24"/>
        </w:rPr>
        <w:t>Econometric</w:t>
      </w:r>
      <w:proofErr w:type="spellEnd"/>
      <w:r w:rsidR="00127DC3" w:rsidRPr="00586953">
        <w:rPr>
          <w:rFonts w:ascii="Times New Roman" w:hAnsi="Times New Roman" w:cs="Times New Roman"/>
          <w:i/>
          <w:sz w:val="24"/>
          <w:szCs w:val="24"/>
        </w:rPr>
        <w:t xml:space="preserve"> </w:t>
      </w:r>
      <w:proofErr w:type="spellStart"/>
      <w:r w:rsidR="00127DC3" w:rsidRPr="00586953">
        <w:rPr>
          <w:rFonts w:ascii="Times New Roman" w:hAnsi="Times New Roman" w:cs="Times New Roman"/>
          <w:i/>
          <w:sz w:val="24"/>
          <w:szCs w:val="24"/>
        </w:rPr>
        <w:t>Theory</w:t>
      </w:r>
      <w:proofErr w:type="spellEnd"/>
      <w:r w:rsidR="00127DC3" w:rsidRPr="00586953">
        <w:rPr>
          <w:rFonts w:ascii="Times New Roman" w:hAnsi="Times New Roman" w:cs="Times New Roman"/>
          <w:sz w:val="24"/>
          <w:szCs w:val="24"/>
        </w:rPr>
        <w:t xml:space="preserve">, </w:t>
      </w:r>
      <w:r w:rsidRPr="00586953">
        <w:rPr>
          <w:rFonts w:ascii="Times New Roman" w:hAnsi="Times New Roman" w:cs="Times New Roman"/>
          <w:sz w:val="24"/>
          <w:szCs w:val="24"/>
        </w:rPr>
        <w:t>v.</w:t>
      </w:r>
      <w:r w:rsidR="00FF57F4">
        <w:rPr>
          <w:rFonts w:ascii="Times New Roman" w:hAnsi="Times New Roman" w:cs="Times New Roman"/>
          <w:sz w:val="24"/>
          <w:szCs w:val="24"/>
        </w:rPr>
        <w:t xml:space="preserve"> </w:t>
      </w:r>
      <w:r w:rsidRPr="00586953">
        <w:rPr>
          <w:rFonts w:ascii="Times New Roman" w:hAnsi="Times New Roman" w:cs="Times New Roman"/>
          <w:sz w:val="24"/>
          <w:szCs w:val="24"/>
        </w:rPr>
        <w:t>18, p. 313-348, 2002.</w:t>
      </w:r>
    </w:p>
    <w:p w:rsidR="00E96976" w:rsidRDefault="00E96976" w:rsidP="004B3779">
      <w:pPr>
        <w:spacing w:after="0" w:line="360" w:lineRule="auto"/>
        <w:contextualSpacing/>
        <w:jc w:val="both"/>
        <w:rPr>
          <w:rFonts w:ascii="Times New Roman" w:hAnsi="Times New Roman" w:cs="Times New Roman"/>
          <w:sz w:val="24"/>
          <w:szCs w:val="24"/>
        </w:rPr>
      </w:pPr>
    </w:p>
    <w:p w:rsidR="007D7D21" w:rsidRDefault="007D7D21" w:rsidP="004B377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SILVA JR., G. G.; FELIX, R. N. Novas evidências sobre poupança, investimento e crescimento econômico na América Latina. </w:t>
      </w:r>
      <w:r w:rsidRPr="007D7D21">
        <w:rPr>
          <w:rFonts w:ascii="Times New Roman" w:hAnsi="Times New Roman" w:cs="Times New Roman"/>
          <w:i/>
          <w:sz w:val="24"/>
          <w:szCs w:val="24"/>
        </w:rPr>
        <w:t>Revista Economia &amp; Tecnologia</w:t>
      </w:r>
      <w:r>
        <w:rPr>
          <w:rFonts w:ascii="Times New Roman" w:hAnsi="Times New Roman" w:cs="Times New Roman"/>
          <w:sz w:val="24"/>
          <w:szCs w:val="24"/>
        </w:rPr>
        <w:t xml:space="preserve"> (RET), v. 9, n. 2, p. 25-35, abr./jun. 2013.</w:t>
      </w:r>
    </w:p>
    <w:p w:rsidR="007D7D21" w:rsidRPr="00586953" w:rsidRDefault="007D7D21" w:rsidP="004B3779">
      <w:pPr>
        <w:spacing w:after="0" w:line="360" w:lineRule="auto"/>
        <w:contextualSpacing/>
        <w:jc w:val="both"/>
        <w:rPr>
          <w:rFonts w:ascii="Times New Roman" w:hAnsi="Times New Roman" w:cs="Times New Roman"/>
          <w:sz w:val="24"/>
          <w:szCs w:val="24"/>
        </w:rPr>
      </w:pPr>
    </w:p>
    <w:p w:rsidR="00AC7054" w:rsidRDefault="00E96976"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roofErr w:type="gramStart"/>
      <w:r w:rsidRPr="00586953">
        <w:rPr>
          <w:rFonts w:ascii="Times New Roman" w:eastAsia="Times New Roman" w:hAnsi="Times New Roman" w:cs="Times New Roman"/>
          <w:sz w:val="24"/>
          <w:szCs w:val="24"/>
          <w:lang w:val="en-US"/>
        </w:rPr>
        <w:t>SINHA, D. Saving-investment relationships for J</w:t>
      </w:r>
      <w:r w:rsidR="007571C7">
        <w:rPr>
          <w:rFonts w:ascii="Times New Roman" w:eastAsia="Times New Roman" w:hAnsi="Times New Roman" w:cs="Times New Roman"/>
          <w:sz w:val="24"/>
          <w:szCs w:val="24"/>
          <w:lang w:val="en-US"/>
        </w:rPr>
        <w:t>apan and other Asian countries.</w:t>
      </w:r>
      <w:proofErr w:type="gramEnd"/>
      <w:r w:rsidRPr="00586953">
        <w:rPr>
          <w:rFonts w:ascii="Times New Roman" w:eastAsia="Times New Roman" w:hAnsi="Times New Roman" w:cs="Times New Roman"/>
          <w:sz w:val="24"/>
          <w:szCs w:val="24"/>
          <w:lang w:val="en-US"/>
        </w:rPr>
        <w:t xml:space="preserve"> Japan and the World Economy, Elsevier, </w:t>
      </w:r>
      <w:r w:rsidR="007571C7">
        <w:rPr>
          <w:rFonts w:ascii="Times New Roman" w:eastAsia="Times New Roman" w:hAnsi="Times New Roman" w:cs="Times New Roman"/>
          <w:sz w:val="24"/>
          <w:szCs w:val="24"/>
          <w:lang w:val="en-US"/>
        </w:rPr>
        <w:t>v. 14, n. 1, p.</w:t>
      </w:r>
      <w:r w:rsidRPr="00586953">
        <w:rPr>
          <w:rFonts w:ascii="Times New Roman" w:eastAsia="Times New Roman" w:hAnsi="Times New Roman" w:cs="Times New Roman"/>
          <w:sz w:val="24"/>
          <w:szCs w:val="24"/>
          <w:lang w:val="en-US"/>
        </w:rPr>
        <w:t xml:space="preserve"> 1-23</w:t>
      </w:r>
      <w:r w:rsidR="007571C7">
        <w:rPr>
          <w:rFonts w:ascii="Times New Roman" w:eastAsia="Times New Roman" w:hAnsi="Times New Roman" w:cs="Times New Roman"/>
          <w:sz w:val="24"/>
          <w:szCs w:val="24"/>
          <w:lang w:val="en-US"/>
        </w:rPr>
        <w:t>, 2002.</w:t>
      </w:r>
    </w:p>
    <w:p w:rsidR="00FF57F4" w:rsidRDefault="00FF57F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SINN, S. </w:t>
      </w:r>
      <w:r w:rsidRPr="003B5620">
        <w:rPr>
          <w:rFonts w:ascii="Times New Roman" w:hAnsi="Times New Roman" w:cs="Times New Roman"/>
          <w:color w:val="000000"/>
          <w:sz w:val="24"/>
          <w:szCs w:val="24"/>
          <w:lang w:val="en-US"/>
        </w:rPr>
        <w:t>Saving-Investment Correlations e Capital Mobility: O</w:t>
      </w:r>
      <w:r>
        <w:rPr>
          <w:rFonts w:ascii="Times New Roman" w:hAnsi="Times New Roman" w:cs="Times New Roman"/>
          <w:color w:val="000000"/>
          <w:sz w:val="24"/>
          <w:szCs w:val="24"/>
          <w:lang w:val="en-US"/>
        </w:rPr>
        <w:t>n the Evidence from Annual Data</w:t>
      </w:r>
      <w:r w:rsidRPr="003B5620">
        <w:rPr>
          <w:rFonts w:ascii="Times New Roman" w:hAnsi="Times New Roman" w:cs="Times New Roman"/>
          <w:color w:val="000000"/>
          <w:sz w:val="24"/>
          <w:szCs w:val="24"/>
          <w:lang w:val="en-US"/>
        </w:rPr>
        <w:t xml:space="preserve">. </w:t>
      </w:r>
      <w:proofErr w:type="gramStart"/>
      <w:r w:rsidRPr="003B5620">
        <w:rPr>
          <w:rFonts w:ascii="Times New Roman" w:hAnsi="Times New Roman" w:cs="Times New Roman"/>
          <w:i/>
          <w:iCs/>
          <w:color w:val="000000"/>
          <w:sz w:val="24"/>
          <w:szCs w:val="24"/>
          <w:lang w:val="en-US"/>
        </w:rPr>
        <w:t>Economic Journal</w:t>
      </w:r>
      <w:r>
        <w:rPr>
          <w:rFonts w:ascii="Times New Roman" w:hAnsi="Times New Roman" w:cs="Times New Roman"/>
          <w:color w:val="000000"/>
          <w:sz w:val="24"/>
          <w:szCs w:val="24"/>
          <w:lang w:val="en-US"/>
        </w:rPr>
        <w:t xml:space="preserve">, September, v. 102, p. 1162-1170, </w:t>
      </w:r>
      <w:r w:rsidRPr="006216A6">
        <w:rPr>
          <w:rFonts w:ascii="Times New Roman" w:hAnsi="Times New Roman" w:cs="Times New Roman"/>
          <w:color w:val="000000"/>
          <w:sz w:val="24"/>
          <w:szCs w:val="24"/>
          <w:lang w:val="en-US"/>
        </w:rPr>
        <w:t>1992</w:t>
      </w:r>
      <w:r>
        <w:rPr>
          <w:rFonts w:ascii="Times New Roman" w:hAnsi="Times New Roman" w:cs="Times New Roman"/>
          <w:color w:val="000000"/>
          <w:sz w:val="24"/>
          <w:szCs w:val="24"/>
          <w:lang w:val="en-US"/>
        </w:rPr>
        <w:t>.</w:t>
      </w:r>
      <w:proofErr w:type="gramEnd"/>
    </w:p>
    <w:p w:rsidR="00FF57F4" w:rsidRDefault="00FF57F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AC7054" w:rsidRPr="003B5620"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TESAR, L. </w:t>
      </w:r>
      <w:r w:rsidRPr="003B5620">
        <w:rPr>
          <w:rFonts w:ascii="Times New Roman" w:hAnsi="Times New Roman" w:cs="Times New Roman"/>
          <w:color w:val="000000"/>
          <w:sz w:val="24"/>
          <w:szCs w:val="24"/>
          <w:lang w:val="en-US"/>
        </w:rPr>
        <w:t>Saving, Investment, e</w:t>
      </w:r>
      <w:r>
        <w:rPr>
          <w:rFonts w:ascii="Times New Roman" w:hAnsi="Times New Roman" w:cs="Times New Roman"/>
          <w:color w:val="000000"/>
          <w:sz w:val="24"/>
          <w:szCs w:val="24"/>
          <w:lang w:val="en-US"/>
        </w:rPr>
        <w:t xml:space="preserve"> International Capital Flows</w:t>
      </w:r>
      <w:r w:rsidRPr="003B5620">
        <w:rPr>
          <w:rFonts w:ascii="Times New Roman" w:hAnsi="Times New Roman" w:cs="Times New Roman"/>
          <w:color w:val="000000"/>
          <w:sz w:val="24"/>
          <w:szCs w:val="24"/>
          <w:lang w:val="en-US"/>
        </w:rPr>
        <w:t xml:space="preserve">. </w:t>
      </w:r>
      <w:proofErr w:type="gramStart"/>
      <w:r w:rsidRPr="003B5620">
        <w:rPr>
          <w:rFonts w:ascii="Times New Roman" w:hAnsi="Times New Roman" w:cs="Times New Roman"/>
          <w:i/>
          <w:iCs/>
          <w:color w:val="000000"/>
          <w:sz w:val="24"/>
          <w:szCs w:val="24"/>
          <w:lang w:val="en-US"/>
        </w:rPr>
        <w:t>Journal of</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International Economics</w:t>
      </w:r>
      <w:r>
        <w:rPr>
          <w:rFonts w:ascii="Times New Roman" w:hAnsi="Times New Roman" w:cs="Times New Roman"/>
          <w:color w:val="000000"/>
          <w:sz w:val="24"/>
          <w:szCs w:val="24"/>
          <w:lang w:val="en-US"/>
        </w:rPr>
        <w:t>, v. 31, n. 1, p. 55-78, 1991.</w:t>
      </w:r>
      <w:proofErr w:type="gramEnd"/>
    </w:p>
    <w:p w:rsidR="00AC7054" w:rsidRDefault="00AC705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5125E2" w:rsidRPr="003B5620" w:rsidRDefault="005125E2"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roofErr w:type="gramStart"/>
      <w:r>
        <w:rPr>
          <w:rFonts w:ascii="Times New Roman" w:hAnsi="Times New Roman" w:cs="Times New Roman"/>
          <w:color w:val="000000"/>
          <w:sz w:val="24"/>
          <w:szCs w:val="24"/>
          <w:lang w:val="en-US"/>
        </w:rPr>
        <w:t>WONG, D.</w:t>
      </w:r>
      <w:proofErr w:type="gramEnd"/>
      <w:r>
        <w:rPr>
          <w:rFonts w:ascii="Times New Roman" w:hAnsi="Times New Roman" w:cs="Times New Roman"/>
          <w:color w:val="000000"/>
          <w:sz w:val="24"/>
          <w:szCs w:val="24"/>
          <w:lang w:val="en-US"/>
        </w:rPr>
        <w:t xml:space="preserve"> </w:t>
      </w:r>
      <w:r w:rsidRPr="003B5620">
        <w:rPr>
          <w:rFonts w:ascii="Times New Roman" w:hAnsi="Times New Roman" w:cs="Times New Roman"/>
          <w:color w:val="000000"/>
          <w:sz w:val="24"/>
          <w:szCs w:val="24"/>
          <w:lang w:val="en-US"/>
        </w:rPr>
        <w:t>What Do Saving-Investment Relationships T</w:t>
      </w:r>
      <w:r>
        <w:rPr>
          <w:rFonts w:ascii="Times New Roman" w:hAnsi="Times New Roman" w:cs="Times New Roman"/>
          <w:color w:val="000000"/>
          <w:sz w:val="24"/>
          <w:szCs w:val="24"/>
          <w:lang w:val="en-US"/>
        </w:rPr>
        <w:t>ell Us About Capital Mobility?</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Journal of International Money e Finance</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v.9, n. 1, p. 60-74, </w:t>
      </w:r>
      <w:r w:rsidRPr="003B5620">
        <w:rPr>
          <w:rFonts w:ascii="Times New Roman" w:hAnsi="Times New Roman" w:cs="Times New Roman"/>
          <w:color w:val="000000"/>
          <w:sz w:val="24"/>
          <w:szCs w:val="24"/>
          <w:lang w:val="en-US"/>
        </w:rPr>
        <w:t>1990</w:t>
      </w:r>
      <w:r>
        <w:rPr>
          <w:rFonts w:ascii="Times New Roman" w:hAnsi="Times New Roman" w:cs="Times New Roman"/>
          <w:color w:val="000000"/>
          <w:sz w:val="24"/>
          <w:szCs w:val="24"/>
          <w:lang w:val="en-US"/>
        </w:rPr>
        <w:t>.</w:t>
      </w:r>
      <w:r w:rsidR="004B3779" w:rsidRPr="003B5620">
        <w:rPr>
          <w:rFonts w:ascii="Times New Roman" w:hAnsi="Times New Roman" w:cs="Times New Roman"/>
          <w:sz w:val="24"/>
          <w:szCs w:val="24"/>
          <w:lang w:val="en-US"/>
        </w:rPr>
        <w:t xml:space="preserve"> </w:t>
      </w:r>
    </w:p>
    <w:p w:rsidR="005125E2" w:rsidRPr="00586953" w:rsidRDefault="005125E2"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bookmarkStart w:id="1" w:name="_GoBack"/>
      <w:bookmarkEnd w:id="1"/>
    </w:p>
    <w:sectPr w:rsidR="005125E2" w:rsidRPr="00586953" w:rsidSect="00C83CB3">
      <w:headerReference w:type="default" r:id="rId32"/>
      <w:footerReference w:type="default" r:id="rId3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8D3" w:rsidRDefault="002258D3" w:rsidP="009535EF">
      <w:pPr>
        <w:spacing w:after="0" w:line="240" w:lineRule="auto"/>
      </w:pPr>
      <w:r>
        <w:separator/>
      </w:r>
    </w:p>
  </w:endnote>
  <w:endnote w:type="continuationSeparator" w:id="0">
    <w:p w:rsidR="002258D3" w:rsidRDefault="002258D3" w:rsidP="009535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CB3" w:rsidRDefault="00C83CB3">
    <w:pPr>
      <w:pStyle w:val="Rodap"/>
      <w:jc w:val="right"/>
    </w:pPr>
  </w:p>
  <w:p w:rsidR="00C83CB3" w:rsidRDefault="00C83CB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CB3" w:rsidRDefault="00C83CB3">
    <w:pPr>
      <w:pStyle w:val="Rodap"/>
      <w:jc w:val="right"/>
    </w:pPr>
  </w:p>
  <w:p w:rsidR="00C83CB3" w:rsidRDefault="00C83CB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8D3" w:rsidRDefault="002258D3" w:rsidP="009535EF">
      <w:pPr>
        <w:spacing w:after="0" w:line="240" w:lineRule="auto"/>
      </w:pPr>
      <w:r>
        <w:separator/>
      </w:r>
    </w:p>
  </w:footnote>
  <w:footnote w:type="continuationSeparator" w:id="0">
    <w:p w:rsidR="002258D3" w:rsidRDefault="002258D3" w:rsidP="009535EF">
      <w:pPr>
        <w:spacing w:after="0" w:line="240" w:lineRule="auto"/>
      </w:pPr>
      <w:r>
        <w:continuationSeparator/>
      </w:r>
    </w:p>
  </w:footnote>
  <w:footnote w:id="1">
    <w:p w:rsidR="00C83CB3" w:rsidRDefault="00C83CB3">
      <w:pPr>
        <w:pStyle w:val="Textodenotaderodap"/>
      </w:pPr>
      <w:r>
        <w:rPr>
          <w:rStyle w:val="Refdenotaderodap"/>
        </w:rPr>
        <w:footnoteRef/>
      </w:r>
      <w:r>
        <w:t xml:space="preserve"> Disponível em:&lt;&lt;</w:t>
      </w:r>
      <w:r w:rsidRPr="00B50A33">
        <w:rPr>
          <w:rFonts w:eastAsiaTheme="minorHAnsi"/>
          <w:lang w:eastAsia="en-US"/>
        </w:rPr>
        <w:t xml:space="preserve"> </w:t>
      </w:r>
      <w:r w:rsidRPr="00CD5D26">
        <w:rPr>
          <w:rFonts w:eastAsiaTheme="minorHAnsi"/>
          <w:lang w:eastAsia="en-US"/>
        </w:rPr>
        <w:t>http://www.</w:t>
      </w:r>
      <w:r>
        <w:rPr>
          <w:rFonts w:eastAsiaTheme="minorHAnsi"/>
          <w:lang w:eastAsia="en-US"/>
        </w:rPr>
        <w:t>ibge</w:t>
      </w:r>
      <w:r w:rsidRPr="00CD5D26">
        <w:rPr>
          <w:rFonts w:eastAsiaTheme="minorHAnsi"/>
          <w:lang w:eastAsia="en-US"/>
        </w:rPr>
        <w:t>.gov.br</w:t>
      </w:r>
      <w:r>
        <w:t xml:space="preserve"> &gt;&gt;</w:t>
      </w:r>
    </w:p>
  </w:footnote>
  <w:footnote w:id="2">
    <w:p w:rsidR="00C83CB3" w:rsidRPr="00CD5D26" w:rsidRDefault="00C83CB3" w:rsidP="00B50A33">
      <w:pPr>
        <w:pStyle w:val="Textodenotaderodap"/>
        <w:jc w:val="both"/>
      </w:pPr>
      <w:r w:rsidRPr="00CD5D26">
        <w:rPr>
          <w:rStyle w:val="Refdenotaderodap"/>
        </w:rPr>
        <w:footnoteRef/>
      </w:r>
      <w:r w:rsidRPr="00CD5D26">
        <w:t xml:space="preserve"> </w:t>
      </w:r>
      <w:r>
        <w:rPr>
          <w:rFonts w:eastAsiaTheme="minorHAnsi"/>
          <w:lang w:eastAsia="en-US"/>
        </w:rPr>
        <w:t>D</w:t>
      </w:r>
      <w:r w:rsidRPr="00CD5D26">
        <w:rPr>
          <w:rFonts w:eastAsiaTheme="minorHAnsi"/>
          <w:lang w:eastAsia="en-US"/>
        </w:rPr>
        <w:t>isponíve</w:t>
      </w:r>
      <w:r>
        <w:rPr>
          <w:rFonts w:eastAsiaTheme="minorHAnsi"/>
          <w:lang w:eastAsia="en-US"/>
        </w:rPr>
        <w:t>l</w:t>
      </w:r>
      <w:r w:rsidRPr="00CD5D26">
        <w:rPr>
          <w:rFonts w:eastAsiaTheme="minorHAnsi"/>
          <w:lang w:eastAsia="en-US"/>
        </w:rPr>
        <w:t xml:space="preserve"> em: &lt;&lt;http://www.ipeadata.gov.br&gt;&gt;.</w:t>
      </w:r>
    </w:p>
  </w:footnote>
  <w:footnote w:id="3">
    <w:p w:rsidR="00C83CB3" w:rsidRDefault="00C83CB3" w:rsidP="00B50A33">
      <w:pPr>
        <w:pStyle w:val="Textodenotaderodap"/>
        <w:jc w:val="both"/>
      </w:pPr>
      <w:r w:rsidRPr="00CD5D26">
        <w:rPr>
          <w:rStyle w:val="Refdenotaderodap"/>
        </w:rPr>
        <w:footnoteRef/>
      </w:r>
      <w:r w:rsidRPr="00CD5D26">
        <w:t xml:space="preserve"> </w:t>
      </w:r>
      <w:r w:rsidRPr="00CD5D26">
        <w:rPr>
          <w:color w:val="000000"/>
        </w:rPr>
        <w:t>O IGP-DI (Índice Geral de Preços - Disponibilidade Interna) faz medições no mês cheio, de 1 a 30 ou 31 de cada mês. Ele é formado pelo IPA-DI (Índice de Preços por Atacado - Disponibilidade Interna), IPC-DI (Índice de Preços ao Consumidor - Disponibilidade Interna) e INCC-DI (Índice Nacional do Custo da Construção - Disponibilidade Interna), com pesos de 60%, 30% e 10%, respectivamente. O período de coleta dos três é o mesmo do IGP-DI.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5772"/>
      <w:docPartObj>
        <w:docPartGallery w:val="Page Numbers (Top of Page)"/>
        <w:docPartUnique/>
      </w:docPartObj>
    </w:sdtPr>
    <w:sdtContent>
      <w:p w:rsidR="00C83CB3" w:rsidRDefault="004419A9">
        <w:pPr>
          <w:pStyle w:val="Cabealho"/>
          <w:jc w:val="right"/>
        </w:pPr>
        <w:fldSimple w:instr=" PAGE   \* MERGEFORMAT ">
          <w:r w:rsidR="00493F3E">
            <w:rPr>
              <w:noProof/>
            </w:rPr>
            <w:t>1</w:t>
          </w:r>
        </w:fldSimple>
      </w:p>
    </w:sdtContent>
  </w:sdt>
  <w:p w:rsidR="00C83CB3" w:rsidRDefault="00C83CB3">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5773"/>
      <w:docPartObj>
        <w:docPartGallery w:val="Page Numbers (Top of Page)"/>
        <w:docPartUnique/>
      </w:docPartObj>
    </w:sdtPr>
    <w:sdtContent>
      <w:p w:rsidR="00C83CB3" w:rsidRDefault="004419A9">
        <w:pPr>
          <w:pStyle w:val="Cabealho"/>
          <w:jc w:val="right"/>
        </w:pPr>
        <w:fldSimple w:instr=" PAGE   \* MERGEFORMAT ">
          <w:r w:rsidR="00A67BF0">
            <w:rPr>
              <w:noProof/>
            </w:rPr>
            <w:t>24</w:t>
          </w:r>
        </w:fldSimple>
      </w:p>
    </w:sdtContent>
  </w:sdt>
  <w:p w:rsidR="00C83CB3" w:rsidRDefault="00C83C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F1903"/>
    <w:multiLevelType w:val="hybridMultilevel"/>
    <w:tmpl w:val="4ACA871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9E446D7"/>
    <w:multiLevelType w:val="hybridMultilevel"/>
    <w:tmpl w:val="AD6A3B14"/>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B7D23A6"/>
    <w:multiLevelType w:val="hybridMultilevel"/>
    <w:tmpl w:val="865844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hyphenationZone w:val="425"/>
  <w:characterSpacingControl w:val="doNotCompress"/>
  <w:hdrShapeDefaults>
    <o:shapedefaults v:ext="edit" spidmax="23554"/>
  </w:hdrShapeDefaults>
  <w:footnotePr>
    <w:footnote w:id="-1"/>
    <w:footnote w:id="0"/>
  </w:footnotePr>
  <w:endnotePr>
    <w:endnote w:id="-1"/>
    <w:endnote w:id="0"/>
  </w:endnotePr>
  <w:compat>
    <w:useFELayout/>
  </w:compat>
  <w:rsids>
    <w:rsidRoot w:val="001A3BB2"/>
    <w:rsid w:val="000016BF"/>
    <w:rsid w:val="00004894"/>
    <w:rsid w:val="0003526E"/>
    <w:rsid w:val="00042CEF"/>
    <w:rsid w:val="00091C86"/>
    <w:rsid w:val="000942C4"/>
    <w:rsid w:val="000B0795"/>
    <w:rsid w:val="000D0A71"/>
    <w:rsid w:val="000F0180"/>
    <w:rsid w:val="001024FB"/>
    <w:rsid w:val="0011186F"/>
    <w:rsid w:val="00112074"/>
    <w:rsid w:val="0011269D"/>
    <w:rsid w:val="00123817"/>
    <w:rsid w:val="00127DC3"/>
    <w:rsid w:val="0013407C"/>
    <w:rsid w:val="00135A77"/>
    <w:rsid w:val="001434A3"/>
    <w:rsid w:val="00147028"/>
    <w:rsid w:val="00154B10"/>
    <w:rsid w:val="00181966"/>
    <w:rsid w:val="001A3BB2"/>
    <w:rsid w:val="001A5C5B"/>
    <w:rsid w:val="001A743E"/>
    <w:rsid w:val="001A765C"/>
    <w:rsid w:val="001B6CC1"/>
    <w:rsid w:val="001E1327"/>
    <w:rsid w:val="001F5775"/>
    <w:rsid w:val="00203E86"/>
    <w:rsid w:val="00213F7C"/>
    <w:rsid w:val="0021764B"/>
    <w:rsid w:val="00222277"/>
    <w:rsid w:val="002258D3"/>
    <w:rsid w:val="00230176"/>
    <w:rsid w:val="00230341"/>
    <w:rsid w:val="002374DF"/>
    <w:rsid w:val="002506EA"/>
    <w:rsid w:val="00257126"/>
    <w:rsid w:val="00270959"/>
    <w:rsid w:val="00274606"/>
    <w:rsid w:val="002749EC"/>
    <w:rsid w:val="00274F21"/>
    <w:rsid w:val="00281175"/>
    <w:rsid w:val="002836DE"/>
    <w:rsid w:val="002A3DC2"/>
    <w:rsid w:val="002B09CC"/>
    <w:rsid w:val="002B5C8E"/>
    <w:rsid w:val="002B7596"/>
    <w:rsid w:val="002C69AF"/>
    <w:rsid w:val="002F17A9"/>
    <w:rsid w:val="003254FE"/>
    <w:rsid w:val="003424B1"/>
    <w:rsid w:val="0035363A"/>
    <w:rsid w:val="00361CAF"/>
    <w:rsid w:val="00370FC0"/>
    <w:rsid w:val="00380A87"/>
    <w:rsid w:val="0039362A"/>
    <w:rsid w:val="00393B18"/>
    <w:rsid w:val="003E0504"/>
    <w:rsid w:val="003F0E5C"/>
    <w:rsid w:val="003F476A"/>
    <w:rsid w:val="00404DB8"/>
    <w:rsid w:val="00412CF6"/>
    <w:rsid w:val="00415969"/>
    <w:rsid w:val="004320B6"/>
    <w:rsid w:val="00434074"/>
    <w:rsid w:val="004419A9"/>
    <w:rsid w:val="00444E21"/>
    <w:rsid w:val="00444EAD"/>
    <w:rsid w:val="004547C4"/>
    <w:rsid w:val="00455270"/>
    <w:rsid w:val="004678E7"/>
    <w:rsid w:val="00483801"/>
    <w:rsid w:val="00493F3E"/>
    <w:rsid w:val="00497F42"/>
    <w:rsid w:val="004A51F6"/>
    <w:rsid w:val="004B3779"/>
    <w:rsid w:val="004B3BEC"/>
    <w:rsid w:val="004B421B"/>
    <w:rsid w:val="004F7A6D"/>
    <w:rsid w:val="005125E2"/>
    <w:rsid w:val="0053101C"/>
    <w:rsid w:val="00540CD2"/>
    <w:rsid w:val="00541644"/>
    <w:rsid w:val="00555222"/>
    <w:rsid w:val="00570C64"/>
    <w:rsid w:val="00571F58"/>
    <w:rsid w:val="00586953"/>
    <w:rsid w:val="00596067"/>
    <w:rsid w:val="00596B3F"/>
    <w:rsid w:val="005B277F"/>
    <w:rsid w:val="005B4DD4"/>
    <w:rsid w:val="005D4BA6"/>
    <w:rsid w:val="005E327E"/>
    <w:rsid w:val="005E5C38"/>
    <w:rsid w:val="005E74A5"/>
    <w:rsid w:val="00602A72"/>
    <w:rsid w:val="00602B66"/>
    <w:rsid w:val="00631AEC"/>
    <w:rsid w:val="0066318B"/>
    <w:rsid w:val="00677406"/>
    <w:rsid w:val="006774FF"/>
    <w:rsid w:val="00682A0A"/>
    <w:rsid w:val="00687384"/>
    <w:rsid w:val="00691362"/>
    <w:rsid w:val="0069468E"/>
    <w:rsid w:val="006A504B"/>
    <w:rsid w:val="006A5F90"/>
    <w:rsid w:val="006C64D0"/>
    <w:rsid w:val="006D1DEA"/>
    <w:rsid w:val="006E2730"/>
    <w:rsid w:val="007065E4"/>
    <w:rsid w:val="007120EF"/>
    <w:rsid w:val="007140A0"/>
    <w:rsid w:val="00742E98"/>
    <w:rsid w:val="007571C7"/>
    <w:rsid w:val="00761D7C"/>
    <w:rsid w:val="007755E6"/>
    <w:rsid w:val="00783DE6"/>
    <w:rsid w:val="00797196"/>
    <w:rsid w:val="007D186C"/>
    <w:rsid w:val="007D7D21"/>
    <w:rsid w:val="007E4BA6"/>
    <w:rsid w:val="007F483B"/>
    <w:rsid w:val="00800C87"/>
    <w:rsid w:val="008011DC"/>
    <w:rsid w:val="0080168A"/>
    <w:rsid w:val="00803A58"/>
    <w:rsid w:val="0083482F"/>
    <w:rsid w:val="0084193D"/>
    <w:rsid w:val="0085110A"/>
    <w:rsid w:val="00855C66"/>
    <w:rsid w:val="00856FAE"/>
    <w:rsid w:val="008579EE"/>
    <w:rsid w:val="0086636C"/>
    <w:rsid w:val="00890893"/>
    <w:rsid w:val="00897FD8"/>
    <w:rsid w:val="008A47FB"/>
    <w:rsid w:val="008B2114"/>
    <w:rsid w:val="008B49E2"/>
    <w:rsid w:val="008C60F3"/>
    <w:rsid w:val="008D2551"/>
    <w:rsid w:val="008D6F70"/>
    <w:rsid w:val="008E4301"/>
    <w:rsid w:val="008F2E41"/>
    <w:rsid w:val="00903214"/>
    <w:rsid w:val="00910895"/>
    <w:rsid w:val="00910E5D"/>
    <w:rsid w:val="00911CE6"/>
    <w:rsid w:val="00936537"/>
    <w:rsid w:val="00942312"/>
    <w:rsid w:val="0095015E"/>
    <w:rsid w:val="009535EF"/>
    <w:rsid w:val="00962C01"/>
    <w:rsid w:val="00966799"/>
    <w:rsid w:val="0097252F"/>
    <w:rsid w:val="00974F89"/>
    <w:rsid w:val="00977EA2"/>
    <w:rsid w:val="00985493"/>
    <w:rsid w:val="0098556A"/>
    <w:rsid w:val="00990A4B"/>
    <w:rsid w:val="009C4AED"/>
    <w:rsid w:val="009C7B56"/>
    <w:rsid w:val="009D79AF"/>
    <w:rsid w:val="009F18F3"/>
    <w:rsid w:val="00A06B49"/>
    <w:rsid w:val="00A10F43"/>
    <w:rsid w:val="00A25FEB"/>
    <w:rsid w:val="00A44C51"/>
    <w:rsid w:val="00A5116D"/>
    <w:rsid w:val="00A574B0"/>
    <w:rsid w:val="00A63B28"/>
    <w:rsid w:val="00A67BF0"/>
    <w:rsid w:val="00A7687D"/>
    <w:rsid w:val="00A82A0D"/>
    <w:rsid w:val="00A95299"/>
    <w:rsid w:val="00AC7054"/>
    <w:rsid w:val="00AD2648"/>
    <w:rsid w:val="00AD460D"/>
    <w:rsid w:val="00AD6B0B"/>
    <w:rsid w:val="00B0583C"/>
    <w:rsid w:val="00B21C50"/>
    <w:rsid w:val="00B4414D"/>
    <w:rsid w:val="00B50A33"/>
    <w:rsid w:val="00B522BC"/>
    <w:rsid w:val="00B6220F"/>
    <w:rsid w:val="00B648A7"/>
    <w:rsid w:val="00B655F9"/>
    <w:rsid w:val="00B70856"/>
    <w:rsid w:val="00B72C03"/>
    <w:rsid w:val="00BA0759"/>
    <w:rsid w:val="00BA5288"/>
    <w:rsid w:val="00BB195F"/>
    <w:rsid w:val="00BC52FC"/>
    <w:rsid w:val="00BC6522"/>
    <w:rsid w:val="00BE7126"/>
    <w:rsid w:val="00BF3D70"/>
    <w:rsid w:val="00C00750"/>
    <w:rsid w:val="00C22E20"/>
    <w:rsid w:val="00C36F2D"/>
    <w:rsid w:val="00C5508F"/>
    <w:rsid w:val="00C6690D"/>
    <w:rsid w:val="00C6766C"/>
    <w:rsid w:val="00C83CB3"/>
    <w:rsid w:val="00C8561C"/>
    <w:rsid w:val="00CB6DB1"/>
    <w:rsid w:val="00CB78E9"/>
    <w:rsid w:val="00CD0001"/>
    <w:rsid w:val="00CD27A5"/>
    <w:rsid w:val="00CE4452"/>
    <w:rsid w:val="00D00DD9"/>
    <w:rsid w:val="00D34E7E"/>
    <w:rsid w:val="00D51B81"/>
    <w:rsid w:val="00D530B8"/>
    <w:rsid w:val="00D72417"/>
    <w:rsid w:val="00D74745"/>
    <w:rsid w:val="00D76C26"/>
    <w:rsid w:val="00D83C8C"/>
    <w:rsid w:val="00D92A99"/>
    <w:rsid w:val="00DB0235"/>
    <w:rsid w:val="00DB728A"/>
    <w:rsid w:val="00DC5690"/>
    <w:rsid w:val="00DD04C4"/>
    <w:rsid w:val="00DE30D1"/>
    <w:rsid w:val="00DF3040"/>
    <w:rsid w:val="00E02CFD"/>
    <w:rsid w:val="00E06DD2"/>
    <w:rsid w:val="00E07AB8"/>
    <w:rsid w:val="00E10AC8"/>
    <w:rsid w:val="00E17EF4"/>
    <w:rsid w:val="00E23014"/>
    <w:rsid w:val="00E25FF3"/>
    <w:rsid w:val="00E3088B"/>
    <w:rsid w:val="00E332D8"/>
    <w:rsid w:val="00E76E58"/>
    <w:rsid w:val="00E845D9"/>
    <w:rsid w:val="00E870E2"/>
    <w:rsid w:val="00E92AFC"/>
    <w:rsid w:val="00E94572"/>
    <w:rsid w:val="00E96976"/>
    <w:rsid w:val="00EA4D99"/>
    <w:rsid w:val="00EA4E0B"/>
    <w:rsid w:val="00EA7632"/>
    <w:rsid w:val="00EB6427"/>
    <w:rsid w:val="00EC1CE8"/>
    <w:rsid w:val="00ED2996"/>
    <w:rsid w:val="00EF6904"/>
    <w:rsid w:val="00F02817"/>
    <w:rsid w:val="00F12EBE"/>
    <w:rsid w:val="00F14AD7"/>
    <w:rsid w:val="00F176ED"/>
    <w:rsid w:val="00F36789"/>
    <w:rsid w:val="00F42AFE"/>
    <w:rsid w:val="00F653CA"/>
    <w:rsid w:val="00F65F76"/>
    <w:rsid w:val="00F666C1"/>
    <w:rsid w:val="00F67142"/>
    <w:rsid w:val="00F80693"/>
    <w:rsid w:val="00F85EF3"/>
    <w:rsid w:val="00F92685"/>
    <w:rsid w:val="00F954BB"/>
    <w:rsid w:val="00FA0F38"/>
    <w:rsid w:val="00FE0FC5"/>
    <w:rsid w:val="00FE4276"/>
    <w:rsid w:val="00FE4F83"/>
    <w:rsid w:val="00FF0713"/>
    <w:rsid w:val="00FF1EB1"/>
    <w:rsid w:val="00FF2E96"/>
    <w:rsid w:val="00FF4628"/>
    <w:rsid w:val="00FF57F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3554"/>
    <o:shapelayout v:ext="edit">
      <o:idmap v:ext="edit" data="1"/>
      <o:rules v:ext="edit">
        <o:r id="V:Rule3" type="connector" idref="#AutoShape 883"/>
        <o:r id="V:Rule4" type="connector" idref="#AutoShape 8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214"/>
  </w:style>
  <w:style w:type="paragraph" w:styleId="Ttulo1">
    <w:name w:val="heading 1"/>
    <w:basedOn w:val="Normal"/>
    <w:next w:val="Normal"/>
    <w:link w:val="Ttulo1Char"/>
    <w:qFormat/>
    <w:rsid w:val="00942312"/>
    <w:pPr>
      <w:keepNext/>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qFormat/>
    <w:rsid w:val="00942312"/>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A3BB2"/>
    <w:pPr>
      <w:tabs>
        <w:tab w:val="center" w:pos="4513"/>
        <w:tab w:val="right" w:pos="9026"/>
      </w:tabs>
      <w:spacing w:after="0" w:line="240" w:lineRule="auto"/>
    </w:pPr>
  </w:style>
  <w:style w:type="character" w:customStyle="1" w:styleId="RodapChar">
    <w:name w:val="Rodapé Char"/>
    <w:basedOn w:val="Fontepargpadro"/>
    <w:link w:val="Rodap"/>
    <w:uiPriority w:val="99"/>
    <w:rsid w:val="001A3BB2"/>
  </w:style>
  <w:style w:type="paragraph" w:styleId="Corpodetexto">
    <w:name w:val="Body Text"/>
    <w:basedOn w:val="Normal"/>
    <w:link w:val="CorpodetextoChar"/>
    <w:rsid w:val="001A3BB2"/>
    <w:pPr>
      <w:spacing w:after="0" w:line="360" w:lineRule="auto"/>
      <w:jc w:val="both"/>
    </w:pPr>
    <w:rPr>
      <w:rFonts w:ascii="Arial" w:eastAsia="Times New Roman" w:hAnsi="Arial" w:cs="Arial"/>
      <w:sz w:val="24"/>
      <w:szCs w:val="24"/>
    </w:rPr>
  </w:style>
  <w:style w:type="character" w:customStyle="1" w:styleId="CorpodetextoChar">
    <w:name w:val="Corpo de texto Char"/>
    <w:basedOn w:val="Fontepargpadro"/>
    <w:link w:val="Corpodetexto"/>
    <w:rsid w:val="001A3BB2"/>
    <w:rPr>
      <w:rFonts w:ascii="Arial" w:eastAsia="Times New Roman" w:hAnsi="Arial" w:cs="Arial"/>
      <w:sz w:val="24"/>
      <w:szCs w:val="24"/>
      <w:lang w:eastAsia="pt-BR"/>
    </w:rPr>
  </w:style>
  <w:style w:type="paragraph" w:customStyle="1" w:styleId="minhaLegenda">
    <w:name w:val="minhaLegenda"/>
    <w:basedOn w:val="Normal"/>
    <w:rsid w:val="001A3BB2"/>
    <w:pPr>
      <w:spacing w:after="0" w:line="360" w:lineRule="auto"/>
      <w:ind w:left="708" w:right="57"/>
      <w:jc w:val="center"/>
    </w:pPr>
    <w:rPr>
      <w:rFonts w:ascii="Times New Roman" w:eastAsia="Times New Roman" w:hAnsi="Times New Roman" w:cs="Times New Roman"/>
      <w:sz w:val="24"/>
      <w:szCs w:val="20"/>
    </w:rPr>
  </w:style>
  <w:style w:type="paragraph" w:customStyle="1" w:styleId="Tabela">
    <w:name w:val="Tabela"/>
    <w:basedOn w:val="Normal"/>
    <w:next w:val="Normal"/>
    <w:autoRedefine/>
    <w:qFormat/>
    <w:rsid w:val="00AD6B0B"/>
    <w:pPr>
      <w:spacing w:before="360" w:after="120" w:line="240" w:lineRule="auto"/>
      <w:ind w:left="1134" w:right="1132"/>
      <w:contextualSpacing/>
      <w:jc w:val="both"/>
    </w:pPr>
    <w:rPr>
      <w:rFonts w:ascii="Times New Roman" w:eastAsia="Times New Roman" w:hAnsi="Times New Roman" w:cs="Times New Roman"/>
      <w:b/>
      <w:sz w:val="24"/>
      <w:szCs w:val="24"/>
    </w:rPr>
  </w:style>
  <w:style w:type="paragraph" w:styleId="Textodebalo">
    <w:name w:val="Balloon Text"/>
    <w:basedOn w:val="Normal"/>
    <w:link w:val="TextodebaloChar"/>
    <w:uiPriority w:val="99"/>
    <w:semiHidden/>
    <w:unhideWhenUsed/>
    <w:rsid w:val="001A3B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3BB2"/>
    <w:rPr>
      <w:rFonts w:ascii="Tahoma" w:hAnsi="Tahoma" w:cs="Tahoma"/>
      <w:sz w:val="16"/>
      <w:szCs w:val="16"/>
    </w:rPr>
  </w:style>
  <w:style w:type="paragraph" w:styleId="Recuodecorpodetexto">
    <w:name w:val="Body Text Indent"/>
    <w:basedOn w:val="Normal"/>
    <w:link w:val="RecuodecorpodetextoChar"/>
    <w:uiPriority w:val="99"/>
    <w:semiHidden/>
    <w:unhideWhenUsed/>
    <w:rsid w:val="00942312"/>
    <w:pPr>
      <w:spacing w:after="120"/>
      <w:ind w:left="360"/>
    </w:pPr>
  </w:style>
  <w:style w:type="character" w:customStyle="1" w:styleId="RecuodecorpodetextoChar">
    <w:name w:val="Recuo de corpo de texto Char"/>
    <w:basedOn w:val="Fontepargpadro"/>
    <w:link w:val="Recuodecorpodetexto"/>
    <w:uiPriority w:val="99"/>
    <w:semiHidden/>
    <w:rsid w:val="00942312"/>
  </w:style>
  <w:style w:type="character" w:customStyle="1" w:styleId="Ttulo1Char">
    <w:name w:val="Título 1 Char"/>
    <w:basedOn w:val="Fontepargpadro"/>
    <w:link w:val="Ttulo1"/>
    <w:rsid w:val="00942312"/>
    <w:rPr>
      <w:rFonts w:ascii="Arial" w:eastAsia="Times New Roman" w:hAnsi="Arial" w:cs="Arial"/>
      <w:b/>
      <w:bCs/>
      <w:sz w:val="24"/>
      <w:szCs w:val="24"/>
      <w:lang w:eastAsia="pt-BR"/>
    </w:rPr>
  </w:style>
  <w:style w:type="character" w:customStyle="1" w:styleId="Ttulo2Char">
    <w:name w:val="Título 2 Char"/>
    <w:basedOn w:val="Fontepargpadro"/>
    <w:link w:val="Ttulo2"/>
    <w:rsid w:val="00942312"/>
    <w:rPr>
      <w:rFonts w:ascii="Arial" w:eastAsia="Times New Roman" w:hAnsi="Arial" w:cs="Arial"/>
      <w:b/>
      <w:bCs/>
      <w:i/>
      <w:iCs/>
      <w:sz w:val="28"/>
      <w:szCs w:val="28"/>
      <w:lang w:eastAsia="pt-BR"/>
    </w:rPr>
  </w:style>
  <w:style w:type="paragraph" w:customStyle="1" w:styleId="texto">
    <w:name w:val="texto"/>
    <w:basedOn w:val="Normal"/>
    <w:autoRedefine/>
    <w:qFormat/>
    <w:rsid w:val="00EA7632"/>
    <w:pPr>
      <w:widowControl w:val="0"/>
      <w:suppressAutoHyphens/>
      <w:adjustRightInd w:val="0"/>
      <w:spacing w:after="0" w:line="360" w:lineRule="auto"/>
      <w:jc w:val="center"/>
      <w:textAlignment w:val="baseline"/>
    </w:pPr>
    <w:rPr>
      <w:rFonts w:ascii="Cambria Math" w:eastAsia="Calibri" w:hAnsi="Cambria Math" w:cs="Times New Roman"/>
      <w:sz w:val="24"/>
      <w:szCs w:val="24"/>
      <w:lang w:val="en-US" w:eastAsia="ar-SA"/>
    </w:rPr>
  </w:style>
  <w:style w:type="paragraph" w:styleId="PargrafodaLista">
    <w:name w:val="List Paragraph"/>
    <w:basedOn w:val="Normal"/>
    <w:uiPriority w:val="34"/>
    <w:qFormat/>
    <w:rsid w:val="00942312"/>
    <w:pPr>
      <w:ind w:left="720"/>
      <w:contextualSpacing/>
    </w:pPr>
  </w:style>
  <w:style w:type="character" w:customStyle="1" w:styleId="reference-text">
    <w:name w:val="reference-text"/>
    <w:basedOn w:val="Fontepargpadro"/>
    <w:rsid w:val="00DB0235"/>
  </w:style>
  <w:style w:type="paragraph" w:styleId="Pr-formataoHTML">
    <w:name w:val="HTML Preformatted"/>
    <w:basedOn w:val="Normal"/>
    <w:link w:val="Pr-formataoHTMLChar"/>
    <w:uiPriority w:val="99"/>
    <w:unhideWhenUsed/>
    <w:rsid w:val="00DB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B0235"/>
    <w:rPr>
      <w:rFonts w:ascii="Courier New" w:eastAsia="Times New Roman" w:hAnsi="Courier New" w:cs="Courier New"/>
      <w:sz w:val="20"/>
      <w:szCs w:val="20"/>
      <w:lang w:eastAsia="pt-BR"/>
    </w:rPr>
  </w:style>
  <w:style w:type="character" w:customStyle="1" w:styleId="st">
    <w:name w:val="st"/>
    <w:basedOn w:val="Fontepargpadro"/>
    <w:rsid w:val="00DB0235"/>
  </w:style>
  <w:style w:type="paragraph" w:styleId="Cabealho">
    <w:name w:val="header"/>
    <w:basedOn w:val="Normal"/>
    <w:link w:val="CabealhoChar"/>
    <w:uiPriority w:val="99"/>
    <w:unhideWhenUsed/>
    <w:rsid w:val="00DF3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040"/>
  </w:style>
  <w:style w:type="paragraph" w:styleId="Textodenotaderodap">
    <w:name w:val="footnote text"/>
    <w:basedOn w:val="Normal"/>
    <w:link w:val="TextodenotaderodapChar"/>
    <w:semiHidden/>
    <w:rsid w:val="002374D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2374DF"/>
    <w:rPr>
      <w:rFonts w:ascii="Times New Roman" w:eastAsia="Times New Roman" w:hAnsi="Times New Roman" w:cs="Times New Roman"/>
      <w:sz w:val="20"/>
      <w:szCs w:val="20"/>
    </w:rPr>
  </w:style>
  <w:style w:type="character" w:styleId="Refdenotaderodap">
    <w:name w:val="footnote reference"/>
    <w:basedOn w:val="Fontepargpadro"/>
    <w:semiHidden/>
    <w:rsid w:val="002374DF"/>
    <w:rPr>
      <w:vertAlign w:val="superscript"/>
    </w:rPr>
  </w:style>
  <w:style w:type="character" w:customStyle="1" w:styleId="apple-converted-space">
    <w:name w:val="apple-converted-space"/>
    <w:basedOn w:val="Fontepargpadro"/>
    <w:rsid w:val="00D51B81"/>
  </w:style>
  <w:style w:type="character" w:styleId="Refdecomentrio">
    <w:name w:val="annotation reference"/>
    <w:basedOn w:val="Fontepargpadro"/>
    <w:uiPriority w:val="99"/>
    <w:semiHidden/>
    <w:unhideWhenUsed/>
    <w:rsid w:val="00404DB8"/>
    <w:rPr>
      <w:sz w:val="16"/>
      <w:szCs w:val="16"/>
    </w:rPr>
  </w:style>
  <w:style w:type="paragraph" w:styleId="Textodecomentrio">
    <w:name w:val="annotation text"/>
    <w:basedOn w:val="Normal"/>
    <w:link w:val="TextodecomentrioChar"/>
    <w:uiPriority w:val="99"/>
    <w:semiHidden/>
    <w:unhideWhenUsed/>
    <w:rsid w:val="00404D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DB8"/>
    <w:rPr>
      <w:sz w:val="20"/>
      <w:szCs w:val="20"/>
    </w:rPr>
  </w:style>
  <w:style w:type="paragraph" w:styleId="Assuntodocomentrio">
    <w:name w:val="annotation subject"/>
    <w:basedOn w:val="Textodecomentrio"/>
    <w:next w:val="Textodecomentrio"/>
    <w:link w:val="AssuntodocomentrioChar"/>
    <w:uiPriority w:val="99"/>
    <w:semiHidden/>
    <w:unhideWhenUsed/>
    <w:rsid w:val="00404DB8"/>
    <w:rPr>
      <w:b/>
      <w:bCs/>
    </w:rPr>
  </w:style>
  <w:style w:type="character" w:customStyle="1" w:styleId="AssuntodocomentrioChar">
    <w:name w:val="Assunto do comentário Char"/>
    <w:basedOn w:val="TextodecomentrioChar"/>
    <w:link w:val="Assuntodocomentrio"/>
    <w:uiPriority w:val="99"/>
    <w:semiHidden/>
    <w:rsid w:val="00404DB8"/>
    <w:rPr>
      <w:b/>
      <w:bCs/>
      <w:sz w:val="20"/>
      <w:szCs w:val="20"/>
    </w:rPr>
  </w:style>
  <w:style w:type="paragraph" w:styleId="Reviso">
    <w:name w:val="Revision"/>
    <w:hidden/>
    <w:uiPriority w:val="99"/>
    <w:semiHidden/>
    <w:rsid w:val="006A5F90"/>
    <w:pPr>
      <w:spacing w:after="0" w:line="240" w:lineRule="auto"/>
    </w:pPr>
  </w:style>
  <w:style w:type="character" w:customStyle="1" w:styleId="hps">
    <w:name w:val="hps"/>
    <w:basedOn w:val="Fontepargpadro"/>
    <w:rsid w:val="00230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214"/>
  </w:style>
  <w:style w:type="paragraph" w:styleId="Ttulo1">
    <w:name w:val="heading 1"/>
    <w:basedOn w:val="Normal"/>
    <w:next w:val="Normal"/>
    <w:link w:val="Ttulo1Char"/>
    <w:qFormat/>
    <w:rsid w:val="00942312"/>
    <w:pPr>
      <w:keepNext/>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qFormat/>
    <w:rsid w:val="00942312"/>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A3BB2"/>
    <w:pPr>
      <w:tabs>
        <w:tab w:val="center" w:pos="4513"/>
        <w:tab w:val="right" w:pos="9026"/>
      </w:tabs>
      <w:spacing w:after="0" w:line="240" w:lineRule="auto"/>
    </w:pPr>
  </w:style>
  <w:style w:type="character" w:customStyle="1" w:styleId="RodapChar">
    <w:name w:val="Rodapé Char"/>
    <w:basedOn w:val="Fontepargpadro"/>
    <w:link w:val="Rodap"/>
    <w:uiPriority w:val="99"/>
    <w:rsid w:val="001A3BB2"/>
  </w:style>
  <w:style w:type="paragraph" w:styleId="Corpodetexto">
    <w:name w:val="Body Text"/>
    <w:basedOn w:val="Normal"/>
    <w:link w:val="CorpodetextoChar"/>
    <w:rsid w:val="001A3BB2"/>
    <w:pPr>
      <w:spacing w:after="0" w:line="360" w:lineRule="auto"/>
      <w:jc w:val="both"/>
    </w:pPr>
    <w:rPr>
      <w:rFonts w:ascii="Arial" w:eastAsia="Times New Roman" w:hAnsi="Arial" w:cs="Arial"/>
      <w:sz w:val="24"/>
      <w:szCs w:val="24"/>
    </w:rPr>
  </w:style>
  <w:style w:type="character" w:customStyle="1" w:styleId="CorpodetextoChar">
    <w:name w:val="Corpo de texto Char"/>
    <w:basedOn w:val="Fontepargpadro"/>
    <w:link w:val="Corpodetexto"/>
    <w:rsid w:val="001A3BB2"/>
    <w:rPr>
      <w:rFonts w:ascii="Arial" w:eastAsia="Times New Roman" w:hAnsi="Arial" w:cs="Arial"/>
      <w:sz w:val="24"/>
      <w:szCs w:val="24"/>
      <w:lang w:eastAsia="pt-BR"/>
    </w:rPr>
  </w:style>
  <w:style w:type="paragraph" w:customStyle="1" w:styleId="minhaLegenda">
    <w:name w:val="minhaLegenda"/>
    <w:basedOn w:val="Normal"/>
    <w:rsid w:val="001A3BB2"/>
    <w:pPr>
      <w:spacing w:after="0" w:line="360" w:lineRule="auto"/>
      <w:ind w:left="708" w:right="57"/>
      <w:jc w:val="center"/>
    </w:pPr>
    <w:rPr>
      <w:rFonts w:ascii="Times New Roman" w:eastAsia="Times New Roman" w:hAnsi="Times New Roman" w:cs="Times New Roman"/>
      <w:sz w:val="24"/>
      <w:szCs w:val="20"/>
    </w:rPr>
  </w:style>
  <w:style w:type="paragraph" w:customStyle="1" w:styleId="Tabela">
    <w:name w:val="Tabela"/>
    <w:basedOn w:val="Normal"/>
    <w:next w:val="Normal"/>
    <w:autoRedefine/>
    <w:qFormat/>
    <w:rsid w:val="00AD6B0B"/>
    <w:pPr>
      <w:spacing w:before="360" w:after="120" w:line="240" w:lineRule="auto"/>
      <w:ind w:left="1134" w:right="1132"/>
      <w:contextualSpacing/>
      <w:jc w:val="both"/>
    </w:pPr>
    <w:rPr>
      <w:rFonts w:ascii="Times New Roman" w:eastAsia="Times New Roman" w:hAnsi="Times New Roman" w:cs="Times New Roman"/>
      <w:b/>
      <w:sz w:val="24"/>
      <w:szCs w:val="24"/>
    </w:rPr>
  </w:style>
  <w:style w:type="paragraph" w:styleId="Textodebalo">
    <w:name w:val="Balloon Text"/>
    <w:basedOn w:val="Normal"/>
    <w:link w:val="TextodebaloChar"/>
    <w:uiPriority w:val="99"/>
    <w:semiHidden/>
    <w:unhideWhenUsed/>
    <w:rsid w:val="001A3B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3BB2"/>
    <w:rPr>
      <w:rFonts w:ascii="Tahoma" w:hAnsi="Tahoma" w:cs="Tahoma"/>
      <w:sz w:val="16"/>
      <w:szCs w:val="16"/>
    </w:rPr>
  </w:style>
  <w:style w:type="paragraph" w:styleId="Recuodecorpodetexto">
    <w:name w:val="Body Text Indent"/>
    <w:basedOn w:val="Normal"/>
    <w:link w:val="RecuodecorpodetextoChar"/>
    <w:uiPriority w:val="99"/>
    <w:semiHidden/>
    <w:unhideWhenUsed/>
    <w:rsid w:val="00942312"/>
    <w:pPr>
      <w:spacing w:after="120"/>
      <w:ind w:left="360"/>
    </w:pPr>
  </w:style>
  <w:style w:type="character" w:customStyle="1" w:styleId="RecuodecorpodetextoChar">
    <w:name w:val="Recuo de corpo de texto Char"/>
    <w:basedOn w:val="Fontepargpadro"/>
    <w:link w:val="Recuodecorpodetexto"/>
    <w:uiPriority w:val="99"/>
    <w:semiHidden/>
    <w:rsid w:val="00942312"/>
  </w:style>
  <w:style w:type="character" w:customStyle="1" w:styleId="Ttulo1Char">
    <w:name w:val="Título 1 Char"/>
    <w:basedOn w:val="Fontepargpadro"/>
    <w:link w:val="Ttulo1"/>
    <w:rsid w:val="00942312"/>
    <w:rPr>
      <w:rFonts w:ascii="Arial" w:eastAsia="Times New Roman" w:hAnsi="Arial" w:cs="Arial"/>
      <w:b/>
      <w:bCs/>
      <w:sz w:val="24"/>
      <w:szCs w:val="24"/>
      <w:lang w:eastAsia="pt-BR"/>
    </w:rPr>
  </w:style>
  <w:style w:type="character" w:customStyle="1" w:styleId="Ttulo2Char">
    <w:name w:val="Título 2 Char"/>
    <w:basedOn w:val="Fontepargpadro"/>
    <w:link w:val="Ttulo2"/>
    <w:rsid w:val="00942312"/>
    <w:rPr>
      <w:rFonts w:ascii="Arial" w:eastAsia="Times New Roman" w:hAnsi="Arial" w:cs="Arial"/>
      <w:b/>
      <w:bCs/>
      <w:i/>
      <w:iCs/>
      <w:sz w:val="28"/>
      <w:szCs w:val="28"/>
      <w:lang w:eastAsia="pt-BR"/>
    </w:rPr>
  </w:style>
  <w:style w:type="paragraph" w:customStyle="1" w:styleId="texto">
    <w:name w:val="texto"/>
    <w:basedOn w:val="Normal"/>
    <w:autoRedefine/>
    <w:qFormat/>
    <w:rsid w:val="00F65F76"/>
    <w:pPr>
      <w:widowControl w:val="0"/>
      <w:suppressAutoHyphens/>
      <w:adjustRightInd w:val="0"/>
      <w:spacing w:after="0" w:line="360" w:lineRule="auto"/>
      <w:jc w:val="center"/>
      <w:textAlignment w:val="baseline"/>
    </w:pPr>
    <w:rPr>
      <w:rFonts w:ascii="Times New Roman" w:eastAsia="Calibri" w:hAnsi="Times New Roman" w:cs="Times New Roman"/>
      <w:b/>
      <w:sz w:val="24"/>
      <w:szCs w:val="24"/>
      <w:lang w:val="en-US" w:eastAsia="ar-SA"/>
    </w:rPr>
  </w:style>
  <w:style w:type="paragraph" w:styleId="PargrafodaLista">
    <w:name w:val="List Paragraph"/>
    <w:basedOn w:val="Normal"/>
    <w:uiPriority w:val="34"/>
    <w:qFormat/>
    <w:rsid w:val="00942312"/>
    <w:pPr>
      <w:ind w:left="720"/>
      <w:contextualSpacing/>
    </w:pPr>
  </w:style>
  <w:style w:type="character" w:customStyle="1" w:styleId="reference-text">
    <w:name w:val="reference-text"/>
    <w:basedOn w:val="Fontepargpadro"/>
    <w:rsid w:val="00DB0235"/>
  </w:style>
  <w:style w:type="paragraph" w:styleId="Pr-formataoHTML">
    <w:name w:val="HTML Preformatted"/>
    <w:basedOn w:val="Normal"/>
    <w:link w:val="Pr-formataoHTMLChar"/>
    <w:uiPriority w:val="99"/>
    <w:unhideWhenUsed/>
    <w:rsid w:val="00DB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B0235"/>
    <w:rPr>
      <w:rFonts w:ascii="Courier New" w:eastAsia="Times New Roman" w:hAnsi="Courier New" w:cs="Courier New"/>
      <w:sz w:val="20"/>
      <w:szCs w:val="20"/>
      <w:lang w:eastAsia="pt-BR"/>
    </w:rPr>
  </w:style>
  <w:style w:type="character" w:customStyle="1" w:styleId="st">
    <w:name w:val="st"/>
    <w:basedOn w:val="Fontepargpadro"/>
    <w:rsid w:val="00DB0235"/>
  </w:style>
  <w:style w:type="paragraph" w:styleId="Cabealho">
    <w:name w:val="header"/>
    <w:basedOn w:val="Normal"/>
    <w:link w:val="CabealhoChar"/>
    <w:uiPriority w:val="99"/>
    <w:unhideWhenUsed/>
    <w:rsid w:val="00DF3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040"/>
  </w:style>
  <w:style w:type="paragraph" w:styleId="Textodenotaderodap">
    <w:name w:val="footnote text"/>
    <w:basedOn w:val="Normal"/>
    <w:link w:val="TextodenotaderodapChar"/>
    <w:semiHidden/>
    <w:rsid w:val="002374D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2374DF"/>
    <w:rPr>
      <w:rFonts w:ascii="Times New Roman" w:eastAsia="Times New Roman" w:hAnsi="Times New Roman" w:cs="Times New Roman"/>
      <w:sz w:val="20"/>
      <w:szCs w:val="20"/>
    </w:rPr>
  </w:style>
  <w:style w:type="character" w:styleId="Refdenotaderodap">
    <w:name w:val="footnote reference"/>
    <w:basedOn w:val="Fontepargpadro"/>
    <w:semiHidden/>
    <w:rsid w:val="002374DF"/>
    <w:rPr>
      <w:vertAlign w:val="superscript"/>
    </w:rPr>
  </w:style>
  <w:style w:type="character" w:customStyle="1" w:styleId="apple-converted-space">
    <w:name w:val="apple-converted-space"/>
    <w:basedOn w:val="Fontepargpadro"/>
    <w:rsid w:val="00D51B81"/>
  </w:style>
  <w:style w:type="character" w:styleId="Refdecomentrio">
    <w:name w:val="annotation reference"/>
    <w:basedOn w:val="Fontepargpadro"/>
    <w:uiPriority w:val="99"/>
    <w:semiHidden/>
    <w:unhideWhenUsed/>
    <w:rsid w:val="00404DB8"/>
    <w:rPr>
      <w:sz w:val="16"/>
      <w:szCs w:val="16"/>
    </w:rPr>
  </w:style>
  <w:style w:type="paragraph" w:styleId="Textodecomentrio">
    <w:name w:val="annotation text"/>
    <w:basedOn w:val="Normal"/>
    <w:link w:val="TextodecomentrioChar"/>
    <w:uiPriority w:val="99"/>
    <w:semiHidden/>
    <w:unhideWhenUsed/>
    <w:rsid w:val="00404D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DB8"/>
    <w:rPr>
      <w:sz w:val="20"/>
      <w:szCs w:val="20"/>
    </w:rPr>
  </w:style>
  <w:style w:type="paragraph" w:styleId="Assuntodocomentrio">
    <w:name w:val="annotation subject"/>
    <w:basedOn w:val="Textodecomentrio"/>
    <w:next w:val="Textodecomentrio"/>
    <w:link w:val="AssuntodocomentrioChar"/>
    <w:uiPriority w:val="99"/>
    <w:semiHidden/>
    <w:unhideWhenUsed/>
    <w:rsid w:val="00404DB8"/>
    <w:rPr>
      <w:b/>
      <w:bCs/>
    </w:rPr>
  </w:style>
  <w:style w:type="character" w:customStyle="1" w:styleId="AssuntodocomentrioChar">
    <w:name w:val="Assunto do comentário Char"/>
    <w:basedOn w:val="TextodecomentrioChar"/>
    <w:link w:val="Assuntodocomentrio"/>
    <w:uiPriority w:val="99"/>
    <w:semiHidden/>
    <w:rsid w:val="00404DB8"/>
    <w:rPr>
      <w:b/>
      <w:bCs/>
      <w:sz w:val="20"/>
      <w:szCs w:val="20"/>
    </w:rPr>
  </w:style>
  <w:style w:type="paragraph" w:styleId="Reviso">
    <w:name w:val="Revision"/>
    <w:hidden/>
    <w:uiPriority w:val="99"/>
    <w:semiHidden/>
    <w:rsid w:val="006A5F9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fontTable" Target="fontTable.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emf"/><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emf"/><Relationship Id="rId35"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CE8C1-1B4C-4C20-B45A-46E1F586B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24</Pages>
  <Words>7859</Words>
  <Characters>42443</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HOUSE</Company>
  <LinksUpToDate>false</LinksUpToDate>
  <CharactersWithSpaces>50202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marcelalaiz</dc:creator>
  <cp:lastModifiedBy>Acer</cp:lastModifiedBy>
  <cp:revision>55</cp:revision>
  <dcterms:created xsi:type="dcterms:W3CDTF">2013-09-12T15:03:00Z</dcterms:created>
  <dcterms:modified xsi:type="dcterms:W3CDTF">2013-09-30T01:37:00Z</dcterms:modified>
</cp:coreProperties>
</file>