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4DF" w:rsidRPr="001E1327" w:rsidRDefault="002374DF" w:rsidP="001E1327">
      <w:pPr>
        <w:jc w:val="center"/>
        <w:rPr>
          <w:rFonts w:ascii="Times New Roman" w:hAnsi="Times New Roman" w:cs="Times New Roman"/>
          <w:b/>
          <w:sz w:val="24"/>
          <w:szCs w:val="24"/>
        </w:rPr>
      </w:pPr>
      <w:bookmarkStart w:id="0" w:name="_GoBack"/>
      <w:bookmarkEnd w:id="0"/>
      <w:r w:rsidRPr="001E1327">
        <w:rPr>
          <w:rFonts w:ascii="Times New Roman" w:hAnsi="Times New Roman" w:cs="Times New Roman"/>
          <w:b/>
          <w:sz w:val="24"/>
          <w:szCs w:val="24"/>
        </w:rPr>
        <w:t xml:space="preserve">Causalidade </w:t>
      </w:r>
      <w:r w:rsidR="005B5D1B">
        <w:rPr>
          <w:rFonts w:ascii="Times New Roman" w:hAnsi="Times New Roman" w:cs="Times New Roman"/>
          <w:b/>
          <w:sz w:val="24"/>
          <w:szCs w:val="24"/>
        </w:rPr>
        <w:t>t</w:t>
      </w:r>
      <w:r w:rsidR="00F65F76" w:rsidRPr="001E1327">
        <w:rPr>
          <w:rFonts w:ascii="Times New Roman" w:hAnsi="Times New Roman" w:cs="Times New Roman"/>
          <w:b/>
          <w:sz w:val="24"/>
          <w:szCs w:val="24"/>
        </w:rPr>
        <w:t xml:space="preserve">emporal </w:t>
      </w:r>
      <w:r w:rsidR="005B5D1B">
        <w:rPr>
          <w:rFonts w:ascii="Times New Roman" w:hAnsi="Times New Roman" w:cs="Times New Roman"/>
          <w:b/>
          <w:sz w:val="24"/>
          <w:szCs w:val="24"/>
        </w:rPr>
        <w:t>entre poupança e i</w:t>
      </w:r>
      <w:r w:rsidRPr="001E1327">
        <w:rPr>
          <w:rFonts w:ascii="Times New Roman" w:hAnsi="Times New Roman" w:cs="Times New Roman"/>
          <w:b/>
          <w:sz w:val="24"/>
          <w:szCs w:val="24"/>
        </w:rPr>
        <w:t>nvestimento no Brasil</w:t>
      </w:r>
      <w:r w:rsidR="00F65F76" w:rsidRPr="001E1327">
        <w:rPr>
          <w:rFonts w:ascii="Times New Roman" w:hAnsi="Times New Roman" w:cs="Times New Roman"/>
          <w:b/>
          <w:sz w:val="24"/>
          <w:szCs w:val="24"/>
        </w:rPr>
        <w:t>, 1995 a 2012</w:t>
      </w:r>
    </w:p>
    <w:p w:rsidR="00A7687D" w:rsidRDefault="00A7687D" w:rsidP="00230341">
      <w:pPr>
        <w:widowControl w:val="0"/>
        <w:autoSpaceDE w:val="0"/>
        <w:autoSpaceDN w:val="0"/>
        <w:adjustRightInd w:val="0"/>
        <w:spacing w:after="0" w:line="360" w:lineRule="auto"/>
        <w:rPr>
          <w:rFonts w:ascii="Times New Roman" w:hAnsi="Times New Roman" w:cs="Times New Roman"/>
          <w:sz w:val="24"/>
          <w:szCs w:val="24"/>
        </w:rPr>
      </w:pPr>
    </w:p>
    <w:p w:rsidR="005B5D1B" w:rsidRDefault="005B5D1B" w:rsidP="00230341">
      <w:pPr>
        <w:widowControl w:val="0"/>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Marcela Tetzner Laiz</w:t>
      </w:r>
      <w:r w:rsidRPr="006F1894">
        <w:rPr>
          <w:rStyle w:val="Refdenotaderodap"/>
        </w:rPr>
        <w:footnoteReference w:customMarkFollows="1" w:id="1"/>
        <w:t>§</w:t>
      </w:r>
    </w:p>
    <w:p w:rsidR="005B5D1B" w:rsidRPr="00E332D8" w:rsidRDefault="005B5D1B" w:rsidP="00230341">
      <w:pPr>
        <w:widowControl w:val="0"/>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Sérgio Ricardo de Brito Gadelha</w:t>
      </w:r>
      <w:r>
        <w:rPr>
          <w:rStyle w:val="Refdenotaderodap"/>
        </w:rPr>
        <w:footnoteReference w:customMarkFollows="1" w:id="2"/>
        <w:t>§§</w:t>
      </w:r>
    </w:p>
    <w:p w:rsidR="002374DF" w:rsidRPr="00E332D8" w:rsidRDefault="002374DF" w:rsidP="00230341">
      <w:pPr>
        <w:widowControl w:val="0"/>
        <w:autoSpaceDE w:val="0"/>
        <w:autoSpaceDN w:val="0"/>
        <w:adjustRightInd w:val="0"/>
        <w:spacing w:after="0" w:line="360" w:lineRule="auto"/>
        <w:rPr>
          <w:rFonts w:ascii="Times New Roman" w:hAnsi="Times New Roman" w:cs="Times New Roman"/>
          <w:sz w:val="24"/>
          <w:szCs w:val="24"/>
        </w:rPr>
      </w:pPr>
    </w:p>
    <w:p w:rsidR="002374DF" w:rsidRPr="00E332D8" w:rsidRDefault="002374DF" w:rsidP="00230341">
      <w:pPr>
        <w:spacing w:after="0" w:line="360" w:lineRule="auto"/>
        <w:rPr>
          <w:rFonts w:ascii="Times New Roman" w:hAnsi="Times New Roman" w:cs="Times New Roman"/>
          <w:b/>
          <w:sz w:val="24"/>
          <w:szCs w:val="24"/>
        </w:rPr>
      </w:pPr>
      <w:r w:rsidRPr="00E332D8">
        <w:rPr>
          <w:rFonts w:ascii="Times New Roman" w:hAnsi="Times New Roman" w:cs="Times New Roman"/>
          <w:b/>
          <w:sz w:val="24"/>
          <w:szCs w:val="24"/>
        </w:rPr>
        <w:t>Resumo</w:t>
      </w:r>
    </w:p>
    <w:p w:rsidR="00DC14DA" w:rsidRDefault="002374DF" w:rsidP="000D2F90">
      <w:pPr>
        <w:spacing w:after="0" w:line="360" w:lineRule="auto"/>
        <w:jc w:val="both"/>
        <w:rPr>
          <w:rFonts w:ascii="Times New Roman" w:hAnsi="Times New Roman" w:cs="Times New Roman"/>
          <w:color w:val="FF0000"/>
          <w:sz w:val="24"/>
          <w:szCs w:val="24"/>
        </w:rPr>
      </w:pPr>
      <w:r w:rsidRPr="00E332D8">
        <w:rPr>
          <w:rFonts w:ascii="Times New Roman" w:hAnsi="Times New Roman" w:cs="Times New Roman"/>
          <w:sz w:val="24"/>
          <w:szCs w:val="24"/>
        </w:rPr>
        <w:t xml:space="preserve">Esse estudo </w:t>
      </w:r>
      <w:r w:rsidR="007E4BA6">
        <w:rPr>
          <w:rFonts w:ascii="Times New Roman" w:hAnsi="Times New Roman" w:cs="Times New Roman"/>
          <w:sz w:val="24"/>
          <w:szCs w:val="24"/>
        </w:rPr>
        <w:t>investiga</w:t>
      </w:r>
      <w:r w:rsidRPr="00E332D8">
        <w:rPr>
          <w:rFonts w:ascii="Times New Roman" w:hAnsi="Times New Roman" w:cs="Times New Roman"/>
          <w:sz w:val="24"/>
          <w:szCs w:val="24"/>
        </w:rPr>
        <w:t xml:space="preserve"> a relação entre poupança e investimento no Brasil durante o período 1995 a 2012. Os resultados obtidos de um modelo VAR</w:t>
      </w:r>
      <w:r w:rsidR="0003526E">
        <w:rPr>
          <w:rFonts w:ascii="Times New Roman" w:hAnsi="Times New Roman" w:cs="Times New Roman"/>
          <w:sz w:val="24"/>
          <w:szCs w:val="24"/>
        </w:rPr>
        <w:t xml:space="preserve"> com quebras estruturais</w:t>
      </w:r>
      <w:r w:rsidRPr="00E332D8">
        <w:rPr>
          <w:rFonts w:ascii="Times New Roman" w:hAnsi="Times New Roman" w:cs="Times New Roman"/>
          <w:sz w:val="24"/>
          <w:szCs w:val="24"/>
        </w:rPr>
        <w:t xml:space="preserve"> indicam relação de bicausalidade de Granger, sugerindo </w:t>
      </w:r>
      <w:r w:rsidR="00F176ED">
        <w:rPr>
          <w:rFonts w:ascii="Times New Roman" w:hAnsi="Times New Roman" w:cs="Times New Roman"/>
          <w:sz w:val="24"/>
          <w:szCs w:val="24"/>
        </w:rPr>
        <w:t xml:space="preserve">não apenas </w:t>
      </w:r>
      <w:r w:rsidRPr="00E332D8">
        <w:rPr>
          <w:rFonts w:ascii="Times New Roman" w:hAnsi="Times New Roman" w:cs="Times New Roman"/>
          <w:sz w:val="24"/>
          <w:szCs w:val="24"/>
        </w:rPr>
        <w:t xml:space="preserve">que as decisões de política econômica </w:t>
      </w:r>
      <w:r w:rsidR="001A743E">
        <w:rPr>
          <w:rFonts w:ascii="Times New Roman" w:hAnsi="Times New Roman" w:cs="Times New Roman"/>
          <w:sz w:val="24"/>
          <w:szCs w:val="24"/>
        </w:rPr>
        <w:t>sobre</w:t>
      </w:r>
      <w:r w:rsidRPr="00E332D8">
        <w:rPr>
          <w:rFonts w:ascii="Times New Roman" w:hAnsi="Times New Roman" w:cs="Times New Roman"/>
          <w:sz w:val="24"/>
          <w:szCs w:val="24"/>
        </w:rPr>
        <w:t xml:space="preserve"> essas duas variáveis devem ser tomadas conjuntamente</w:t>
      </w:r>
      <w:r w:rsidR="00F176ED">
        <w:rPr>
          <w:rFonts w:ascii="Times New Roman" w:hAnsi="Times New Roman" w:cs="Times New Roman"/>
          <w:sz w:val="24"/>
          <w:szCs w:val="24"/>
        </w:rPr>
        <w:t xml:space="preserve">, como também </w:t>
      </w:r>
      <w:r w:rsidR="00415969">
        <w:rPr>
          <w:rFonts w:ascii="Times New Roman" w:hAnsi="Times New Roman" w:cs="Times New Roman"/>
          <w:sz w:val="24"/>
          <w:szCs w:val="24"/>
        </w:rPr>
        <w:t>evidências d</w:t>
      </w:r>
      <w:r w:rsidR="00F176ED">
        <w:rPr>
          <w:rFonts w:ascii="Times New Roman" w:hAnsi="Times New Roman" w:cs="Times New Roman"/>
          <w:sz w:val="24"/>
          <w:szCs w:val="24"/>
        </w:rPr>
        <w:t>a validade do enigma de Feldstein-Horioka</w:t>
      </w:r>
      <w:r w:rsidRPr="00E332D8">
        <w:rPr>
          <w:rFonts w:ascii="Times New Roman" w:hAnsi="Times New Roman" w:cs="Times New Roman"/>
          <w:sz w:val="24"/>
          <w:szCs w:val="24"/>
        </w:rPr>
        <w:t>.</w:t>
      </w:r>
      <w:r w:rsidR="00C8561C">
        <w:rPr>
          <w:rFonts w:ascii="Times New Roman" w:hAnsi="Times New Roman" w:cs="Times New Roman"/>
          <w:sz w:val="24"/>
          <w:szCs w:val="24"/>
        </w:rPr>
        <w:t xml:space="preserve"> Além disso, observa-se que a resposta da taxa de poupança a um choque inesperado na taxa de investimento é mais significativa ao longo dos períodos, assim como maior dependência da taxa de poupança em relação à taxa de investimento.</w:t>
      </w:r>
      <w:r w:rsidRPr="006A504B">
        <w:rPr>
          <w:rFonts w:ascii="Times New Roman" w:hAnsi="Times New Roman" w:cs="Times New Roman"/>
          <w:color w:val="FF0000"/>
          <w:sz w:val="24"/>
          <w:szCs w:val="24"/>
        </w:rPr>
        <w:t xml:space="preserve"> </w:t>
      </w:r>
    </w:p>
    <w:p w:rsidR="000D2F90" w:rsidRDefault="000D2F90" w:rsidP="000D2F90">
      <w:pPr>
        <w:spacing w:after="0" w:line="360" w:lineRule="auto"/>
        <w:jc w:val="both"/>
        <w:rPr>
          <w:rFonts w:ascii="Times New Roman" w:hAnsi="Times New Roman" w:cs="Times New Roman"/>
          <w:color w:val="FF0000"/>
          <w:sz w:val="24"/>
          <w:szCs w:val="24"/>
        </w:rPr>
      </w:pPr>
    </w:p>
    <w:p w:rsidR="002374DF" w:rsidRPr="00E332D8" w:rsidRDefault="002374DF" w:rsidP="000D2F90">
      <w:pPr>
        <w:widowControl w:val="0"/>
        <w:autoSpaceDE w:val="0"/>
        <w:autoSpaceDN w:val="0"/>
        <w:adjustRightInd w:val="0"/>
        <w:spacing w:after="0" w:line="360" w:lineRule="auto"/>
        <w:ind w:right="67"/>
        <w:jc w:val="both"/>
        <w:rPr>
          <w:rFonts w:ascii="Times New Roman" w:hAnsi="Times New Roman" w:cs="Times New Roman"/>
          <w:sz w:val="24"/>
          <w:szCs w:val="24"/>
        </w:rPr>
      </w:pPr>
      <w:r w:rsidRPr="003E0504">
        <w:rPr>
          <w:rFonts w:ascii="Times New Roman" w:hAnsi="Times New Roman" w:cs="Times New Roman"/>
          <w:bCs/>
          <w:spacing w:val="1"/>
          <w:sz w:val="24"/>
          <w:szCs w:val="24"/>
        </w:rPr>
        <w:t>Pala</w:t>
      </w:r>
      <w:r w:rsidRPr="003E0504">
        <w:rPr>
          <w:rFonts w:ascii="Times New Roman" w:hAnsi="Times New Roman" w:cs="Times New Roman"/>
          <w:bCs/>
          <w:spacing w:val="-4"/>
          <w:sz w:val="24"/>
          <w:szCs w:val="24"/>
        </w:rPr>
        <w:t>v</w:t>
      </w:r>
      <w:r w:rsidRPr="003E0504">
        <w:rPr>
          <w:rFonts w:ascii="Times New Roman" w:hAnsi="Times New Roman" w:cs="Times New Roman"/>
          <w:bCs/>
          <w:sz w:val="24"/>
          <w:szCs w:val="24"/>
        </w:rPr>
        <w:t>r</w:t>
      </w:r>
      <w:r w:rsidRPr="003E0504">
        <w:rPr>
          <w:rFonts w:ascii="Times New Roman" w:hAnsi="Times New Roman" w:cs="Times New Roman"/>
          <w:bCs/>
          <w:spacing w:val="1"/>
          <w:sz w:val="24"/>
          <w:szCs w:val="24"/>
        </w:rPr>
        <w:t>a</w:t>
      </w:r>
      <w:r w:rsidRPr="003E0504">
        <w:rPr>
          <w:rFonts w:ascii="Times New Roman" w:hAnsi="Times New Roman" w:cs="Times New Roman"/>
          <w:bCs/>
          <w:sz w:val="24"/>
          <w:szCs w:val="24"/>
        </w:rPr>
        <w:t>s</w:t>
      </w:r>
      <w:r w:rsidRPr="003E0504">
        <w:rPr>
          <w:rFonts w:ascii="Times New Roman" w:hAnsi="Times New Roman" w:cs="Times New Roman"/>
          <w:bCs/>
          <w:spacing w:val="9"/>
          <w:sz w:val="24"/>
          <w:szCs w:val="24"/>
        </w:rPr>
        <w:t>-</w:t>
      </w:r>
      <w:r w:rsidRPr="003E0504">
        <w:rPr>
          <w:rFonts w:ascii="Times New Roman" w:hAnsi="Times New Roman" w:cs="Times New Roman"/>
          <w:bCs/>
          <w:spacing w:val="1"/>
          <w:sz w:val="24"/>
          <w:szCs w:val="24"/>
        </w:rPr>
        <w:t>c</w:t>
      </w:r>
      <w:r w:rsidRPr="003E0504">
        <w:rPr>
          <w:rFonts w:ascii="Times New Roman" w:hAnsi="Times New Roman" w:cs="Times New Roman"/>
          <w:bCs/>
          <w:sz w:val="24"/>
          <w:szCs w:val="24"/>
        </w:rPr>
        <w:t>h</w:t>
      </w:r>
      <w:r w:rsidRPr="003E0504">
        <w:rPr>
          <w:rFonts w:ascii="Times New Roman" w:hAnsi="Times New Roman" w:cs="Times New Roman"/>
          <w:bCs/>
          <w:spacing w:val="1"/>
          <w:sz w:val="24"/>
          <w:szCs w:val="24"/>
        </w:rPr>
        <w:t>a</w:t>
      </w:r>
      <w:r w:rsidRPr="003E0504">
        <w:rPr>
          <w:rFonts w:ascii="Times New Roman" w:hAnsi="Times New Roman" w:cs="Times New Roman"/>
          <w:bCs/>
          <w:spacing w:val="-4"/>
          <w:sz w:val="24"/>
          <w:szCs w:val="24"/>
        </w:rPr>
        <w:t>v</w:t>
      </w:r>
      <w:r w:rsidRPr="003E0504">
        <w:rPr>
          <w:rFonts w:ascii="Times New Roman" w:hAnsi="Times New Roman" w:cs="Times New Roman"/>
          <w:bCs/>
          <w:spacing w:val="1"/>
          <w:sz w:val="24"/>
          <w:szCs w:val="24"/>
        </w:rPr>
        <w:t>e</w:t>
      </w:r>
      <w:r w:rsidRPr="003E0504">
        <w:rPr>
          <w:rFonts w:ascii="Times New Roman" w:hAnsi="Times New Roman" w:cs="Times New Roman"/>
          <w:bCs/>
          <w:sz w:val="24"/>
          <w:szCs w:val="24"/>
        </w:rPr>
        <w:t>:</w:t>
      </w:r>
      <w:r w:rsidRPr="00E332D8">
        <w:rPr>
          <w:rFonts w:ascii="Times New Roman" w:hAnsi="Times New Roman" w:cs="Times New Roman"/>
          <w:b/>
          <w:bCs/>
          <w:spacing w:val="10"/>
          <w:sz w:val="24"/>
          <w:szCs w:val="24"/>
        </w:rPr>
        <w:t xml:space="preserve"> </w:t>
      </w:r>
      <w:r w:rsidRPr="00E332D8">
        <w:rPr>
          <w:rFonts w:ascii="Times New Roman" w:hAnsi="Times New Roman" w:cs="Times New Roman"/>
          <w:sz w:val="24"/>
          <w:szCs w:val="24"/>
        </w:rPr>
        <w:t xml:space="preserve">Poupança; Investimento; </w:t>
      </w:r>
      <w:r w:rsidR="003E0504">
        <w:rPr>
          <w:rFonts w:ascii="Times New Roman" w:hAnsi="Times New Roman" w:cs="Times New Roman"/>
          <w:sz w:val="24"/>
          <w:szCs w:val="24"/>
        </w:rPr>
        <w:t xml:space="preserve">Teste de </w:t>
      </w:r>
      <w:r w:rsidRPr="00E332D8">
        <w:rPr>
          <w:rFonts w:ascii="Times New Roman" w:hAnsi="Times New Roman" w:cs="Times New Roman"/>
          <w:sz w:val="24"/>
          <w:szCs w:val="24"/>
        </w:rPr>
        <w:t>Causalidade de Granger.</w:t>
      </w:r>
    </w:p>
    <w:p w:rsidR="00A7687D" w:rsidRPr="00C22E20" w:rsidRDefault="00A7687D" w:rsidP="00C22E20">
      <w:pPr>
        <w:jc w:val="both"/>
        <w:rPr>
          <w:rFonts w:ascii="Times New Roman" w:hAnsi="Times New Roman" w:cs="Times New Roman"/>
          <w:sz w:val="24"/>
          <w:szCs w:val="24"/>
        </w:rPr>
      </w:pPr>
    </w:p>
    <w:p w:rsidR="002374DF" w:rsidRPr="006E66D0" w:rsidRDefault="002374DF" w:rsidP="00C22E20">
      <w:pPr>
        <w:jc w:val="both"/>
        <w:rPr>
          <w:rFonts w:ascii="Times New Roman" w:hAnsi="Times New Roman" w:cs="Times New Roman"/>
          <w:b/>
          <w:sz w:val="24"/>
          <w:szCs w:val="24"/>
          <w:lang w:val="en-US"/>
        </w:rPr>
      </w:pPr>
      <w:r w:rsidRPr="006E66D0">
        <w:rPr>
          <w:rFonts w:ascii="Times New Roman" w:hAnsi="Times New Roman" w:cs="Times New Roman"/>
          <w:b/>
          <w:sz w:val="24"/>
          <w:szCs w:val="24"/>
          <w:lang w:val="en-US"/>
        </w:rPr>
        <w:t>Abstract</w:t>
      </w:r>
    </w:p>
    <w:p w:rsidR="00DC14DA" w:rsidRDefault="001A743E" w:rsidP="000D2F90">
      <w:pPr>
        <w:spacing w:after="0" w:line="360" w:lineRule="auto"/>
        <w:jc w:val="both"/>
        <w:rPr>
          <w:rFonts w:ascii="Times New Roman" w:hAnsi="Times New Roman" w:cs="Times New Roman"/>
          <w:sz w:val="24"/>
          <w:szCs w:val="24"/>
          <w:lang w:val="en-US"/>
        </w:rPr>
      </w:pPr>
      <w:r w:rsidRPr="006E66D0">
        <w:rPr>
          <w:rFonts w:ascii="Times New Roman" w:hAnsi="Times New Roman" w:cs="Times New Roman"/>
          <w:sz w:val="24"/>
          <w:szCs w:val="24"/>
          <w:lang w:val="en-US"/>
        </w:rPr>
        <w:t>This study investigates the relationship between savings and investment in Brazil during the period 1995-2012. The results obtained from a VAR model with structural breaks indicate Granger bicausality, suggesting not only that economic policy decisions on these two variables must be taken together, as well as evidence of the validity of the Feldstein-Horioka puzzle. Furthermore, it is observed that the response of savings rate to an unexpected shock in the investment rate is more significant over the period, as well as greater reliance on savings rate relative to the rate of investment.</w:t>
      </w:r>
    </w:p>
    <w:p w:rsidR="000D2F90" w:rsidRPr="006E66D0" w:rsidRDefault="000D2F90" w:rsidP="000D2F90">
      <w:pPr>
        <w:spacing w:after="0" w:line="360" w:lineRule="auto"/>
        <w:jc w:val="both"/>
        <w:rPr>
          <w:rFonts w:ascii="Times New Roman" w:hAnsi="Times New Roman" w:cs="Times New Roman"/>
          <w:sz w:val="24"/>
          <w:szCs w:val="24"/>
          <w:lang w:val="en-US"/>
        </w:rPr>
      </w:pPr>
    </w:p>
    <w:p w:rsidR="002374DF" w:rsidRPr="00E332D8" w:rsidRDefault="002374DF" w:rsidP="000D2F90">
      <w:pPr>
        <w:widowControl w:val="0"/>
        <w:autoSpaceDE w:val="0"/>
        <w:autoSpaceDN w:val="0"/>
        <w:adjustRightInd w:val="0"/>
        <w:spacing w:after="0" w:line="360" w:lineRule="auto"/>
        <w:ind w:right="67"/>
        <w:jc w:val="both"/>
        <w:rPr>
          <w:rFonts w:ascii="Times New Roman" w:hAnsi="Times New Roman" w:cs="Times New Roman"/>
          <w:sz w:val="24"/>
          <w:szCs w:val="24"/>
          <w:lang w:val="en-US"/>
        </w:rPr>
      </w:pPr>
      <w:r w:rsidRPr="003E0504">
        <w:rPr>
          <w:rFonts w:ascii="Times New Roman" w:hAnsi="Times New Roman" w:cs="Times New Roman"/>
          <w:sz w:val="24"/>
          <w:szCs w:val="24"/>
          <w:lang w:val="en-US"/>
        </w:rPr>
        <w:t xml:space="preserve">Keywords: </w:t>
      </w:r>
      <w:r w:rsidRPr="00E332D8">
        <w:rPr>
          <w:rFonts w:ascii="Times New Roman" w:hAnsi="Times New Roman" w:cs="Times New Roman"/>
          <w:sz w:val="24"/>
          <w:szCs w:val="24"/>
          <w:lang w:val="en-US"/>
        </w:rPr>
        <w:t>Savings; Investment;</w:t>
      </w:r>
      <w:r w:rsidR="008B2114" w:rsidRPr="00E332D8">
        <w:rPr>
          <w:rFonts w:ascii="Times New Roman" w:hAnsi="Times New Roman" w:cs="Times New Roman"/>
          <w:sz w:val="24"/>
          <w:szCs w:val="24"/>
          <w:lang w:val="en-US"/>
        </w:rPr>
        <w:t xml:space="preserve"> Granger Causality Test.</w:t>
      </w:r>
    </w:p>
    <w:p w:rsidR="002374DF" w:rsidRPr="00E332D8" w:rsidRDefault="002374DF" w:rsidP="000D2F90">
      <w:pPr>
        <w:widowControl w:val="0"/>
        <w:autoSpaceDE w:val="0"/>
        <w:autoSpaceDN w:val="0"/>
        <w:adjustRightInd w:val="0"/>
        <w:spacing w:after="0" w:line="360" w:lineRule="auto"/>
        <w:ind w:right="67"/>
        <w:jc w:val="both"/>
        <w:rPr>
          <w:rFonts w:ascii="Times New Roman" w:hAnsi="Times New Roman" w:cs="Times New Roman"/>
          <w:sz w:val="24"/>
          <w:szCs w:val="24"/>
        </w:rPr>
      </w:pPr>
      <w:r w:rsidRPr="003E0504">
        <w:rPr>
          <w:rFonts w:ascii="Times New Roman" w:hAnsi="Times New Roman" w:cs="Times New Roman"/>
          <w:sz w:val="24"/>
          <w:szCs w:val="24"/>
        </w:rPr>
        <w:t>JEL Classification:</w:t>
      </w:r>
      <w:r w:rsidRPr="00E332D8">
        <w:rPr>
          <w:rFonts w:ascii="Times New Roman" w:hAnsi="Times New Roman" w:cs="Times New Roman"/>
          <w:sz w:val="24"/>
          <w:szCs w:val="24"/>
        </w:rPr>
        <w:t xml:space="preserve"> E12; E13; E21; E22; O16.</w:t>
      </w:r>
    </w:p>
    <w:p w:rsidR="00127DC3" w:rsidRPr="00E332D8" w:rsidRDefault="00412CF6" w:rsidP="00230341">
      <w:pPr>
        <w:spacing w:after="0" w:line="360" w:lineRule="auto"/>
        <w:jc w:val="both"/>
        <w:rPr>
          <w:rFonts w:ascii="Times New Roman" w:hAnsi="Times New Roman" w:cs="Times New Roman"/>
          <w:b/>
          <w:sz w:val="24"/>
          <w:szCs w:val="24"/>
        </w:rPr>
      </w:pPr>
      <w:r w:rsidRPr="00E332D8">
        <w:rPr>
          <w:rFonts w:ascii="Times New Roman" w:hAnsi="Times New Roman" w:cs="Times New Roman"/>
          <w:b/>
          <w:sz w:val="24"/>
          <w:szCs w:val="24"/>
        </w:rPr>
        <w:lastRenderedPageBreak/>
        <w:t xml:space="preserve">1. </w:t>
      </w:r>
      <w:r w:rsidR="00127DC3" w:rsidRPr="00E332D8">
        <w:rPr>
          <w:rFonts w:ascii="Times New Roman" w:hAnsi="Times New Roman" w:cs="Times New Roman"/>
          <w:b/>
          <w:sz w:val="24"/>
          <w:szCs w:val="24"/>
        </w:rPr>
        <w:t>Introdução</w:t>
      </w:r>
    </w:p>
    <w:p w:rsidR="00B522BC" w:rsidRDefault="00B522BC" w:rsidP="00230341">
      <w:pPr>
        <w:spacing w:after="0" w:line="360" w:lineRule="auto"/>
        <w:jc w:val="both"/>
        <w:rPr>
          <w:rFonts w:ascii="Times New Roman" w:hAnsi="Times New Roman" w:cs="Times New Roman"/>
          <w:b/>
          <w:sz w:val="24"/>
          <w:szCs w:val="24"/>
        </w:rPr>
      </w:pPr>
    </w:p>
    <w:p w:rsidR="00596B3F" w:rsidRPr="00DE3A51" w:rsidRDefault="00CD27A5" w:rsidP="00DE3A51">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Poupança e investimento são duas variáveis macroeconômicas importantes para se alcançar o crescimento econômico, que é o principal objetivo econômico de qualquer plano governamental em nações em desenvolvimento. É pouco provável encontrar qualquer nação que administrou uma alta taxa de crescimento por um longo período sem experimentar elevadas taxas de formação de capital e/ou elevadas taxas de poupança. Alguns estudos empíricos</w:t>
      </w:r>
      <w:r w:rsidR="00C36F2D">
        <w:rPr>
          <w:rFonts w:ascii="Times New Roman" w:hAnsi="Times New Roman" w:cs="Times New Roman"/>
          <w:sz w:val="24"/>
          <w:szCs w:val="24"/>
        </w:rPr>
        <w:t xml:space="preserve"> </w:t>
      </w:r>
      <w:r>
        <w:rPr>
          <w:rFonts w:ascii="Times New Roman" w:hAnsi="Times New Roman" w:cs="Times New Roman"/>
          <w:sz w:val="24"/>
          <w:szCs w:val="24"/>
        </w:rPr>
        <w:t>realizados em nações industrializadas e nações em desenvolvimento reportaram alta correlação positiv</w:t>
      </w:r>
      <w:r w:rsidR="00C36F2D">
        <w:rPr>
          <w:rFonts w:ascii="Times New Roman" w:hAnsi="Times New Roman" w:cs="Times New Roman"/>
          <w:sz w:val="24"/>
          <w:szCs w:val="24"/>
        </w:rPr>
        <w:t xml:space="preserve">a entre poupança e investimento, ao utilizarem dados de séries temporais ou </w:t>
      </w:r>
      <w:r w:rsidR="00C36F2D" w:rsidRPr="00C36F2D">
        <w:rPr>
          <w:rFonts w:ascii="Times New Roman" w:hAnsi="Times New Roman" w:cs="Times New Roman"/>
          <w:i/>
          <w:sz w:val="24"/>
          <w:szCs w:val="24"/>
        </w:rPr>
        <w:t>cross-section</w:t>
      </w:r>
      <w:r w:rsidR="00C36F2D">
        <w:rPr>
          <w:rFonts w:ascii="Times New Roman" w:hAnsi="Times New Roman" w:cs="Times New Roman"/>
          <w:sz w:val="24"/>
          <w:szCs w:val="24"/>
        </w:rPr>
        <w:t xml:space="preserve"> (FELDSTEIN e HORIOKA, 198</w:t>
      </w:r>
      <w:r w:rsidR="00DE3A51">
        <w:rPr>
          <w:rFonts w:ascii="Times New Roman" w:hAnsi="Times New Roman" w:cs="Times New Roman"/>
          <w:sz w:val="24"/>
          <w:szCs w:val="24"/>
        </w:rPr>
        <w:t>0; BAYOUMI, 1990; SINHA, 2002).</w:t>
      </w:r>
      <w:r w:rsidR="00A25FEB">
        <w:rPr>
          <w:rFonts w:ascii="Times New Roman" w:hAnsi="Times New Roman" w:cs="Times New Roman"/>
          <w:sz w:val="24"/>
          <w:szCs w:val="24"/>
          <w:lang w:val="pt-PT"/>
        </w:rPr>
        <w:t xml:space="preserve"> </w:t>
      </w:r>
    </w:p>
    <w:p w:rsidR="0053101C" w:rsidRDefault="00DE3A51" w:rsidP="0023017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lang w:val="pt-PT"/>
        </w:rPr>
        <w:t>Desta forma, a</w:t>
      </w:r>
      <w:r w:rsidR="0053101C" w:rsidRPr="00E332D8">
        <w:rPr>
          <w:rFonts w:ascii="Times New Roman" w:hAnsi="Times New Roman" w:cs="Times New Roman"/>
          <w:sz w:val="24"/>
          <w:szCs w:val="24"/>
        </w:rPr>
        <w:t xml:space="preserve"> relação entre poupança e investimento é tema relevante no atual debate acadêmico, com importantes impl</w:t>
      </w:r>
      <w:r>
        <w:rPr>
          <w:rFonts w:ascii="Times New Roman" w:hAnsi="Times New Roman" w:cs="Times New Roman"/>
          <w:sz w:val="24"/>
          <w:szCs w:val="24"/>
        </w:rPr>
        <w:t xml:space="preserve">icações de política econômica. </w:t>
      </w:r>
      <w:r w:rsidR="0053101C" w:rsidRPr="00E332D8">
        <w:rPr>
          <w:rFonts w:ascii="Times New Roman" w:hAnsi="Times New Roman" w:cs="Times New Roman"/>
          <w:sz w:val="24"/>
          <w:szCs w:val="24"/>
        </w:rPr>
        <w:t>Todavia, algumas indagações surgem: o menor crescimento econômico brasileiro constatado nos últimos anos se deve a uma escassez de poupança? Ou será o investimento a variável macroeconômica mais importante a ser incentivada pelo governo?</w:t>
      </w:r>
      <w:r w:rsidR="003254FE">
        <w:rPr>
          <w:rFonts w:ascii="Times New Roman" w:hAnsi="Times New Roman" w:cs="Times New Roman"/>
          <w:sz w:val="24"/>
          <w:szCs w:val="24"/>
        </w:rPr>
        <w:t xml:space="preserve"> O enigma de Feldstein-Horioka se aplica ao caso brasileiro?</w:t>
      </w:r>
    </w:p>
    <w:p w:rsidR="000D0A71" w:rsidRDefault="00230176" w:rsidP="00230176">
      <w:pPr>
        <w:spacing w:line="360" w:lineRule="auto"/>
        <w:ind w:firstLine="708"/>
        <w:contextualSpacing/>
        <w:jc w:val="both"/>
        <w:rPr>
          <w:rFonts w:ascii="Times New Roman" w:eastAsiaTheme="minorHAnsi" w:hAnsi="Times New Roman" w:cs="Times New Roman"/>
          <w:sz w:val="24"/>
          <w:szCs w:val="24"/>
          <w:lang w:eastAsia="en-US"/>
        </w:rPr>
      </w:pPr>
      <w:r w:rsidRPr="00230176">
        <w:rPr>
          <w:rFonts w:ascii="Times New Roman" w:eastAsiaTheme="minorHAnsi" w:hAnsi="Times New Roman" w:cs="Times New Roman"/>
          <w:sz w:val="24"/>
          <w:szCs w:val="24"/>
          <w:lang w:eastAsia="en-US"/>
        </w:rPr>
        <w:t xml:space="preserve">Nesse contexto, a relação de causalidade entre </w:t>
      </w:r>
      <w:r w:rsidR="004320B6">
        <w:rPr>
          <w:rFonts w:ascii="Times New Roman" w:eastAsiaTheme="minorHAnsi" w:hAnsi="Times New Roman" w:cs="Times New Roman"/>
          <w:sz w:val="24"/>
          <w:szCs w:val="24"/>
          <w:lang w:eastAsia="en-US"/>
        </w:rPr>
        <w:t>poupança</w:t>
      </w:r>
      <w:r w:rsidRPr="00230176">
        <w:rPr>
          <w:rFonts w:ascii="Times New Roman" w:eastAsiaTheme="minorHAnsi" w:hAnsi="Times New Roman" w:cs="Times New Roman"/>
          <w:sz w:val="24"/>
          <w:szCs w:val="24"/>
          <w:lang w:eastAsia="en-US"/>
        </w:rPr>
        <w:t xml:space="preserve"> e </w:t>
      </w:r>
      <w:r w:rsidR="004320B6">
        <w:rPr>
          <w:rFonts w:ascii="Times New Roman" w:eastAsiaTheme="minorHAnsi" w:hAnsi="Times New Roman" w:cs="Times New Roman"/>
          <w:sz w:val="24"/>
          <w:szCs w:val="24"/>
          <w:lang w:eastAsia="en-US"/>
        </w:rPr>
        <w:t>investimento</w:t>
      </w:r>
      <w:r w:rsidRPr="00230176">
        <w:rPr>
          <w:rFonts w:ascii="Times New Roman" w:eastAsiaTheme="minorHAnsi" w:hAnsi="Times New Roman" w:cs="Times New Roman"/>
          <w:sz w:val="24"/>
          <w:szCs w:val="24"/>
          <w:lang w:eastAsia="en-US"/>
        </w:rPr>
        <w:t xml:space="preserve"> </w:t>
      </w:r>
      <w:r w:rsidR="004320B6">
        <w:rPr>
          <w:rFonts w:ascii="Times New Roman" w:eastAsiaTheme="minorHAnsi" w:hAnsi="Times New Roman" w:cs="Times New Roman"/>
          <w:sz w:val="24"/>
          <w:szCs w:val="24"/>
          <w:lang w:eastAsia="en-US"/>
        </w:rPr>
        <w:t>pode ser baseada</w:t>
      </w:r>
      <w:r w:rsidRPr="00230176">
        <w:rPr>
          <w:rFonts w:ascii="Times New Roman" w:eastAsiaTheme="minorHAnsi" w:hAnsi="Times New Roman" w:cs="Times New Roman"/>
          <w:sz w:val="24"/>
          <w:szCs w:val="24"/>
          <w:lang w:eastAsia="en-US"/>
        </w:rPr>
        <w:t xml:space="preserve"> em quatro hipóteses a seguir destacadas</w:t>
      </w:r>
      <w:r w:rsidRPr="00230176">
        <w:rPr>
          <w:rFonts w:ascii="Times New Roman" w:hAnsi="Times New Roman" w:cs="Times New Roman"/>
          <w:sz w:val="24"/>
          <w:szCs w:val="24"/>
        </w:rPr>
        <w:t>.</w:t>
      </w:r>
      <w:r w:rsidR="004320B6">
        <w:rPr>
          <w:rFonts w:ascii="Times New Roman" w:hAnsi="Times New Roman" w:cs="Times New Roman"/>
          <w:sz w:val="24"/>
          <w:szCs w:val="24"/>
        </w:rPr>
        <w:t xml:space="preserve"> </w:t>
      </w:r>
      <w:r w:rsidRPr="00230176">
        <w:rPr>
          <w:rFonts w:ascii="Times New Roman" w:eastAsiaTheme="minorHAnsi" w:hAnsi="Times New Roman" w:cs="Times New Roman"/>
          <w:sz w:val="24"/>
          <w:szCs w:val="24"/>
          <w:lang w:eastAsia="en-US"/>
        </w:rPr>
        <w:t xml:space="preserve">Primeiro, uma relação de causalidade unidirecional </w:t>
      </w:r>
      <w:r w:rsidR="004320B6">
        <w:rPr>
          <w:rFonts w:ascii="Times New Roman" w:eastAsiaTheme="minorHAnsi" w:hAnsi="Times New Roman" w:cs="Times New Roman"/>
          <w:sz w:val="24"/>
          <w:szCs w:val="24"/>
          <w:lang w:eastAsia="en-US"/>
        </w:rPr>
        <w:t>da poupança para o investimento é consistente com a teoria neoclássica (visão ortodoxa),</w:t>
      </w:r>
      <w:r w:rsidR="002A3DC2">
        <w:rPr>
          <w:rFonts w:ascii="Times New Roman" w:eastAsiaTheme="minorHAnsi" w:hAnsi="Times New Roman" w:cs="Times New Roman"/>
          <w:sz w:val="24"/>
          <w:szCs w:val="24"/>
          <w:lang w:eastAsia="en-US"/>
        </w:rPr>
        <w:t xml:space="preserve"> de modo que políticas de incentivo à poupança doméstica devem ser priorizadas para impulsionar os investimentos e o crescimento econômico</w:t>
      </w:r>
      <w:r w:rsidR="00742E98">
        <w:rPr>
          <w:rFonts w:ascii="Times New Roman" w:eastAsiaTheme="minorHAnsi" w:hAnsi="Times New Roman" w:cs="Times New Roman"/>
          <w:sz w:val="24"/>
          <w:szCs w:val="24"/>
          <w:lang w:eastAsia="en-US"/>
        </w:rPr>
        <w:t xml:space="preserve"> (ESSO e KEHO, 2010)</w:t>
      </w:r>
      <w:r w:rsidR="002A3DC2">
        <w:rPr>
          <w:rFonts w:ascii="Times New Roman" w:eastAsiaTheme="minorHAnsi" w:hAnsi="Times New Roman" w:cs="Times New Roman"/>
          <w:sz w:val="24"/>
          <w:szCs w:val="24"/>
          <w:lang w:eastAsia="en-US"/>
        </w:rPr>
        <w:t xml:space="preserve">. Além disso, esse resultado </w:t>
      </w:r>
      <w:r w:rsidR="004320B6">
        <w:rPr>
          <w:rFonts w:ascii="Times New Roman" w:eastAsiaTheme="minorHAnsi" w:hAnsi="Times New Roman" w:cs="Times New Roman"/>
          <w:sz w:val="24"/>
          <w:szCs w:val="24"/>
          <w:lang w:eastAsia="en-US"/>
        </w:rPr>
        <w:t>fornece suporte para políticas de austeridade fiscal</w:t>
      </w:r>
      <w:r w:rsidR="002A3DC2">
        <w:rPr>
          <w:rFonts w:ascii="Times New Roman" w:eastAsiaTheme="minorHAnsi" w:hAnsi="Times New Roman" w:cs="Times New Roman"/>
          <w:sz w:val="24"/>
          <w:szCs w:val="24"/>
          <w:lang w:eastAsia="en-US"/>
        </w:rPr>
        <w:t>, uma vez que o</w:t>
      </w:r>
      <w:r w:rsidR="000D0A71">
        <w:rPr>
          <w:rFonts w:ascii="Times New Roman" w:eastAsiaTheme="minorHAnsi" w:hAnsi="Times New Roman" w:cs="Times New Roman"/>
          <w:sz w:val="24"/>
          <w:szCs w:val="24"/>
          <w:lang w:eastAsia="en-US"/>
        </w:rPr>
        <w:t xml:space="preserve"> </w:t>
      </w:r>
      <w:r w:rsidR="00783DE6">
        <w:rPr>
          <w:rFonts w:ascii="Times New Roman" w:eastAsiaTheme="minorHAnsi" w:hAnsi="Times New Roman" w:cs="Times New Roman"/>
          <w:sz w:val="24"/>
          <w:szCs w:val="24"/>
          <w:lang w:eastAsia="en-US"/>
        </w:rPr>
        <w:t>entendimento</w:t>
      </w:r>
      <w:r w:rsidR="000D0A71">
        <w:rPr>
          <w:rFonts w:ascii="Times New Roman" w:eastAsiaTheme="minorHAnsi" w:hAnsi="Times New Roman" w:cs="Times New Roman"/>
          <w:sz w:val="24"/>
          <w:szCs w:val="24"/>
          <w:lang w:eastAsia="en-US"/>
        </w:rPr>
        <w:t xml:space="preserve"> econômico </w:t>
      </w:r>
      <w:r w:rsidR="00783DE6">
        <w:rPr>
          <w:rFonts w:ascii="Times New Roman" w:eastAsiaTheme="minorHAnsi" w:hAnsi="Times New Roman" w:cs="Times New Roman"/>
          <w:sz w:val="24"/>
          <w:szCs w:val="24"/>
          <w:lang w:eastAsia="en-US"/>
        </w:rPr>
        <w:t>sobre</w:t>
      </w:r>
      <w:r w:rsidR="000D0A71">
        <w:rPr>
          <w:rFonts w:ascii="Times New Roman" w:eastAsiaTheme="minorHAnsi" w:hAnsi="Times New Roman" w:cs="Times New Roman"/>
          <w:sz w:val="24"/>
          <w:szCs w:val="24"/>
          <w:lang w:eastAsia="en-US"/>
        </w:rPr>
        <w:t xml:space="preserve"> déficits governamentais é comumente construído em termos de seus efeitos negativos na poupança agregada e formação</w:t>
      </w:r>
      <w:r w:rsidR="00783DE6">
        <w:rPr>
          <w:rFonts w:ascii="Times New Roman" w:eastAsiaTheme="minorHAnsi" w:hAnsi="Times New Roman" w:cs="Times New Roman"/>
          <w:sz w:val="24"/>
          <w:szCs w:val="24"/>
          <w:lang w:eastAsia="en-US"/>
        </w:rPr>
        <w:t xml:space="preserve"> bruta</w:t>
      </w:r>
      <w:r w:rsidR="000D0A71">
        <w:rPr>
          <w:rFonts w:ascii="Times New Roman" w:eastAsiaTheme="minorHAnsi" w:hAnsi="Times New Roman" w:cs="Times New Roman"/>
          <w:sz w:val="24"/>
          <w:szCs w:val="24"/>
          <w:lang w:eastAsia="en-US"/>
        </w:rPr>
        <w:t xml:space="preserve"> de capital de uma economia. Se poupança causa investimento, então déficits governamentais representam poupança negativa e, consequentemente, resultam em um menor nível de investimento para a economia (PALEY, 1996).</w:t>
      </w:r>
    </w:p>
    <w:p w:rsidR="000D0A71" w:rsidRDefault="000D0A71" w:rsidP="00230176">
      <w:pPr>
        <w:spacing w:line="360" w:lineRule="auto"/>
        <w:ind w:firstLine="708"/>
        <w:contextualSpacing/>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Não apenas a relação de causalidade entre poupança e investimento levanta questionamentos sobre o nível dos déficits governamentais, mas também tem implicações em relação sobre como tais déficits podem ser controlados. De maneira específica, se a poupança causa o investimento, e o aumento do nível de investimentos da economia é desejado pelos </w:t>
      </w:r>
      <w:r w:rsidRPr="000D0A71">
        <w:rPr>
          <w:rFonts w:ascii="Times New Roman" w:eastAsiaTheme="minorHAnsi" w:hAnsi="Times New Roman" w:cs="Times New Roman"/>
          <w:i/>
          <w:sz w:val="24"/>
          <w:szCs w:val="24"/>
          <w:lang w:eastAsia="en-US"/>
        </w:rPr>
        <w:t>policymakers</w:t>
      </w:r>
      <w:r>
        <w:rPr>
          <w:rFonts w:ascii="Times New Roman" w:eastAsiaTheme="minorHAnsi" w:hAnsi="Times New Roman" w:cs="Times New Roman"/>
          <w:sz w:val="24"/>
          <w:szCs w:val="24"/>
          <w:lang w:eastAsia="en-US"/>
        </w:rPr>
        <w:t xml:space="preserve"> por razões de crescimento econômico, então o déficit governamental deve ser controlado por meio de corte de gastos públicos, ao invés de elevação de impostos. A elevação de impostos tenderia a diminuir a renda disponível e, consequentemente, a poupança </w:t>
      </w:r>
      <w:r>
        <w:rPr>
          <w:rFonts w:ascii="Times New Roman" w:eastAsiaTheme="minorHAnsi" w:hAnsi="Times New Roman" w:cs="Times New Roman"/>
          <w:sz w:val="24"/>
          <w:szCs w:val="24"/>
          <w:lang w:eastAsia="en-US"/>
        </w:rPr>
        <w:lastRenderedPageBreak/>
        <w:t xml:space="preserve">das famílias, logo, reduzindo os benefícios </w:t>
      </w:r>
      <w:r w:rsidR="00434074">
        <w:rPr>
          <w:rFonts w:ascii="Times New Roman" w:eastAsiaTheme="minorHAnsi" w:hAnsi="Times New Roman" w:cs="Times New Roman"/>
          <w:sz w:val="24"/>
          <w:szCs w:val="24"/>
          <w:lang w:eastAsia="en-US"/>
        </w:rPr>
        <w:t>da diminuição dos déficits governamentais sobre a poupança nacional (PALEY, 1996).</w:t>
      </w:r>
    </w:p>
    <w:p w:rsidR="004320B6" w:rsidRDefault="004320B6" w:rsidP="00230176">
      <w:pPr>
        <w:spacing w:line="360" w:lineRule="auto"/>
        <w:ind w:firstLine="708"/>
        <w:contextualSpacing/>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Segundo, uma relação de causalidade unidirecional do investimento para a poupança evidência a prevalência da teoria keynesiana (visão heterodoxa).</w:t>
      </w:r>
      <w:r w:rsidR="00742E98">
        <w:rPr>
          <w:rFonts w:ascii="Times New Roman" w:eastAsiaTheme="minorHAnsi" w:hAnsi="Times New Roman" w:cs="Times New Roman"/>
          <w:sz w:val="24"/>
          <w:szCs w:val="24"/>
          <w:lang w:eastAsia="en-US"/>
        </w:rPr>
        <w:t xml:space="preserve"> Sob essa hipótese, políticas de incentivo à poupança provavelmente não deverão ter sucesso e podem envolver ineficiências econômicas. Contudo, as políticas econômicas devem se concentrar na remoção dos impedimentos ou gargalos para que o investimento possa contribuir para o crescimento econômico.</w:t>
      </w:r>
    </w:p>
    <w:p w:rsidR="00230176" w:rsidRPr="00230176" w:rsidRDefault="00230176" w:rsidP="00230176">
      <w:pPr>
        <w:autoSpaceDE w:val="0"/>
        <w:autoSpaceDN w:val="0"/>
        <w:adjustRightInd w:val="0"/>
        <w:spacing w:line="360" w:lineRule="auto"/>
        <w:contextualSpacing/>
        <w:jc w:val="both"/>
        <w:rPr>
          <w:rFonts w:ascii="Times New Roman" w:eastAsiaTheme="minorHAnsi" w:hAnsi="Times New Roman" w:cs="Times New Roman"/>
          <w:sz w:val="24"/>
          <w:szCs w:val="24"/>
          <w:lang w:eastAsia="en-US"/>
        </w:rPr>
      </w:pPr>
      <w:r w:rsidRPr="00230176">
        <w:rPr>
          <w:rFonts w:ascii="Times New Roman" w:eastAsiaTheme="minorHAnsi" w:hAnsi="Times New Roman" w:cs="Times New Roman"/>
          <w:sz w:val="24"/>
          <w:szCs w:val="24"/>
          <w:lang w:eastAsia="en-US"/>
        </w:rPr>
        <w:tab/>
        <w:t xml:space="preserve">Terceiro, uma relação de bicausalidade entre </w:t>
      </w:r>
      <w:r w:rsidR="004320B6">
        <w:rPr>
          <w:rFonts w:ascii="Times New Roman" w:eastAsiaTheme="minorHAnsi" w:hAnsi="Times New Roman" w:cs="Times New Roman"/>
          <w:sz w:val="24"/>
          <w:szCs w:val="24"/>
          <w:lang w:eastAsia="en-US"/>
        </w:rPr>
        <w:t xml:space="preserve">poupança e investimento </w:t>
      </w:r>
      <w:r w:rsidRPr="00230176">
        <w:rPr>
          <w:rFonts w:ascii="Times New Roman" w:eastAsiaTheme="minorHAnsi" w:hAnsi="Times New Roman" w:cs="Times New Roman"/>
          <w:sz w:val="24"/>
          <w:szCs w:val="24"/>
          <w:lang w:eastAsia="en-US"/>
        </w:rPr>
        <w:t>significa que essas duas variáveis são mutuamente afetadas e conjuntamente determinadas ao mesmo tempo.</w:t>
      </w:r>
      <w:r w:rsidR="00E94572">
        <w:rPr>
          <w:rFonts w:ascii="Times New Roman" w:eastAsiaTheme="minorHAnsi" w:hAnsi="Times New Roman" w:cs="Times New Roman"/>
          <w:sz w:val="24"/>
          <w:szCs w:val="24"/>
          <w:lang w:eastAsia="en-US"/>
        </w:rPr>
        <w:t xml:space="preserve"> Além disso, esse resultado corrobora as evidências de que o enigma de Feldstein-Horioka se aplica ao caso brasileiro, de modo que a mobilidade de capitais não é perfeita.</w:t>
      </w:r>
    </w:p>
    <w:p w:rsidR="00230176" w:rsidRPr="00230176" w:rsidRDefault="00230176" w:rsidP="00230176">
      <w:pPr>
        <w:autoSpaceDE w:val="0"/>
        <w:autoSpaceDN w:val="0"/>
        <w:adjustRightInd w:val="0"/>
        <w:spacing w:line="360" w:lineRule="auto"/>
        <w:ind w:firstLine="708"/>
        <w:contextualSpacing/>
        <w:jc w:val="both"/>
        <w:rPr>
          <w:rFonts w:ascii="Times New Roman" w:hAnsi="Times New Roman" w:cs="Times New Roman"/>
          <w:sz w:val="24"/>
          <w:szCs w:val="24"/>
          <w:lang w:val="pt-PT"/>
        </w:rPr>
      </w:pPr>
      <w:r w:rsidRPr="00230176">
        <w:rPr>
          <w:rStyle w:val="hps"/>
          <w:rFonts w:ascii="Times New Roman" w:hAnsi="Times New Roman" w:cs="Times New Roman"/>
          <w:sz w:val="24"/>
          <w:szCs w:val="24"/>
          <w:lang w:val="pt-PT"/>
        </w:rPr>
        <w:t>Finalmente, um</w:t>
      </w:r>
      <w:r w:rsidR="004320B6">
        <w:rPr>
          <w:rStyle w:val="hps"/>
          <w:rFonts w:ascii="Times New Roman" w:hAnsi="Times New Roman" w:cs="Times New Roman"/>
          <w:sz w:val="24"/>
          <w:szCs w:val="24"/>
          <w:lang w:val="pt-PT"/>
        </w:rPr>
        <w:t>a quarta hipótese está associada</w:t>
      </w:r>
      <w:r w:rsidRPr="00230176">
        <w:rPr>
          <w:rStyle w:val="hps"/>
          <w:rFonts w:ascii="Times New Roman" w:hAnsi="Times New Roman" w:cs="Times New Roman"/>
          <w:sz w:val="24"/>
          <w:szCs w:val="24"/>
          <w:lang w:val="pt-PT"/>
        </w:rPr>
        <w:t xml:space="preserve"> à </w:t>
      </w:r>
      <w:r w:rsidR="0013407C">
        <w:rPr>
          <w:rStyle w:val="hps"/>
          <w:rFonts w:ascii="Times New Roman" w:hAnsi="Times New Roman" w:cs="Times New Roman"/>
          <w:sz w:val="24"/>
          <w:szCs w:val="24"/>
          <w:lang w:val="pt-PT"/>
        </w:rPr>
        <w:t>ausênci</w:t>
      </w:r>
      <w:r w:rsidR="00C91531">
        <w:rPr>
          <w:rStyle w:val="hps"/>
          <w:rFonts w:ascii="Times New Roman" w:hAnsi="Times New Roman" w:cs="Times New Roman"/>
          <w:sz w:val="24"/>
          <w:szCs w:val="24"/>
          <w:lang w:val="pt-PT"/>
        </w:rPr>
        <w:t>a</w:t>
      </w:r>
      <w:r w:rsidRPr="00230176">
        <w:rPr>
          <w:rStyle w:val="hps"/>
          <w:rFonts w:ascii="Times New Roman" w:hAnsi="Times New Roman" w:cs="Times New Roman"/>
          <w:sz w:val="24"/>
          <w:szCs w:val="24"/>
          <w:lang w:val="pt-PT"/>
        </w:rPr>
        <w:t xml:space="preserve"> de relação de causalidade entre </w:t>
      </w:r>
      <w:r w:rsidR="004320B6">
        <w:rPr>
          <w:rStyle w:val="hps"/>
          <w:rFonts w:ascii="Times New Roman" w:hAnsi="Times New Roman" w:cs="Times New Roman"/>
          <w:sz w:val="24"/>
          <w:szCs w:val="24"/>
          <w:lang w:val="pt-PT"/>
        </w:rPr>
        <w:t>poupança e investimento</w:t>
      </w:r>
      <w:r w:rsidR="00E94572">
        <w:rPr>
          <w:rFonts w:ascii="Times New Roman" w:hAnsi="Times New Roman" w:cs="Times New Roman"/>
          <w:sz w:val="24"/>
          <w:szCs w:val="24"/>
          <w:lang w:val="pt-PT"/>
        </w:rPr>
        <w:t xml:space="preserve">, indicando, assim, uma </w:t>
      </w:r>
      <w:r w:rsidR="00281175">
        <w:rPr>
          <w:rFonts w:ascii="Times New Roman" w:hAnsi="Times New Roman" w:cs="Times New Roman"/>
          <w:sz w:val="24"/>
          <w:szCs w:val="24"/>
          <w:lang w:val="pt-PT"/>
        </w:rPr>
        <w:t>perfeita</w:t>
      </w:r>
      <w:r w:rsidR="00E94572">
        <w:rPr>
          <w:rFonts w:ascii="Times New Roman" w:hAnsi="Times New Roman" w:cs="Times New Roman"/>
          <w:sz w:val="24"/>
          <w:szCs w:val="24"/>
          <w:lang w:val="pt-PT"/>
        </w:rPr>
        <w:t xml:space="preserve"> mobilidade de capitais e a não aplicabilidade do enigma de Feldstein-Horioka para o caso brasileiro.</w:t>
      </w:r>
    </w:p>
    <w:p w:rsidR="00412CF6" w:rsidRDefault="0053101C" w:rsidP="0023017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 objetivo d</w:t>
      </w:r>
      <w:r w:rsidR="00D34E7E">
        <w:rPr>
          <w:rFonts w:ascii="Times New Roman" w:hAnsi="Times New Roman" w:cs="Times New Roman"/>
          <w:sz w:val="24"/>
          <w:szCs w:val="24"/>
        </w:rPr>
        <w:t>e</w:t>
      </w:r>
      <w:r w:rsidRPr="00E332D8">
        <w:rPr>
          <w:rFonts w:ascii="Times New Roman" w:hAnsi="Times New Roman" w:cs="Times New Roman"/>
          <w:sz w:val="24"/>
          <w:szCs w:val="24"/>
        </w:rPr>
        <w:t xml:space="preserve">sse estudo </w:t>
      </w:r>
      <w:r w:rsidR="007E4BA6">
        <w:rPr>
          <w:rFonts w:ascii="Times New Roman" w:hAnsi="Times New Roman" w:cs="Times New Roman"/>
          <w:sz w:val="24"/>
          <w:szCs w:val="24"/>
        </w:rPr>
        <w:t>investiga</w:t>
      </w:r>
      <w:r w:rsidRPr="00E332D8">
        <w:rPr>
          <w:rFonts w:ascii="Times New Roman" w:hAnsi="Times New Roman" w:cs="Times New Roman"/>
          <w:sz w:val="24"/>
          <w:szCs w:val="24"/>
        </w:rPr>
        <w:t xml:space="preserve"> a relação entre poupança e investimento no Brasil d</w:t>
      </w:r>
      <w:r w:rsidR="00D34E7E">
        <w:rPr>
          <w:rFonts w:ascii="Times New Roman" w:hAnsi="Times New Roman" w:cs="Times New Roman"/>
          <w:sz w:val="24"/>
          <w:szCs w:val="24"/>
        </w:rPr>
        <w:t xml:space="preserve">urante o período de 1995 a 2012, </w:t>
      </w:r>
      <w:r>
        <w:rPr>
          <w:rFonts w:ascii="Times New Roman" w:hAnsi="Times New Roman" w:cs="Times New Roman"/>
          <w:sz w:val="24"/>
          <w:szCs w:val="24"/>
        </w:rPr>
        <w:t>por meio do teste de causalidade de Granger</w:t>
      </w:r>
      <w:r w:rsidR="004320B6">
        <w:rPr>
          <w:rFonts w:ascii="Times New Roman" w:hAnsi="Times New Roman" w:cs="Times New Roman"/>
          <w:sz w:val="24"/>
          <w:szCs w:val="24"/>
        </w:rPr>
        <w:t xml:space="preserve"> (1969)</w:t>
      </w:r>
      <w:r>
        <w:rPr>
          <w:rFonts w:ascii="Times New Roman" w:hAnsi="Times New Roman" w:cs="Times New Roman"/>
          <w:sz w:val="24"/>
          <w:szCs w:val="24"/>
        </w:rPr>
        <w:t xml:space="preserve"> aplicado em uma estrutura multivariada. </w:t>
      </w:r>
      <w:r w:rsidR="00412CF6" w:rsidRPr="00E332D8">
        <w:rPr>
          <w:rFonts w:ascii="Times New Roman" w:hAnsi="Times New Roman" w:cs="Times New Roman"/>
          <w:sz w:val="24"/>
          <w:szCs w:val="24"/>
        </w:rPr>
        <w:t xml:space="preserve">Este trabalho contribui para a literatura </w:t>
      </w:r>
      <w:r w:rsidR="002C69AF" w:rsidRPr="00E332D8">
        <w:rPr>
          <w:rFonts w:ascii="Times New Roman" w:hAnsi="Times New Roman" w:cs="Times New Roman"/>
          <w:sz w:val="24"/>
          <w:szCs w:val="24"/>
        </w:rPr>
        <w:t xml:space="preserve">sobre o tema </w:t>
      </w:r>
      <w:r w:rsidR="00412CF6" w:rsidRPr="00E332D8">
        <w:rPr>
          <w:rFonts w:ascii="Times New Roman" w:hAnsi="Times New Roman" w:cs="Times New Roman"/>
          <w:sz w:val="24"/>
          <w:szCs w:val="24"/>
        </w:rPr>
        <w:t xml:space="preserve">por apresentar uma análise empírica da </w:t>
      </w:r>
      <w:r w:rsidR="00404DB8" w:rsidRPr="00E332D8">
        <w:rPr>
          <w:rFonts w:ascii="Times New Roman" w:hAnsi="Times New Roman" w:cs="Times New Roman"/>
          <w:sz w:val="24"/>
          <w:szCs w:val="24"/>
        </w:rPr>
        <w:t xml:space="preserve">relação de </w:t>
      </w:r>
      <w:r w:rsidR="00412CF6" w:rsidRPr="00E332D8">
        <w:rPr>
          <w:rFonts w:ascii="Times New Roman" w:hAnsi="Times New Roman" w:cs="Times New Roman"/>
          <w:sz w:val="24"/>
          <w:szCs w:val="24"/>
        </w:rPr>
        <w:t>causalidade entre poupança e investimento</w:t>
      </w:r>
      <w:r w:rsidR="00404DB8" w:rsidRPr="00E332D8">
        <w:rPr>
          <w:rFonts w:ascii="Times New Roman" w:hAnsi="Times New Roman" w:cs="Times New Roman"/>
          <w:sz w:val="24"/>
          <w:szCs w:val="24"/>
        </w:rPr>
        <w:t>, no sentido de Granger, uma vez que estudos dessa natureza ainda são escassos para a economia brasileira</w:t>
      </w:r>
      <w:r w:rsidR="002C69AF" w:rsidRPr="00E332D8">
        <w:rPr>
          <w:rFonts w:ascii="Times New Roman" w:hAnsi="Times New Roman" w:cs="Times New Roman"/>
          <w:sz w:val="24"/>
          <w:szCs w:val="24"/>
        </w:rPr>
        <w:t>.</w:t>
      </w:r>
      <w:r w:rsidR="00404DB8" w:rsidRPr="00E332D8">
        <w:rPr>
          <w:rFonts w:ascii="Times New Roman" w:hAnsi="Times New Roman" w:cs="Times New Roman"/>
          <w:sz w:val="24"/>
          <w:szCs w:val="24"/>
        </w:rPr>
        <w:t xml:space="preserve"> </w:t>
      </w:r>
      <w:r w:rsidR="002749EC" w:rsidRPr="00E332D8">
        <w:rPr>
          <w:rFonts w:ascii="Times New Roman" w:hAnsi="Times New Roman" w:cs="Times New Roman"/>
          <w:sz w:val="24"/>
          <w:szCs w:val="24"/>
        </w:rPr>
        <w:t>Os resultados aqui obtidos mostram</w:t>
      </w:r>
      <w:r w:rsidR="00B522BC" w:rsidRPr="00E332D8">
        <w:rPr>
          <w:rFonts w:ascii="Times New Roman" w:hAnsi="Times New Roman" w:cs="Times New Roman"/>
          <w:sz w:val="24"/>
          <w:szCs w:val="24"/>
        </w:rPr>
        <w:t xml:space="preserve"> a existência de uma </w:t>
      </w:r>
      <w:r w:rsidR="002749EC" w:rsidRPr="00E332D8">
        <w:rPr>
          <w:rFonts w:ascii="Times New Roman" w:hAnsi="Times New Roman" w:cs="Times New Roman"/>
          <w:sz w:val="24"/>
          <w:szCs w:val="24"/>
        </w:rPr>
        <w:t xml:space="preserve">relação de </w:t>
      </w:r>
      <w:r w:rsidR="00B522BC" w:rsidRPr="00E332D8">
        <w:rPr>
          <w:rFonts w:ascii="Times New Roman" w:hAnsi="Times New Roman" w:cs="Times New Roman"/>
          <w:sz w:val="24"/>
          <w:szCs w:val="24"/>
        </w:rPr>
        <w:t>bi</w:t>
      </w:r>
      <w:r w:rsidR="00412CF6" w:rsidRPr="00E332D8">
        <w:rPr>
          <w:rFonts w:ascii="Times New Roman" w:hAnsi="Times New Roman" w:cs="Times New Roman"/>
          <w:sz w:val="24"/>
          <w:szCs w:val="24"/>
        </w:rPr>
        <w:t>causalidade</w:t>
      </w:r>
      <w:r w:rsidR="002749EC" w:rsidRPr="00E332D8">
        <w:rPr>
          <w:rFonts w:ascii="Times New Roman" w:hAnsi="Times New Roman" w:cs="Times New Roman"/>
          <w:sz w:val="24"/>
          <w:szCs w:val="24"/>
        </w:rPr>
        <w:t xml:space="preserve"> </w:t>
      </w:r>
      <w:r w:rsidR="002749EC" w:rsidRPr="00FF57F4">
        <w:rPr>
          <w:rFonts w:ascii="Times New Roman" w:hAnsi="Times New Roman" w:cs="Times New Roman"/>
          <w:sz w:val="24"/>
          <w:szCs w:val="24"/>
        </w:rPr>
        <w:t>Granger</w:t>
      </w:r>
      <w:r w:rsidR="00412CF6" w:rsidRPr="00FF57F4">
        <w:rPr>
          <w:rFonts w:ascii="Times New Roman" w:hAnsi="Times New Roman" w:cs="Times New Roman"/>
          <w:sz w:val="24"/>
          <w:szCs w:val="24"/>
        </w:rPr>
        <w:t xml:space="preserve"> entre poupança e investimento.</w:t>
      </w:r>
    </w:p>
    <w:p w:rsidR="00415969" w:rsidRPr="00E332D8" w:rsidRDefault="001A743E" w:rsidP="00415969">
      <w:pPr>
        <w:spacing w:after="0" w:line="360" w:lineRule="auto"/>
        <w:ind w:firstLine="708"/>
        <w:jc w:val="both"/>
        <w:rPr>
          <w:rFonts w:ascii="Times New Roman" w:hAnsi="Times New Roman" w:cs="Times New Roman"/>
          <w:sz w:val="24"/>
          <w:szCs w:val="24"/>
        </w:rPr>
      </w:pPr>
      <w:r w:rsidRPr="00E332D8">
        <w:rPr>
          <w:rFonts w:ascii="Times New Roman" w:hAnsi="Times New Roman" w:cs="Times New Roman"/>
          <w:sz w:val="24"/>
          <w:szCs w:val="24"/>
        </w:rPr>
        <w:t>Os resultados obtidos de um modelo VAR</w:t>
      </w:r>
      <w:r>
        <w:rPr>
          <w:rFonts w:ascii="Times New Roman" w:hAnsi="Times New Roman" w:cs="Times New Roman"/>
          <w:sz w:val="24"/>
          <w:szCs w:val="24"/>
        </w:rPr>
        <w:t xml:space="preserve"> com quebras estruturais</w:t>
      </w:r>
      <w:r w:rsidRPr="00E332D8">
        <w:rPr>
          <w:rFonts w:ascii="Times New Roman" w:hAnsi="Times New Roman" w:cs="Times New Roman"/>
          <w:sz w:val="24"/>
          <w:szCs w:val="24"/>
        </w:rPr>
        <w:t xml:space="preserve"> indicam relação de bicausalidade de Granger, sugerindo </w:t>
      </w:r>
      <w:r>
        <w:rPr>
          <w:rFonts w:ascii="Times New Roman" w:hAnsi="Times New Roman" w:cs="Times New Roman"/>
          <w:sz w:val="24"/>
          <w:szCs w:val="24"/>
        </w:rPr>
        <w:t xml:space="preserve">não apenas </w:t>
      </w:r>
      <w:r w:rsidRPr="00E332D8">
        <w:rPr>
          <w:rFonts w:ascii="Times New Roman" w:hAnsi="Times New Roman" w:cs="Times New Roman"/>
          <w:sz w:val="24"/>
          <w:szCs w:val="24"/>
        </w:rPr>
        <w:t xml:space="preserve">que as decisões de política econômica </w:t>
      </w:r>
      <w:r>
        <w:rPr>
          <w:rFonts w:ascii="Times New Roman" w:hAnsi="Times New Roman" w:cs="Times New Roman"/>
          <w:sz w:val="24"/>
          <w:szCs w:val="24"/>
        </w:rPr>
        <w:t>sobre</w:t>
      </w:r>
      <w:r w:rsidRPr="00E332D8">
        <w:rPr>
          <w:rFonts w:ascii="Times New Roman" w:hAnsi="Times New Roman" w:cs="Times New Roman"/>
          <w:sz w:val="24"/>
          <w:szCs w:val="24"/>
        </w:rPr>
        <w:t xml:space="preserve"> essas duas variáveis devem ser tomadas conjuntamente</w:t>
      </w:r>
      <w:r>
        <w:rPr>
          <w:rFonts w:ascii="Times New Roman" w:hAnsi="Times New Roman" w:cs="Times New Roman"/>
          <w:sz w:val="24"/>
          <w:szCs w:val="24"/>
        </w:rPr>
        <w:t>, como também evidências da validade do enigma de Feldstein-Horioka</w:t>
      </w:r>
      <w:r w:rsidRPr="00E332D8">
        <w:rPr>
          <w:rFonts w:ascii="Times New Roman" w:hAnsi="Times New Roman" w:cs="Times New Roman"/>
          <w:sz w:val="24"/>
          <w:szCs w:val="24"/>
        </w:rPr>
        <w:t>.</w:t>
      </w:r>
      <w:r>
        <w:rPr>
          <w:rFonts w:ascii="Times New Roman" w:hAnsi="Times New Roman" w:cs="Times New Roman"/>
          <w:sz w:val="24"/>
          <w:szCs w:val="24"/>
        </w:rPr>
        <w:t xml:space="preserve"> Além disso, observa-se que a resposta da taxa de poupança a um choque inesperado na taxa de investimento é mais significativa ao longo dos períodos, assim como maior dependência da taxa de poupança em relação à taxa de investimento.</w:t>
      </w:r>
    </w:p>
    <w:p w:rsidR="00FF57F4" w:rsidRDefault="00783DE6" w:rsidP="000D2F90">
      <w:pPr>
        <w:spacing w:after="0" w:line="360" w:lineRule="auto"/>
        <w:ind w:firstLine="708"/>
        <w:jc w:val="both"/>
        <w:rPr>
          <w:rFonts w:ascii="Times New Roman" w:hAnsi="Times New Roman" w:cs="Times New Roman"/>
          <w:sz w:val="24"/>
          <w:szCs w:val="24"/>
        </w:rPr>
      </w:pPr>
      <w:r w:rsidRPr="00E332D8">
        <w:rPr>
          <w:rFonts w:ascii="Times New Roman" w:hAnsi="Times New Roman" w:cs="Times New Roman"/>
          <w:sz w:val="24"/>
          <w:szCs w:val="24"/>
        </w:rPr>
        <w:t xml:space="preserve"> </w:t>
      </w:r>
      <w:r w:rsidR="00412CF6" w:rsidRPr="00FF57F4">
        <w:rPr>
          <w:rFonts w:ascii="Times New Roman" w:hAnsi="Times New Roman" w:cs="Times New Roman"/>
          <w:sz w:val="24"/>
          <w:szCs w:val="24"/>
        </w:rPr>
        <w:t>Este artigo se encontra dividido da seguinte maneira. Além desta in</w:t>
      </w:r>
      <w:r w:rsidR="00FE4276" w:rsidRPr="00FF57F4">
        <w:rPr>
          <w:rFonts w:ascii="Times New Roman" w:hAnsi="Times New Roman" w:cs="Times New Roman"/>
          <w:sz w:val="24"/>
          <w:szCs w:val="24"/>
        </w:rPr>
        <w:t xml:space="preserve">trodução, na próxima seção será apresentada uma revisão de literatura dos modelos recentes </w:t>
      </w:r>
      <w:r w:rsidR="00412CF6" w:rsidRPr="00FF57F4">
        <w:rPr>
          <w:rFonts w:ascii="Times New Roman" w:hAnsi="Times New Roman" w:cs="Times New Roman"/>
          <w:sz w:val="24"/>
          <w:szCs w:val="24"/>
        </w:rPr>
        <w:t xml:space="preserve">sobre o nexo poupança-investimento. A seção 3 </w:t>
      </w:r>
      <w:r w:rsidR="00FE4276" w:rsidRPr="00FF57F4">
        <w:rPr>
          <w:rFonts w:ascii="Times New Roman" w:hAnsi="Times New Roman" w:cs="Times New Roman"/>
          <w:sz w:val="24"/>
          <w:szCs w:val="24"/>
        </w:rPr>
        <w:t xml:space="preserve">trata de </w:t>
      </w:r>
      <w:r>
        <w:rPr>
          <w:rFonts w:ascii="Times New Roman" w:hAnsi="Times New Roman" w:cs="Times New Roman"/>
          <w:sz w:val="24"/>
          <w:szCs w:val="24"/>
        </w:rPr>
        <w:t>estudos associados ao enigma de Feldstein-Horioka</w:t>
      </w:r>
      <w:r w:rsidR="00FE4276" w:rsidRPr="00FF57F4">
        <w:rPr>
          <w:rFonts w:ascii="Times New Roman" w:hAnsi="Times New Roman" w:cs="Times New Roman"/>
          <w:sz w:val="24"/>
          <w:szCs w:val="24"/>
        </w:rPr>
        <w:t xml:space="preserve">. A seção 4 </w:t>
      </w:r>
      <w:r>
        <w:rPr>
          <w:rFonts w:ascii="Times New Roman" w:hAnsi="Times New Roman" w:cs="Times New Roman"/>
          <w:sz w:val="24"/>
          <w:szCs w:val="24"/>
        </w:rPr>
        <w:t xml:space="preserve">trata da metodologia a ser utilizada </w:t>
      </w:r>
      <w:r w:rsidR="00FE4276" w:rsidRPr="00FF57F4">
        <w:rPr>
          <w:rFonts w:ascii="Times New Roman" w:hAnsi="Times New Roman" w:cs="Times New Roman"/>
          <w:sz w:val="24"/>
          <w:szCs w:val="24"/>
        </w:rPr>
        <w:t>e a seção 5</w:t>
      </w:r>
      <w:r w:rsidR="00412CF6" w:rsidRPr="00FF57F4">
        <w:rPr>
          <w:rFonts w:ascii="Times New Roman" w:hAnsi="Times New Roman" w:cs="Times New Roman"/>
          <w:sz w:val="24"/>
          <w:szCs w:val="24"/>
        </w:rPr>
        <w:t xml:space="preserve"> </w:t>
      </w:r>
      <w:r>
        <w:rPr>
          <w:rFonts w:ascii="Times New Roman" w:hAnsi="Times New Roman" w:cs="Times New Roman"/>
          <w:sz w:val="24"/>
          <w:szCs w:val="24"/>
        </w:rPr>
        <w:t xml:space="preserve">descreve </w:t>
      </w:r>
      <w:r w:rsidR="00412CF6" w:rsidRPr="00FF57F4">
        <w:rPr>
          <w:rFonts w:ascii="Times New Roman" w:hAnsi="Times New Roman" w:cs="Times New Roman"/>
          <w:sz w:val="24"/>
          <w:szCs w:val="24"/>
        </w:rPr>
        <w:t>o</w:t>
      </w:r>
      <w:r w:rsidR="00FF57F4" w:rsidRPr="00FF57F4">
        <w:rPr>
          <w:rFonts w:ascii="Times New Roman" w:hAnsi="Times New Roman" w:cs="Times New Roman"/>
          <w:sz w:val="24"/>
          <w:szCs w:val="24"/>
        </w:rPr>
        <w:t>s dados utilizados</w:t>
      </w:r>
      <w:r>
        <w:rPr>
          <w:rFonts w:ascii="Times New Roman" w:hAnsi="Times New Roman" w:cs="Times New Roman"/>
          <w:sz w:val="24"/>
          <w:szCs w:val="24"/>
        </w:rPr>
        <w:t xml:space="preserve"> e o tratamento realizado</w:t>
      </w:r>
      <w:r w:rsidR="00FF57F4" w:rsidRPr="00FF57F4">
        <w:rPr>
          <w:rFonts w:ascii="Times New Roman" w:hAnsi="Times New Roman" w:cs="Times New Roman"/>
          <w:sz w:val="24"/>
          <w:szCs w:val="24"/>
        </w:rPr>
        <w:t>. Já a seção 6</w:t>
      </w:r>
      <w:r w:rsidR="00412CF6" w:rsidRPr="00FF57F4">
        <w:rPr>
          <w:rFonts w:ascii="Times New Roman" w:hAnsi="Times New Roman" w:cs="Times New Roman"/>
          <w:sz w:val="24"/>
          <w:szCs w:val="24"/>
        </w:rPr>
        <w:t xml:space="preserve"> </w:t>
      </w:r>
      <w:r>
        <w:rPr>
          <w:rFonts w:ascii="Times New Roman" w:hAnsi="Times New Roman" w:cs="Times New Roman"/>
          <w:sz w:val="24"/>
          <w:szCs w:val="24"/>
        </w:rPr>
        <w:t>reporta</w:t>
      </w:r>
      <w:r w:rsidR="00412CF6" w:rsidRPr="00FF57F4">
        <w:rPr>
          <w:rFonts w:ascii="Times New Roman" w:hAnsi="Times New Roman" w:cs="Times New Roman"/>
          <w:sz w:val="24"/>
          <w:szCs w:val="24"/>
        </w:rPr>
        <w:t xml:space="preserve"> os resultados </w:t>
      </w:r>
      <w:r w:rsidR="00FF57F4" w:rsidRPr="00FF57F4">
        <w:rPr>
          <w:rFonts w:ascii="Times New Roman" w:hAnsi="Times New Roman" w:cs="Times New Roman"/>
          <w:sz w:val="24"/>
          <w:szCs w:val="24"/>
        </w:rPr>
        <w:t>da estimação</w:t>
      </w:r>
      <w:r>
        <w:rPr>
          <w:rFonts w:ascii="Times New Roman" w:hAnsi="Times New Roman" w:cs="Times New Roman"/>
          <w:sz w:val="24"/>
          <w:szCs w:val="24"/>
        </w:rPr>
        <w:t xml:space="preserve"> econométrica multivariada</w:t>
      </w:r>
      <w:r w:rsidR="00DE3A51">
        <w:rPr>
          <w:rFonts w:ascii="Times New Roman" w:hAnsi="Times New Roman" w:cs="Times New Roman"/>
          <w:sz w:val="24"/>
          <w:szCs w:val="24"/>
        </w:rPr>
        <w:t xml:space="preserve">. </w:t>
      </w:r>
      <w:r w:rsidR="00FF57F4" w:rsidRPr="00FF57F4">
        <w:rPr>
          <w:rFonts w:ascii="Times New Roman" w:hAnsi="Times New Roman" w:cs="Times New Roman"/>
          <w:sz w:val="24"/>
          <w:szCs w:val="24"/>
        </w:rPr>
        <w:t>Por fim, a seção 7</w:t>
      </w:r>
      <w:r w:rsidR="00412CF6" w:rsidRPr="00FF57F4">
        <w:rPr>
          <w:rFonts w:ascii="Times New Roman" w:hAnsi="Times New Roman" w:cs="Times New Roman"/>
          <w:sz w:val="24"/>
          <w:szCs w:val="24"/>
        </w:rPr>
        <w:t xml:space="preserve"> </w:t>
      </w:r>
      <w:r>
        <w:rPr>
          <w:rFonts w:ascii="Times New Roman" w:hAnsi="Times New Roman" w:cs="Times New Roman"/>
          <w:sz w:val="24"/>
          <w:szCs w:val="24"/>
        </w:rPr>
        <w:t>conclui o estudo</w:t>
      </w:r>
      <w:r w:rsidR="00FF57F4" w:rsidRPr="00FF57F4">
        <w:rPr>
          <w:rFonts w:ascii="Times New Roman" w:hAnsi="Times New Roman" w:cs="Times New Roman"/>
          <w:sz w:val="24"/>
          <w:szCs w:val="24"/>
        </w:rPr>
        <w:t>.</w:t>
      </w:r>
    </w:p>
    <w:p w:rsidR="001A3BB2" w:rsidRPr="00FE4276" w:rsidRDefault="00DC14DA" w:rsidP="0023034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2. Revisão de l</w:t>
      </w:r>
      <w:r w:rsidR="001A3BB2" w:rsidRPr="00FE4276">
        <w:rPr>
          <w:rFonts w:ascii="Times New Roman" w:hAnsi="Times New Roman" w:cs="Times New Roman"/>
          <w:b/>
          <w:sz w:val="24"/>
          <w:szCs w:val="24"/>
        </w:rPr>
        <w:t>iteratura</w:t>
      </w:r>
    </w:p>
    <w:p w:rsidR="008C60F3" w:rsidRDefault="008C60F3" w:rsidP="00ED2996">
      <w:pPr>
        <w:spacing w:after="0" w:line="360" w:lineRule="auto"/>
        <w:ind w:firstLine="708"/>
        <w:jc w:val="both"/>
        <w:rPr>
          <w:rFonts w:ascii="Times New Roman" w:hAnsi="Times New Roman" w:cs="Times New Roman"/>
          <w:color w:val="000000" w:themeColor="text1"/>
          <w:sz w:val="24"/>
          <w:szCs w:val="24"/>
        </w:rPr>
      </w:pPr>
    </w:p>
    <w:p w:rsidR="00AD2648" w:rsidRPr="00EB6427" w:rsidRDefault="00ED2996" w:rsidP="00ED2996">
      <w:pPr>
        <w:spacing w:after="0" w:line="360" w:lineRule="auto"/>
        <w:ind w:firstLine="708"/>
        <w:jc w:val="both"/>
        <w:rPr>
          <w:rFonts w:ascii="Times New Roman" w:hAnsi="Times New Roman" w:cs="Times New Roman"/>
          <w:b/>
          <w:sz w:val="24"/>
          <w:szCs w:val="24"/>
        </w:rPr>
      </w:pPr>
      <w:r w:rsidRPr="00EB6427">
        <w:rPr>
          <w:rFonts w:ascii="Times New Roman" w:hAnsi="Times New Roman" w:cs="Times New Roman"/>
          <w:color w:val="000000" w:themeColor="text1"/>
          <w:sz w:val="24"/>
          <w:szCs w:val="24"/>
        </w:rPr>
        <w:t>A relação entre poupança e investimento tem sido muito discutida na literatura devido ao modelo pioneiro de Feldstein e Horioka (1980</w:t>
      </w:r>
      <w:r w:rsidRPr="0021764B">
        <w:rPr>
          <w:rFonts w:ascii="Times New Roman" w:hAnsi="Times New Roman" w:cs="Times New Roman"/>
          <w:color w:val="000000" w:themeColor="text1"/>
          <w:sz w:val="24"/>
          <w:szCs w:val="24"/>
        </w:rPr>
        <w:t>).</w:t>
      </w:r>
      <w:r w:rsidRPr="0021764B">
        <w:rPr>
          <w:rStyle w:val="apple-converted-space"/>
          <w:rFonts w:ascii="Times New Roman" w:hAnsi="Times New Roman" w:cs="Times New Roman"/>
          <w:color w:val="000000" w:themeColor="text1"/>
          <w:sz w:val="24"/>
          <w:szCs w:val="24"/>
        </w:rPr>
        <w:t>  </w:t>
      </w:r>
      <w:r w:rsidR="0021764B" w:rsidRPr="0021764B">
        <w:rPr>
          <w:rFonts w:ascii="Times New Roman" w:hAnsi="Times New Roman" w:cs="Times New Roman"/>
          <w:color w:val="000000" w:themeColor="text1"/>
          <w:sz w:val="24"/>
          <w:szCs w:val="24"/>
        </w:rPr>
        <w:t xml:space="preserve">Alguns estudos recentes buscaram verificar a relação entre poupança e investimento por meio do teste de causalidade de Granger. </w:t>
      </w:r>
      <w:r w:rsidR="00EB6427" w:rsidRPr="00EB6427">
        <w:rPr>
          <w:rFonts w:ascii="Times New Roman" w:hAnsi="Times New Roman" w:cs="Times New Roman"/>
          <w:color w:val="000000" w:themeColor="text1"/>
          <w:sz w:val="24"/>
          <w:szCs w:val="24"/>
          <w:shd w:val="clear" w:color="auto" w:fill="FFFFFF"/>
        </w:rPr>
        <w:t>Anoruo (2001), utilizando-se de um procedimento de cointegração em séries temporais, constatou que o investimento Granger causa a poupança na Indonesia e Singapura no período de 1960 a 1996. Já para as Filipinas, a poupança Granger causa o investimento no mesmo período. Finalmente, para Malásia e Tailândia, foi verificada uma relação de bicausalidade Granger entre poupança e investimento no período indicado.</w:t>
      </w:r>
      <w:r w:rsidR="00EB6427" w:rsidRPr="00EB6427">
        <w:rPr>
          <w:rFonts w:ascii="Times New Roman" w:hAnsi="Times New Roman" w:cs="Times New Roman"/>
          <w:color w:val="000000" w:themeColor="text1"/>
          <w:sz w:val="24"/>
          <w:szCs w:val="24"/>
        </w:rPr>
        <w:t xml:space="preserve"> Para chegar a tais resultados, três procedimentos foram realizados.</w:t>
      </w:r>
      <w:r w:rsidRPr="00EB6427">
        <w:rPr>
          <w:rFonts w:ascii="Times New Roman" w:hAnsi="Times New Roman" w:cs="Times New Roman"/>
          <w:color w:val="000000" w:themeColor="text1"/>
          <w:sz w:val="24"/>
          <w:szCs w:val="24"/>
        </w:rPr>
        <w:t xml:space="preserve"> </w:t>
      </w:r>
      <w:r w:rsidR="00EB6427" w:rsidRPr="00EB6427">
        <w:rPr>
          <w:rFonts w:ascii="Times New Roman" w:hAnsi="Times New Roman" w:cs="Times New Roman"/>
          <w:color w:val="000000" w:themeColor="text1"/>
          <w:sz w:val="24"/>
          <w:szCs w:val="24"/>
        </w:rPr>
        <w:t>Primeiro, testou-se a ordem de integração da poupança e do investimento por meio do teste de Dickey-Fuller (DF) e</w:t>
      </w:r>
      <w:r w:rsidRPr="00EB6427">
        <w:rPr>
          <w:rFonts w:ascii="Times New Roman" w:hAnsi="Times New Roman" w:cs="Times New Roman"/>
          <w:color w:val="000000" w:themeColor="text1"/>
          <w:sz w:val="24"/>
          <w:szCs w:val="24"/>
        </w:rPr>
        <w:t xml:space="preserve"> Dickey-Fuller</w:t>
      </w:r>
      <w:r w:rsidR="00EB6427" w:rsidRPr="00EB6427">
        <w:rPr>
          <w:rFonts w:ascii="Times New Roman" w:hAnsi="Times New Roman" w:cs="Times New Roman"/>
          <w:color w:val="000000" w:themeColor="text1"/>
          <w:sz w:val="24"/>
          <w:szCs w:val="24"/>
        </w:rPr>
        <w:t xml:space="preserve"> aumentado (ADF)</w:t>
      </w:r>
      <w:r w:rsidRPr="00EB6427">
        <w:rPr>
          <w:rFonts w:ascii="Times New Roman" w:hAnsi="Times New Roman" w:cs="Times New Roman"/>
          <w:color w:val="000000" w:themeColor="text1"/>
          <w:sz w:val="24"/>
          <w:szCs w:val="24"/>
        </w:rPr>
        <w:t xml:space="preserve">. </w:t>
      </w:r>
      <w:r w:rsidR="00EB6427" w:rsidRPr="00EB6427">
        <w:rPr>
          <w:rFonts w:ascii="Times New Roman" w:hAnsi="Times New Roman" w:cs="Times New Roman"/>
          <w:color w:val="000000" w:themeColor="text1"/>
          <w:sz w:val="24"/>
          <w:szCs w:val="24"/>
        </w:rPr>
        <w:t xml:space="preserve">Depois, utilizou-se dos testes de cointegração propostos por Johansen </w:t>
      </w:r>
      <w:r w:rsidR="00FE4276">
        <w:rPr>
          <w:rFonts w:ascii="Times New Roman" w:hAnsi="Times New Roman" w:cs="Times New Roman"/>
          <w:color w:val="000000" w:themeColor="text1"/>
          <w:sz w:val="24"/>
          <w:szCs w:val="24"/>
        </w:rPr>
        <w:t>e</w:t>
      </w:r>
      <w:r w:rsidR="00EB6427" w:rsidRPr="00EB6427">
        <w:rPr>
          <w:rFonts w:ascii="Times New Roman" w:hAnsi="Times New Roman" w:cs="Times New Roman"/>
          <w:color w:val="000000" w:themeColor="text1"/>
          <w:sz w:val="24"/>
          <w:szCs w:val="24"/>
        </w:rPr>
        <w:t xml:space="preserve"> Juselius (1990) a fim de verificar a relação de equilíbrio de longo prazo entre poupança e investimento. Por fim, empregou-se o teste de causalidade de Granger para averiguar a direção dessa causalidade</w:t>
      </w:r>
      <w:r w:rsidR="00EB6427" w:rsidRPr="00EB6427">
        <w:rPr>
          <w:rFonts w:ascii="Times New Roman" w:hAnsi="Times New Roman" w:cs="Times New Roman"/>
          <w:color w:val="333333"/>
          <w:sz w:val="24"/>
          <w:szCs w:val="24"/>
        </w:rPr>
        <w:t>.</w:t>
      </w:r>
    </w:p>
    <w:p w:rsidR="0080168A" w:rsidRPr="00F92685" w:rsidRDefault="007D186C" w:rsidP="00F92685">
      <w:pPr>
        <w:spacing w:after="0" w:line="360" w:lineRule="auto"/>
        <w:ind w:firstLine="708"/>
        <w:jc w:val="both"/>
        <w:rPr>
          <w:rFonts w:ascii="Times New Roman" w:hAnsi="Times New Roman" w:cs="Times New Roman"/>
          <w:sz w:val="24"/>
          <w:szCs w:val="24"/>
          <w:shd w:val="clear" w:color="auto" w:fill="FFFFFF"/>
        </w:rPr>
      </w:pPr>
      <w:r w:rsidRPr="00A06B49">
        <w:rPr>
          <w:rFonts w:ascii="Times New Roman" w:hAnsi="Times New Roman" w:cs="Times New Roman"/>
          <w:sz w:val="24"/>
          <w:szCs w:val="24"/>
        </w:rPr>
        <w:t>Sinha (2002)</w:t>
      </w:r>
      <w:r w:rsidR="0021764B" w:rsidRPr="00A06B49">
        <w:rPr>
          <w:rFonts w:ascii="Times New Roman" w:hAnsi="Times New Roman" w:cs="Times New Roman"/>
          <w:sz w:val="24"/>
          <w:szCs w:val="24"/>
        </w:rPr>
        <w:t>, por sua vez, faze</w:t>
      </w:r>
      <w:r w:rsidR="00F92685" w:rsidRPr="00A06B49">
        <w:rPr>
          <w:rFonts w:ascii="Times New Roman" w:hAnsi="Times New Roman" w:cs="Times New Roman"/>
          <w:sz w:val="24"/>
          <w:szCs w:val="24"/>
        </w:rPr>
        <w:t>ndo uso de um modelo de cointegração,</w:t>
      </w:r>
      <w:r w:rsidR="00CB6DB1" w:rsidRPr="00A06B49">
        <w:rPr>
          <w:rFonts w:ascii="Times New Roman" w:hAnsi="Times New Roman" w:cs="Times New Roman"/>
          <w:sz w:val="24"/>
          <w:szCs w:val="24"/>
        </w:rPr>
        <w:t xml:space="preserve"> identificou que o crescimento da poupança Granger causa o crescimento do investimento no Japão, Malásia, Singapura, Sri Lanka e Tailândia</w:t>
      </w:r>
      <w:r w:rsidR="0080168A" w:rsidRPr="00A06B49">
        <w:rPr>
          <w:rFonts w:ascii="Times New Roman" w:hAnsi="Times New Roman" w:cs="Times New Roman"/>
          <w:sz w:val="24"/>
          <w:szCs w:val="24"/>
        </w:rPr>
        <w:t xml:space="preserve"> no período </w:t>
      </w:r>
      <w:r w:rsidR="00F92685" w:rsidRPr="00A06B49">
        <w:rPr>
          <w:rFonts w:ascii="Times New Roman" w:hAnsi="Times New Roman" w:cs="Times New Roman"/>
          <w:sz w:val="24"/>
          <w:szCs w:val="24"/>
        </w:rPr>
        <w:t>1961 a 1996. Entretanto, causalidade reversa foi verificada para Japão, Hong Kong, Índia, Malasia, Myanmar e Singapura. Para tanto, utilizou</w:t>
      </w:r>
      <w:r w:rsidR="00F92685">
        <w:rPr>
          <w:rFonts w:ascii="Times New Roman" w:hAnsi="Times New Roman" w:cs="Times New Roman"/>
          <w:sz w:val="24"/>
          <w:szCs w:val="24"/>
          <w:shd w:val="clear" w:color="auto" w:fill="FFFFFF"/>
        </w:rPr>
        <w:t xml:space="preserve"> o teste de </w:t>
      </w:r>
      <w:r w:rsidR="00F92685" w:rsidRPr="00EB6427">
        <w:rPr>
          <w:rFonts w:ascii="Times New Roman" w:hAnsi="Times New Roman" w:cs="Times New Roman"/>
          <w:color w:val="000000" w:themeColor="text1"/>
          <w:sz w:val="24"/>
          <w:szCs w:val="24"/>
        </w:rPr>
        <w:t>Dickey-Fuller aumentado (ADF)</w:t>
      </w:r>
      <w:r w:rsidR="00F92685">
        <w:rPr>
          <w:rFonts w:ascii="Times New Roman" w:hAnsi="Times New Roman" w:cs="Times New Roman"/>
          <w:color w:val="000000" w:themeColor="text1"/>
          <w:sz w:val="24"/>
          <w:szCs w:val="24"/>
        </w:rPr>
        <w:t xml:space="preserve"> e o teste de </w:t>
      </w:r>
      <w:r w:rsidR="00F92685" w:rsidRPr="00F92685">
        <w:rPr>
          <w:rFonts w:ascii="Times New Roman" w:hAnsi="Times New Roman" w:cs="Times New Roman"/>
          <w:color w:val="000000" w:themeColor="text1"/>
          <w:sz w:val="24"/>
          <w:szCs w:val="24"/>
        </w:rPr>
        <w:t>Phillips-Perron</w:t>
      </w:r>
      <w:r w:rsidR="00F92685">
        <w:rPr>
          <w:rFonts w:ascii="Times New Roman" w:hAnsi="Times New Roman" w:cs="Times New Roman"/>
          <w:color w:val="000000" w:themeColor="text1"/>
          <w:sz w:val="24"/>
          <w:szCs w:val="24"/>
        </w:rPr>
        <w:t xml:space="preserve"> para testar raiz unitária. </w:t>
      </w:r>
      <w:r w:rsidR="00F92685" w:rsidRPr="00F92685">
        <w:rPr>
          <w:rFonts w:ascii="Times New Roman" w:hAnsi="Times New Roman" w:cs="Times New Roman"/>
          <w:color w:val="000000" w:themeColor="text1"/>
          <w:sz w:val="24"/>
          <w:szCs w:val="24"/>
        </w:rPr>
        <w:t>Além disso, constatou</w:t>
      </w:r>
      <w:r w:rsidR="00F92685">
        <w:rPr>
          <w:rFonts w:ascii="Times New Roman" w:hAnsi="Times New Roman" w:cs="Times New Roman"/>
          <w:color w:val="000000" w:themeColor="text1"/>
          <w:sz w:val="24"/>
          <w:szCs w:val="24"/>
        </w:rPr>
        <w:t>-se</w:t>
      </w:r>
      <w:r w:rsidR="00F92685" w:rsidRPr="00F92685">
        <w:rPr>
          <w:rFonts w:ascii="Times New Roman" w:hAnsi="Times New Roman" w:cs="Times New Roman"/>
          <w:color w:val="000000" w:themeColor="text1"/>
          <w:sz w:val="24"/>
          <w:szCs w:val="24"/>
        </w:rPr>
        <w:t>, por meio do modelo multivariado de cointegraç</w:t>
      </w:r>
      <w:r w:rsidR="00F92685">
        <w:rPr>
          <w:rFonts w:ascii="Times New Roman" w:hAnsi="Times New Roman" w:cs="Times New Roman"/>
          <w:color w:val="000000" w:themeColor="text1"/>
          <w:sz w:val="24"/>
          <w:szCs w:val="24"/>
        </w:rPr>
        <w:t>ão de Johansen, que apenas</w:t>
      </w:r>
      <w:r w:rsidR="00F92685" w:rsidRPr="00F92685">
        <w:rPr>
          <w:rFonts w:ascii="Times New Roman" w:hAnsi="Times New Roman" w:cs="Times New Roman"/>
          <w:color w:val="000000" w:themeColor="text1"/>
          <w:sz w:val="24"/>
          <w:szCs w:val="24"/>
        </w:rPr>
        <w:t xml:space="preserve"> Jap</w:t>
      </w:r>
      <w:r w:rsidR="00F92685">
        <w:rPr>
          <w:rFonts w:ascii="Times New Roman" w:hAnsi="Times New Roman" w:cs="Times New Roman"/>
          <w:color w:val="000000" w:themeColor="text1"/>
          <w:sz w:val="24"/>
          <w:szCs w:val="24"/>
        </w:rPr>
        <w:t>ã</w:t>
      </w:r>
      <w:r w:rsidR="00F92685" w:rsidRPr="00F92685">
        <w:rPr>
          <w:rFonts w:ascii="Times New Roman" w:hAnsi="Times New Roman" w:cs="Times New Roman"/>
          <w:color w:val="000000" w:themeColor="text1"/>
          <w:sz w:val="24"/>
          <w:szCs w:val="24"/>
        </w:rPr>
        <w:t>o</w:t>
      </w:r>
      <w:r w:rsidR="00F92685">
        <w:rPr>
          <w:rFonts w:ascii="Times New Roman" w:hAnsi="Times New Roman" w:cs="Times New Roman"/>
          <w:color w:val="000000" w:themeColor="text1"/>
          <w:sz w:val="24"/>
          <w:szCs w:val="24"/>
        </w:rPr>
        <w:t>, Indoné</w:t>
      </w:r>
      <w:r w:rsidR="00F92685" w:rsidRPr="00F92685">
        <w:rPr>
          <w:rFonts w:ascii="Times New Roman" w:hAnsi="Times New Roman" w:cs="Times New Roman"/>
          <w:color w:val="000000" w:themeColor="text1"/>
          <w:sz w:val="24"/>
          <w:szCs w:val="24"/>
        </w:rPr>
        <w:t xml:space="preserve">sia </w:t>
      </w:r>
      <w:r w:rsidR="00F92685">
        <w:rPr>
          <w:rFonts w:ascii="Times New Roman" w:hAnsi="Times New Roman" w:cs="Times New Roman"/>
          <w:color w:val="000000" w:themeColor="text1"/>
          <w:sz w:val="24"/>
          <w:szCs w:val="24"/>
        </w:rPr>
        <w:t>e</w:t>
      </w:r>
      <w:r w:rsidR="00F92685" w:rsidRPr="00F92685">
        <w:rPr>
          <w:rFonts w:ascii="Times New Roman" w:hAnsi="Times New Roman" w:cs="Times New Roman"/>
          <w:color w:val="000000" w:themeColor="text1"/>
          <w:sz w:val="24"/>
          <w:szCs w:val="24"/>
        </w:rPr>
        <w:t xml:space="preserve"> Tailândi</w:t>
      </w:r>
      <w:r w:rsidR="00F92685">
        <w:rPr>
          <w:rFonts w:ascii="Times New Roman" w:hAnsi="Times New Roman" w:cs="Times New Roman"/>
          <w:color w:val="000000" w:themeColor="text1"/>
          <w:sz w:val="24"/>
          <w:szCs w:val="24"/>
        </w:rPr>
        <w:t>a apresentam uma relação de equilíbrio de longa prazo entre poupança e investimento.</w:t>
      </w:r>
    </w:p>
    <w:p w:rsidR="003E0504" w:rsidRPr="00181966" w:rsidRDefault="007D186C" w:rsidP="003E0504">
      <w:pPr>
        <w:spacing w:after="0" w:line="360" w:lineRule="auto"/>
        <w:ind w:firstLine="708"/>
        <w:jc w:val="both"/>
        <w:rPr>
          <w:rFonts w:ascii="Times New Roman" w:hAnsi="Times New Roman" w:cs="Times New Roman"/>
          <w:sz w:val="24"/>
          <w:szCs w:val="24"/>
        </w:rPr>
      </w:pPr>
      <w:r w:rsidRPr="00E332D8">
        <w:rPr>
          <w:rFonts w:ascii="Times New Roman" w:hAnsi="Times New Roman" w:cs="Times New Roman"/>
          <w:sz w:val="24"/>
          <w:szCs w:val="24"/>
        </w:rPr>
        <w:t>Alexious (2004)</w:t>
      </w:r>
      <w:r w:rsidR="00E23014">
        <w:rPr>
          <w:rFonts w:ascii="Times New Roman" w:hAnsi="Times New Roman" w:cs="Times New Roman"/>
          <w:sz w:val="24"/>
          <w:szCs w:val="24"/>
        </w:rPr>
        <w:t xml:space="preserve"> encontrou, por meio do modelo VAR, </w:t>
      </w:r>
      <w:r w:rsidR="00CB6DB1" w:rsidRPr="00E332D8">
        <w:rPr>
          <w:rFonts w:ascii="Times New Roman" w:hAnsi="Times New Roman" w:cs="Times New Roman"/>
          <w:sz w:val="24"/>
          <w:szCs w:val="24"/>
        </w:rPr>
        <w:t>que o investimento Granger causa a poupança privada para cinco países europeus</w:t>
      </w:r>
      <w:r w:rsidR="0080168A" w:rsidRPr="00E332D8">
        <w:rPr>
          <w:rFonts w:ascii="Times New Roman" w:hAnsi="Times New Roman" w:cs="Times New Roman"/>
          <w:sz w:val="24"/>
          <w:szCs w:val="24"/>
        </w:rPr>
        <w:t xml:space="preserve"> </w:t>
      </w:r>
      <w:r w:rsidR="00E23014">
        <w:rPr>
          <w:rFonts w:ascii="Times New Roman" w:hAnsi="Times New Roman" w:cs="Times New Roman"/>
          <w:sz w:val="24"/>
          <w:szCs w:val="24"/>
          <w:shd w:val="clear" w:color="auto" w:fill="FFFFFF"/>
        </w:rPr>
        <w:t xml:space="preserve">no período 1972 a 1998: </w:t>
      </w:r>
      <w:r w:rsidR="00CB6DB1" w:rsidRPr="00E332D8">
        <w:rPr>
          <w:rFonts w:ascii="Times New Roman" w:hAnsi="Times New Roman" w:cs="Times New Roman"/>
          <w:sz w:val="24"/>
          <w:szCs w:val="24"/>
        </w:rPr>
        <w:t xml:space="preserve">França, Inglaterra, Bélgica, Alemanha e Holanda. </w:t>
      </w:r>
      <w:r w:rsidR="003E0504" w:rsidRPr="00E332D8">
        <w:rPr>
          <w:rFonts w:ascii="Times New Roman" w:hAnsi="Times New Roman" w:cs="Times New Roman"/>
          <w:sz w:val="24"/>
          <w:szCs w:val="24"/>
        </w:rPr>
        <w:t xml:space="preserve">Afzal (2007) realizou um estudo empírico </w:t>
      </w:r>
      <w:r w:rsidR="00977EA2">
        <w:rPr>
          <w:rFonts w:ascii="Times New Roman" w:hAnsi="Times New Roman" w:cs="Times New Roman"/>
          <w:sz w:val="24"/>
          <w:szCs w:val="24"/>
        </w:rPr>
        <w:t>para o período de 1960 a 2006</w:t>
      </w:r>
      <w:r w:rsidR="00977EA2" w:rsidRPr="00E332D8">
        <w:rPr>
          <w:rFonts w:ascii="Times New Roman" w:hAnsi="Times New Roman" w:cs="Times New Roman"/>
          <w:sz w:val="24"/>
          <w:szCs w:val="24"/>
        </w:rPr>
        <w:t xml:space="preserve"> </w:t>
      </w:r>
      <w:r w:rsidR="003E0504" w:rsidRPr="00E332D8">
        <w:rPr>
          <w:rFonts w:ascii="Times New Roman" w:hAnsi="Times New Roman" w:cs="Times New Roman"/>
          <w:sz w:val="24"/>
          <w:szCs w:val="24"/>
        </w:rPr>
        <w:t xml:space="preserve">no qual verificou uma relação de bicausalidade Granger entre investimento e poupança para a África do Sul e uma causalidade de Granger unidirecional da poupança para o Paquistão e o Sri </w:t>
      </w:r>
      <w:r w:rsidR="003E0504" w:rsidRPr="00181966">
        <w:rPr>
          <w:rFonts w:ascii="Times New Roman" w:hAnsi="Times New Roman" w:cs="Times New Roman"/>
          <w:sz w:val="24"/>
          <w:szCs w:val="24"/>
        </w:rPr>
        <w:t xml:space="preserve">Lanka. Para Índia, Filipinas, Malásia e Irã não foi verificada nenhuma relação de causalidade, no sentido de precedência temporal. </w:t>
      </w:r>
      <w:r w:rsidR="00091C86" w:rsidRPr="00181966">
        <w:rPr>
          <w:rFonts w:ascii="Times New Roman" w:hAnsi="Times New Roman" w:cs="Times New Roman"/>
          <w:sz w:val="24"/>
          <w:szCs w:val="24"/>
        </w:rPr>
        <w:t xml:space="preserve">Para tanto, foram realizados procedimentos econométricos, tais como testes de </w:t>
      </w:r>
      <w:r w:rsidR="00181966" w:rsidRPr="00181966">
        <w:rPr>
          <w:rFonts w:ascii="Times New Roman" w:hAnsi="Times New Roman" w:cs="Times New Roman"/>
          <w:sz w:val="24"/>
          <w:szCs w:val="24"/>
        </w:rPr>
        <w:t>raiz</w:t>
      </w:r>
      <w:r w:rsidR="00091C86" w:rsidRPr="00181966">
        <w:rPr>
          <w:rFonts w:ascii="Times New Roman" w:hAnsi="Times New Roman" w:cs="Times New Roman"/>
          <w:sz w:val="24"/>
          <w:szCs w:val="24"/>
        </w:rPr>
        <w:t xml:space="preserve"> unitária, teste de cointegração de Johansen e teste de causalidade de Granger. </w:t>
      </w:r>
    </w:p>
    <w:p w:rsidR="00181966" w:rsidRPr="00181966" w:rsidRDefault="00181966" w:rsidP="003E0504">
      <w:pPr>
        <w:spacing w:after="0" w:line="360" w:lineRule="auto"/>
        <w:ind w:firstLine="708"/>
        <w:jc w:val="both"/>
        <w:rPr>
          <w:rFonts w:ascii="Times New Roman" w:hAnsi="Times New Roman" w:cs="Times New Roman"/>
          <w:sz w:val="24"/>
          <w:szCs w:val="24"/>
        </w:rPr>
      </w:pPr>
      <w:r w:rsidRPr="00181966">
        <w:rPr>
          <w:rFonts w:ascii="Times New Roman" w:hAnsi="Times New Roman" w:cs="Times New Roman"/>
          <w:sz w:val="24"/>
          <w:szCs w:val="24"/>
        </w:rPr>
        <w:lastRenderedPageBreak/>
        <w:t>Esso e Keho (2010) testam cointegração e causalidade entre poupança e investimento</w:t>
      </w:r>
      <w:r>
        <w:rPr>
          <w:rFonts w:ascii="Times New Roman" w:hAnsi="Times New Roman" w:cs="Times New Roman"/>
          <w:sz w:val="24"/>
          <w:szCs w:val="24"/>
        </w:rPr>
        <w:t xml:space="preserve"> em dados de séries temporais de países membros da UEMOA (</w:t>
      </w:r>
      <w:r w:rsidRPr="00181966">
        <w:rPr>
          <w:rFonts w:ascii="Times New Roman" w:hAnsi="Times New Roman" w:cs="Times New Roman"/>
          <w:i/>
          <w:sz w:val="24"/>
          <w:szCs w:val="24"/>
        </w:rPr>
        <w:t>West African Economic and Monetary Union</w:t>
      </w:r>
      <w:r>
        <w:rPr>
          <w:rFonts w:ascii="Times New Roman" w:hAnsi="Times New Roman" w:cs="Times New Roman"/>
          <w:sz w:val="24"/>
          <w:szCs w:val="24"/>
        </w:rPr>
        <w:t xml:space="preserve">). Os resultados obtidos indicaram que a poupança doméstica exerce um papel ativo no financiamento do investimento em Benin, Costa do Marfim e Nigéria, sendo caracterizados por imperfeita mobilidade de capitais. Para os demais países, não se constatou relação de causalidade de Granger. </w:t>
      </w:r>
    </w:p>
    <w:p w:rsidR="0080168A" w:rsidRDefault="00CB6DB1" w:rsidP="005125E2">
      <w:pPr>
        <w:spacing w:after="0" w:line="360" w:lineRule="auto"/>
        <w:ind w:firstLine="708"/>
        <w:jc w:val="both"/>
        <w:rPr>
          <w:rFonts w:ascii="Times New Roman" w:hAnsi="Times New Roman" w:cs="Times New Roman"/>
          <w:sz w:val="24"/>
          <w:szCs w:val="24"/>
          <w:shd w:val="clear" w:color="auto" w:fill="FFFFFF"/>
        </w:rPr>
      </w:pPr>
      <w:r w:rsidRPr="00181966">
        <w:rPr>
          <w:rFonts w:ascii="Times New Roman" w:hAnsi="Times New Roman" w:cs="Times New Roman"/>
          <w:sz w:val="24"/>
          <w:szCs w:val="24"/>
        </w:rPr>
        <w:t xml:space="preserve">Já </w:t>
      </w:r>
      <w:r w:rsidR="00B72C03" w:rsidRPr="00181966">
        <w:rPr>
          <w:rFonts w:ascii="Times New Roman" w:hAnsi="Times New Roman" w:cs="Times New Roman"/>
          <w:sz w:val="24"/>
          <w:szCs w:val="24"/>
        </w:rPr>
        <w:t>Onafowara</w:t>
      </w:r>
      <w:r w:rsidRPr="00181966">
        <w:rPr>
          <w:rFonts w:ascii="Times New Roman" w:hAnsi="Times New Roman" w:cs="Times New Roman"/>
          <w:sz w:val="24"/>
          <w:szCs w:val="24"/>
        </w:rPr>
        <w:t xml:space="preserve"> et al. </w:t>
      </w:r>
      <w:r w:rsidR="007D186C" w:rsidRPr="00181966">
        <w:rPr>
          <w:rFonts w:ascii="Times New Roman" w:hAnsi="Times New Roman" w:cs="Times New Roman"/>
          <w:sz w:val="24"/>
          <w:szCs w:val="24"/>
        </w:rPr>
        <w:t>(</w:t>
      </w:r>
      <w:r w:rsidRPr="00181966">
        <w:rPr>
          <w:rFonts w:ascii="Times New Roman" w:hAnsi="Times New Roman" w:cs="Times New Roman"/>
          <w:sz w:val="24"/>
          <w:szCs w:val="24"/>
        </w:rPr>
        <w:t>2011</w:t>
      </w:r>
      <w:r w:rsidR="007D186C" w:rsidRPr="00181966">
        <w:rPr>
          <w:rFonts w:ascii="Times New Roman" w:hAnsi="Times New Roman" w:cs="Times New Roman"/>
          <w:sz w:val="24"/>
          <w:szCs w:val="24"/>
        </w:rPr>
        <w:t>)</w:t>
      </w:r>
      <w:r w:rsidR="00455270" w:rsidRPr="00181966">
        <w:rPr>
          <w:rFonts w:ascii="Times New Roman" w:hAnsi="Times New Roman" w:cs="Times New Roman"/>
          <w:sz w:val="24"/>
          <w:szCs w:val="24"/>
        </w:rPr>
        <w:t>, ao testar cointegração, causalidade</w:t>
      </w:r>
      <w:r w:rsidR="00455270" w:rsidRPr="00455270">
        <w:rPr>
          <w:rFonts w:ascii="Times New Roman" w:hAnsi="Times New Roman" w:cs="Times New Roman"/>
          <w:sz w:val="24"/>
          <w:szCs w:val="24"/>
        </w:rPr>
        <w:t xml:space="preserve"> e os efeitos dinâmicos de choques de poupança e investimento</w:t>
      </w:r>
      <w:r w:rsidR="005E327E">
        <w:rPr>
          <w:rFonts w:ascii="Times New Roman" w:hAnsi="Times New Roman" w:cs="Times New Roman"/>
          <w:sz w:val="24"/>
          <w:szCs w:val="24"/>
        </w:rPr>
        <w:t xml:space="preserve"> usando</w:t>
      </w:r>
      <w:r w:rsidR="009F4EDF">
        <w:rPr>
          <w:rFonts w:ascii="Times New Roman" w:hAnsi="Times New Roman" w:cs="Times New Roman"/>
          <w:sz w:val="24"/>
          <w:szCs w:val="24"/>
        </w:rPr>
        <w:t xml:space="preserve"> um modelo auto-regressivo de defasagens distribuídas</w:t>
      </w:r>
      <w:r w:rsidR="005E327E">
        <w:rPr>
          <w:rFonts w:ascii="Times New Roman" w:hAnsi="Times New Roman" w:cs="Times New Roman"/>
          <w:sz w:val="24"/>
          <w:szCs w:val="24"/>
        </w:rPr>
        <w:t xml:space="preserve"> </w:t>
      </w:r>
      <w:r w:rsidR="009F4EDF">
        <w:rPr>
          <w:rFonts w:ascii="Times New Roman" w:hAnsi="Times New Roman" w:cs="Times New Roman"/>
          <w:sz w:val="24"/>
          <w:szCs w:val="24"/>
        </w:rPr>
        <w:t xml:space="preserve">(autoregressive distributed lag – </w:t>
      </w:r>
      <w:r w:rsidR="00455270" w:rsidRPr="00455270">
        <w:rPr>
          <w:rFonts w:ascii="Times New Roman" w:hAnsi="Times New Roman" w:cs="Times New Roman"/>
          <w:sz w:val="24"/>
          <w:szCs w:val="24"/>
        </w:rPr>
        <w:t>ARDL</w:t>
      </w:r>
      <w:r w:rsidR="009F4EDF">
        <w:rPr>
          <w:rFonts w:ascii="Times New Roman" w:hAnsi="Times New Roman" w:cs="Times New Roman"/>
          <w:sz w:val="24"/>
          <w:szCs w:val="24"/>
        </w:rPr>
        <w:t>)</w:t>
      </w:r>
      <w:r w:rsidR="005E327E">
        <w:rPr>
          <w:rFonts w:ascii="Times New Roman" w:hAnsi="Times New Roman" w:cs="Times New Roman"/>
          <w:sz w:val="24"/>
          <w:szCs w:val="24"/>
        </w:rPr>
        <w:t xml:space="preserve"> e um modelo VAR para decomposição do erro da variância, </w:t>
      </w:r>
      <w:r w:rsidR="00455270" w:rsidRPr="00455270">
        <w:rPr>
          <w:rFonts w:ascii="Times New Roman" w:hAnsi="Times New Roman" w:cs="Times New Roman"/>
          <w:sz w:val="24"/>
          <w:szCs w:val="24"/>
        </w:rPr>
        <w:t xml:space="preserve"> </w:t>
      </w:r>
      <w:r w:rsidR="00455270">
        <w:rPr>
          <w:rFonts w:ascii="Times New Roman" w:hAnsi="Times New Roman" w:cs="Times New Roman"/>
          <w:sz w:val="24"/>
          <w:szCs w:val="24"/>
        </w:rPr>
        <w:t>verificaram</w:t>
      </w:r>
      <w:r w:rsidRPr="00E332D8">
        <w:rPr>
          <w:rFonts w:ascii="Times New Roman" w:hAnsi="Times New Roman" w:cs="Times New Roman"/>
          <w:sz w:val="24"/>
          <w:szCs w:val="24"/>
        </w:rPr>
        <w:t xml:space="preserve"> uma</w:t>
      </w:r>
      <w:r w:rsidR="0080168A" w:rsidRPr="00E332D8">
        <w:rPr>
          <w:rFonts w:ascii="Times New Roman" w:hAnsi="Times New Roman" w:cs="Times New Roman"/>
          <w:sz w:val="24"/>
          <w:szCs w:val="24"/>
        </w:rPr>
        <w:t xml:space="preserve"> relação de</w:t>
      </w:r>
      <w:r w:rsidRPr="00E332D8">
        <w:rPr>
          <w:rFonts w:ascii="Times New Roman" w:hAnsi="Times New Roman" w:cs="Times New Roman"/>
          <w:sz w:val="24"/>
          <w:szCs w:val="24"/>
        </w:rPr>
        <w:t xml:space="preserve"> bicausalidade </w:t>
      </w:r>
      <w:r w:rsidR="0080168A" w:rsidRPr="00E332D8">
        <w:rPr>
          <w:rFonts w:ascii="Times New Roman" w:hAnsi="Times New Roman" w:cs="Times New Roman"/>
          <w:sz w:val="24"/>
          <w:szCs w:val="24"/>
        </w:rPr>
        <w:t xml:space="preserve">de </w:t>
      </w:r>
      <w:r w:rsidRPr="00E332D8">
        <w:rPr>
          <w:rFonts w:ascii="Times New Roman" w:hAnsi="Times New Roman" w:cs="Times New Roman"/>
          <w:sz w:val="24"/>
          <w:szCs w:val="24"/>
        </w:rPr>
        <w:t>Granger entre poupança e investimento na Bélgica</w:t>
      </w:r>
      <w:r w:rsidR="005125E2">
        <w:rPr>
          <w:rFonts w:ascii="Times New Roman" w:hAnsi="Times New Roman" w:cs="Times New Roman"/>
          <w:sz w:val="24"/>
          <w:szCs w:val="24"/>
        </w:rPr>
        <w:t xml:space="preserve"> e uma </w:t>
      </w:r>
      <w:r w:rsidR="00A574B0">
        <w:rPr>
          <w:rFonts w:ascii="Times New Roman" w:hAnsi="Times New Roman" w:cs="Times New Roman"/>
          <w:sz w:val="24"/>
          <w:szCs w:val="24"/>
        </w:rPr>
        <w:t xml:space="preserve">relação de </w:t>
      </w:r>
      <w:r w:rsidR="005125E2">
        <w:rPr>
          <w:rFonts w:ascii="Times New Roman" w:hAnsi="Times New Roman" w:cs="Times New Roman"/>
          <w:sz w:val="24"/>
          <w:szCs w:val="24"/>
        </w:rPr>
        <w:t xml:space="preserve">causalidade </w:t>
      </w:r>
      <w:r w:rsidR="00A574B0">
        <w:rPr>
          <w:rFonts w:ascii="Times New Roman" w:hAnsi="Times New Roman" w:cs="Times New Roman"/>
          <w:sz w:val="24"/>
          <w:szCs w:val="24"/>
        </w:rPr>
        <w:t xml:space="preserve">de </w:t>
      </w:r>
      <w:r w:rsidR="005125E2">
        <w:rPr>
          <w:rFonts w:ascii="Times New Roman" w:hAnsi="Times New Roman" w:cs="Times New Roman"/>
          <w:sz w:val="24"/>
          <w:szCs w:val="24"/>
        </w:rPr>
        <w:t xml:space="preserve">Granger </w:t>
      </w:r>
      <w:r w:rsidR="00BC6522">
        <w:rPr>
          <w:rFonts w:ascii="Times New Roman" w:hAnsi="Times New Roman" w:cs="Times New Roman"/>
          <w:sz w:val="24"/>
          <w:szCs w:val="24"/>
        </w:rPr>
        <w:t>da</w:t>
      </w:r>
      <w:r w:rsidR="005125E2">
        <w:rPr>
          <w:rFonts w:ascii="Times New Roman" w:hAnsi="Times New Roman" w:cs="Times New Roman"/>
          <w:sz w:val="24"/>
          <w:szCs w:val="24"/>
        </w:rPr>
        <w:t xml:space="preserve"> poupança </w:t>
      </w:r>
      <w:r w:rsidR="00BC6522">
        <w:rPr>
          <w:rFonts w:ascii="Times New Roman" w:hAnsi="Times New Roman" w:cs="Times New Roman"/>
          <w:sz w:val="24"/>
          <w:szCs w:val="24"/>
        </w:rPr>
        <w:t xml:space="preserve">para o </w:t>
      </w:r>
      <w:r w:rsidR="005125E2">
        <w:rPr>
          <w:rFonts w:ascii="Times New Roman" w:hAnsi="Times New Roman" w:cs="Times New Roman"/>
          <w:sz w:val="24"/>
          <w:szCs w:val="24"/>
        </w:rPr>
        <w:t xml:space="preserve">investimento na Dinamarca, Alemanha e Luxemburgo </w:t>
      </w:r>
      <w:r w:rsidR="0080168A" w:rsidRPr="00E332D8">
        <w:rPr>
          <w:rFonts w:ascii="Times New Roman" w:hAnsi="Times New Roman" w:cs="Times New Roman"/>
          <w:sz w:val="24"/>
          <w:szCs w:val="24"/>
          <w:shd w:val="clear" w:color="auto" w:fill="FFFFFF"/>
        </w:rPr>
        <w:t>no</w:t>
      </w:r>
      <w:r w:rsidR="005125E2">
        <w:rPr>
          <w:rFonts w:ascii="Times New Roman" w:hAnsi="Times New Roman" w:cs="Times New Roman"/>
          <w:sz w:val="24"/>
          <w:szCs w:val="24"/>
          <w:shd w:val="clear" w:color="auto" w:fill="FFFFFF"/>
        </w:rPr>
        <w:t xml:space="preserve"> período de</w:t>
      </w:r>
      <w:r w:rsidR="0080168A" w:rsidRPr="00E332D8">
        <w:rPr>
          <w:rFonts w:ascii="Times New Roman" w:hAnsi="Times New Roman" w:cs="Times New Roman"/>
          <w:sz w:val="24"/>
          <w:szCs w:val="24"/>
          <w:shd w:val="clear" w:color="auto" w:fill="FFFFFF"/>
        </w:rPr>
        <w:t xml:space="preserve"> </w:t>
      </w:r>
      <w:r w:rsidR="005E327E" w:rsidRPr="005E327E">
        <w:rPr>
          <w:rFonts w:ascii="Times New Roman" w:hAnsi="Times New Roman" w:cs="Times New Roman"/>
          <w:sz w:val="24"/>
          <w:szCs w:val="24"/>
          <w:shd w:val="clear" w:color="auto" w:fill="FFFFFF"/>
        </w:rPr>
        <w:t xml:space="preserve">1970 </w:t>
      </w:r>
      <w:r w:rsidR="005125E2">
        <w:rPr>
          <w:rFonts w:ascii="Times New Roman" w:hAnsi="Times New Roman" w:cs="Times New Roman"/>
          <w:sz w:val="24"/>
          <w:szCs w:val="24"/>
          <w:shd w:val="clear" w:color="auto" w:fill="FFFFFF"/>
        </w:rPr>
        <w:t>a</w:t>
      </w:r>
      <w:r w:rsidR="005E327E" w:rsidRPr="005E327E">
        <w:rPr>
          <w:rFonts w:ascii="Times New Roman" w:hAnsi="Times New Roman" w:cs="Times New Roman"/>
          <w:sz w:val="24"/>
          <w:szCs w:val="24"/>
          <w:shd w:val="clear" w:color="auto" w:fill="FFFFFF"/>
        </w:rPr>
        <w:t xml:space="preserve"> 2008.</w:t>
      </w:r>
    </w:p>
    <w:p w:rsidR="00A06B49" w:rsidRDefault="00A06B49" w:rsidP="005125E2">
      <w:pPr>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Ramakrishna e Rao (2012) investigaram a relação de longo prazo entre poupança e investimento para a Etiópia no período 1981-2009. Os resultados obtidos a partir da estimação de um modelo vetorial autorregressivo (VEC) indicaram a ausência de relação de causalidade de Granger entre poupança e investimento, recomendando uma maior iniciativa entre as políticas fiscal e monetária para assegurar o equilíbrio entre recursos domésticos e financiamento na economia. </w:t>
      </w:r>
    </w:p>
    <w:p w:rsidR="008C60F3" w:rsidRPr="005125E2" w:rsidRDefault="00BC6522" w:rsidP="005125E2">
      <w:pPr>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No caso brasileiro, a literatura é escassa, mas alguns estudos se destacam. Ao aplicar testes de exogeneidade sobre a correlação poupança doméstica e investimento</w:t>
      </w:r>
      <w:r w:rsidR="00E94572">
        <w:rPr>
          <w:rFonts w:ascii="Times New Roman" w:hAnsi="Times New Roman" w:cs="Times New Roman"/>
          <w:sz w:val="24"/>
          <w:szCs w:val="24"/>
          <w:shd w:val="clear" w:color="auto" w:fill="FFFFFF"/>
        </w:rPr>
        <w:t xml:space="preserve"> em dados anuais cobrindo o período 1947 à 1995</w:t>
      </w:r>
      <w:r>
        <w:rPr>
          <w:rFonts w:ascii="Times New Roman" w:hAnsi="Times New Roman" w:cs="Times New Roman"/>
          <w:sz w:val="24"/>
          <w:szCs w:val="24"/>
          <w:shd w:val="clear" w:color="auto" w:fill="FFFFFF"/>
        </w:rPr>
        <w:t xml:space="preserve">, Sachsida (1999) </w:t>
      </w:r>
      <w:r w:rsidR="00F653CA">
        <w:rPr>
          <w:rFonts w:ascii="Times New Roman" w:hAnsi="Times New Roman" w:cs="Times New Roman"/>
          <w:sz w:val="24"/>
          <w:szCs w:val="24"/>
          <w:shd w:val="clear" w:color="auto" w:fill="FFFFFF"/>
        </w:rPr>
        <w:t xml:space="preserve">e Sachsida e Mendonça (2006) </w:t>
      </w:r>
      <w:r>
        <w:rPr>
          <w:rFonts w:ascii="Times New Roman" w:hAnsi="Times New Roman" w:cs="Times New Roman"/>
          <w:sz w:val="24"/>
          <w:szCs w:val="24"/>
          <w:shd w:val="clear" w:color="auto" w:fill="FFFFFF"/>
        </w:rPr>
        <w:t>encontr</w:t>
      </w:r>
      <w:r w:rsidR="00F653CA">
        <w:rPr>
          <w:rFonts w:ascii="Times New Roman" w:hAnsi="Times New Roman" w:cs="Times New Roman"/>
          <w:sz w:val="24"/>
          <w:szCs w:val="24"/>
          <w:shd w:val="clear" w:color="auto" w:fill="FFFFFF"/>
        </w:rPr>
        <w:t>aram</w:t>
      </w:r>
      <w:r>
        <w:rPr>
          <w:rFonts w:ascii="Times New Roman" w:hAnsi="Times New Roman" w:cs="Times New Roman"/>
          <w:sz w:val="24"/>
          <w:szCs w:val="24"/>
          <w:shd w:val="clear" w:color="auto" w:fill="FFFFFF"/>
        </w:rPr>
        <w:t xml:space="preserve"> relação de causalidade de Granger unidirecional da razão investimento/PIB para a razão poupança/PIB, rejeitando-se a presença de exogeneidade forte. </w:t>
      </w:r>
      <w:r w:rsidR="008C60F3">
        <w:rPr>
          <w:rFonts w:ascii="Times New Roman" w:hAnsi="Times New Roman" w:cs="Times New Roman"/>
          <w:sz w:val="24"/>
          <w:szCs w:val="24"/>
          <w:shd w:val="clear" w:color="auto" w:fill="FFFFFF"/>
        </w:rPr>
        <w:t>Silva Jr e Félix (2013) investiga</w:t>
      </w:r>
      <w:r w:rsidR="007D7D21">
        <w:rPr>
          <w:rFonts w:ascii="Times New Roman" w:hAnsi="Times New Roman" w:cs="Times New Roman"/>
          <w:sz w:val="24"/>
          <w:szCs w:val="24"/>
          <w:shd w:val="clear" w:color="auto" w:fill="FFFFFF"/>
        </w:rPr>
        <w:t>ra</w:t>
      </w:r>
      <w:r w:rsidR="008C60F3">
        <w:rPr>
          <w:rFonts w:ascii="Times New Roman" w:hAnsi="Times New Roman" w:cs="Times New Roman"/>
          <w:sz w:val="24"/>
          <w:szCs w:val="24"/>
          <w:shd w:val="clear" w:color="auto" w:fill="FFFFFF"/>
        </w:rPr>
        <w:t>m a relação entre as variáveis poupança e crescimento, assim como poupança e investimento, a partir de um painel balanceado com informações anuais de 18 países latino americanos</w:t>
      </w:r>
      <w:r w:rsidR="007D7D21">
        <w:rPr>
          <w:rFonts w:ascii="Times New Roman" w:hAnsi="Times New Roman" w:cs="Times New Roman"/>
          <w:sz w:val="24"/>
          <w:szCs w:val="24"/>
          <w:shd w:val="clear" w:color="auto" w:fill="FFFFFF"/>
        </w:rPr>
        <w:t>, dentre eles o Brasil, entre o período 1980 e 2009. Os resultados obtidos indicaram relação de bicausalidade de Granger entre poupança e investimento neste grupo de países para o período analisado.</w:t>
      </w:r>
    </w:p>
    <w:p w:rsidR="00762292" w:rsidRPr="005125E2" w:rsidRDefault="00762292" w:rsidP="006A5F90">
      <w:pPr>
        <w:spacing w:after="0" w:line="360" w:lineRule="auto"/>
        <w:jc w:val="both"/>
        <w:rPr>
          <w:rFonts w:ascii="Times New Roman" w:hAnsi="Times New Roman" w:cs="Times New Roman"/>
          <w:sz w:val="24"/>
          <w:szCs w:val="24"/>
        </w:rPr>
      </w:pPr>
    </w:p>
    <w:p w:rsidR="006A5F90" w:rsidRPr="00E332D8" w:rsidRDefault="00DC14DA" w:rsidP="006A5F9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00762292">
        <w:rPr>
          <w:rFonts w:ascii="Times New Roman" w:hAnsi="Times New Roman" w:cs="Times New Roman"/>
          <w:b/>
          <w:sz w:val="24"/>
          <w:szCs w:val="24"/>
        </w:rPr>
        <w:t>O Enigma de Feldstein-Horioka</w:t>
      </w:r>
    </w:p>
    <w:p w:rsidR="006A5F90" w:rsidRPr="00E332D8" w:rsidRDefault="006A5F90" w:rsidP="006A5F90">
      <w:pPr>
        <w:spacing w:after="0" w:line="360" w:lineRule="auto"/>
        <w:jc w:val="both"/>
        <w:rPr>
          <w:rFonts w:ascii="Times New Roman" w:hAnsi="Times New Roman" w:cs="Times New Roman"/>
          <w:sz w:val="24"/>
          <w:szCs w:val="24"/>
        </w:rPr>
      </w:pPr>
    </w:p>
    <w:p w:rsidR="0011269D" w:rsidRPr="00E332D8" w:rsidRDefault="0011269D" w:rsidP="0011269D">
      <w:pPr>
        <w:autoSpaceDE w:val="0"/>
        <w:autoSpaceDN w:val="0"/>
        <w:adjustRightInd w:val="0"/>
        <w:spacing w:after="0" w:line="360" w:lineRule="auto"/>
        <w:ind w:firstLine="708"/>
        <w:jc w:val="both"/>
        <w:rPr>
          <w:rFonts w:ascii="Times New Roman" w:hAnsi="Times New Roman" w:cs="Times New Roman"/>
          <w:sz w:val="24"/>
          <w:szCs w:val="24"/>
        </w:rPr>
      </w:pPr>
      <w:r w:rsidRPr="00E332D8">
        <w:rPr>
          <w:rFonts w:ascii="Times New Roman" w:hAnsi="Times New Roman" w:cs="Times New Roman"/>
          <w:sz w:val="24"/>
          <w:szCs w:val="24"/>
        </w:rPr>
        <w:t xml:space="preserve">Feldstein e Horioka (1980) propuseram como medida do grau de mobilidade de capitais a correlação entre poupança e investimento. Utilizaram, para tanto, uma amostra de 16 países da OCDE. Eles estimaram a seguinte regressão </w:t>
      </w:r>
      <w:r w:rsidRPr="00E332D8">
        <w:rPr>
          <w:rFonts w:ascii="Times New Roman" w:hAnsi="Times New Roman" w:cs="Times New Roman"/>
          <w:i/>
          <w:sz w:val="24"/>
          <w:szCs w:val="24"/>
        </w:rPr>
        <w:t>cross-section</w:t>
      </w:r>
      <w:r w:rsidRPr="00E332D8">
        <w:rPr>
          <w:rFonts w:ascii="Times New Roman" w:hAnsi="Times New Roman" w:cs="Times New Roman"/>
          <w:sz w:val="24"/>
          <w:szCs w:val="24"/>
        </w:rPr>
        <w:t>:</w:t>
      </w:r>
    </w:p>
    <w:p w:rsidR="00F65F76" w:rsidRPr="00DC14DA" w:rsidRDefault="00F3210F" w:rsidP="0011269D">
      <w:pPr>
        <w:autoSpaceDE w:val="0"/>
        <w:autoSpaceDN w:val="0"/>
        <w:adjustRightInd w:val="0"/>
        <w:spacing w:after="0"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d>
                <m:dPr>
                  <m:ctrlPr>
                    <w:rPr>
                      <w:rFonts w:ascii="Cambria Math" w:hAnsi="Cambria Math" w:cs="Times New Roman"/>
                      <w:i/>
                      <w:sz w:val="24"/>
                      <w:szCs w:val="24"/>
                    </w:rPr>
                  </m:ctrlPr>
                </m:dPr>
                <m:e>
                  <m:f>
                    <m:fPr>
                      <m:type m:val="lin"/>
                      <m:ctrlPr>
                        <w:rPr>
                          <w:rFonts w:ascii="Cambria Math" w:hAnsi="Cambria Math" w:cs="Times New Roman"/>
                          <w:i/>
                          <w:sz w:val="24"/>
                          <w:szCs w:val="24"/>
                        </w:rPr>
                      </m:ctrlPr>
                    </m:fPr>
                    <m:num>
                      <m:r>
                        <w:rPr>
                          <w:rFonts w:ascii="Cambria Math" w:hAnsi="Cambria Math" w:cs="Times New Roman"/>
                          <w:sz w:val="24"/>
                          <w:szCs w:val="24"/>
                        </w:rPr>
                        <m:t>I</m:t>
                      </m:r>
                    </m:num>
                    <m:den>
                      <m:r>
                        <w:rPr>
                          <w:rFonts w:ascii="Cambria Math" w:hAnsi="Cambria Math" w:cs="Times New Roman"/>
                          <w:sz w:val="24"/>
                          <w:szCs w:val="24"/>
                        </w:rPr>
                        <m:t>Y</m:t>
                      </m:r>
                    </m:den>
                  </m:f>
                </m:e>
              </m:d>
            </m:e>
            <m:sub>
              <m:r>
                <w:rPr>
                  <w:rFonts w:ascii="Cambria Math" w:hAnsi="Cambria Math" w:cs="Times New Roman"/>
                  <w:sz w:val="24"/>
                  <w:szCs w:val="24"/>
                </w:rPr>
                <m:t>i</m:t>
              </m:r>
            </m:sub>
          </m:sSub>
          <m:r>
            <w:rPr>
              <w:rFonts w:ascii="Cambria Math" w:hAnsi="Cambria Math" w:cs="Times New Roman"/>
              <w:sz w:val="24"/>
              <w:szCs w:val="24"/>
            </w:rPr>
            <m:t>=a+b</m:t>
          </m:r>
          <m:sSub>
            <m:sSubPr>
              <m:ctrlPr>
                <w:rPr>
                  <w:rFonts w:ascii="Cambria Math" w:hAnsi="Cambria Math" w:cs="Times New Roman"/>
                  <w:i/>
                  <w:sz w:val="24"/>
                  <w:szCs w:val="24"/>
                </w:rPr>
              </m:ctrlPr>
            </m:sSubPr>
            <m:e>
              <m:d>
                <m:dPr>
                  <m:ctrlPr>
                    <w:rPr>
                      <w:rFonts w:ascii="Cambria Math" w:hAnsi="Cambria Math" w:cs="Times New Roman"/>
                      <w:i/>
                      <w:sz w:val="24"/>
                      <w:szCs w:val="24"/>
                    </w:rPr>
                  </m:ctrlPr>
                </m:dPr>
                <m:e>
                  <m:f>
                    <m:fPr>
                      <m:type m:val="lin"/>
                      <m:ctrlPr>
                        <w:rPr>
                          <w:rFonts w:ascii="Cambria Math" w:hAnsi="Cambria Math" w:cs="Times New Roman"/>
                          <w:i/>
                          <w:sz w:val="24"/>
                          <w:szCs w:val="24"/>
                        </w:rPr>
                      </m:ctrlPr>
                    </m:fPr>
                    <m:num>
                      <m:r>
                        <w:rPr>
                          <w:rFonts w:ascii="Cambria Math" w:hAnsi="Cambria Math" w:cs="Times New Roman"/>
                          <w:sz w:val="24"/>
                          <w:szCs w:val="24"/>
                        </w:rPr>
                        <m:t>S</m:t>
                      </m:r>
                    </m:num>
                    <m:den>
                      <m:r>
                        <w:rPr>
                          <w:rFonts w:ascii="Cambria Math" w:hAnsi="Cambria Math" w:cs="Times New Roman"/>
                          <w:sz w:val="24"/>
                          <w:szCs w:val="24"/>
                        </w:rPr>
                        <m:t>Y</m:t>
                      </m:r>
                    </m:den>
                  </m:f>
                </m:e>
              </m:d>
            </m:e>
            <m:sub>
              <m:r>
                <w:rPr>
                  <w:rFonts w:ascii="Cambria Math" w:hAnsi="Cambria Math" w:cs="Times New Roman"/>
                  <w:sz w:val="24"/>
                  <w:szCs w:val="24"/>
                </w:rPr>
                <m:t>i</m:t>
              </m:r>
            </m:sub>
          </m:sSub>
          <m:r>
            <w:rPr>
              <w:rFonts w:ascii="Cambria Math" w:hAnsi="Cambria Math" w:cs="Times New Roman"/>
              <w:sz w:val="24"/>
              <w:szCs w:val="24"/>
            </w:rPr>
            <m:t xml:space="preserve">+ε                                                                                                                 </m:t>
          </m:r>
          <m:d>
            <m:dPr>
              <m:ctrlPr>
                <w:rPr>
                  <w:rFonts w:ascii="Cambria Math" w:hAnsi="Cambria Math" w:cs="Times New Roman"/>
                  <w:i/>
                  <w:sz w:val="24"/>
                  <w:szCs w:val="24"/>
                </w:rPr>
              </m:ctrlPr>
            </m:dPr>
            <m:e>
              <m:r>
                <w:rPr>
                  <w:rFonts w:ascii="Cambria Math" w:hAnsi="Cambria Math" w:cs="Times New Roman"/>
                  <w:sz w:val="24"/>
                  <w:szCs w:val="24"/>
                </w:rPr>
                <m:t>1</m:t>
              </m:r>
            </m:e>
          </m:d>
        </m:oMath>
      </m:oMathPara>
    </w:p>
    <w:p w:rsidR="00F65F76" w:rsidRPr="00E332D8" w:rsidRDefault="00F65F76" w:rsidP="0011269D">
      <w:pPr>
        <w:autoSpaceDE w:val="0"/>
        <w:autoSpaceDN w:val="0"/>
        <w:adjustRightInd w:val="0"/>
        <w:spacing w:after="0" w:line="360" w:lineRule="auto"/>
        <w:rPr>
          <w:rFonts w:ascii="Times New Roman" w:hAnsi="Times New Roman" w:cs="Times New Roman"/>
          <w:sz w:val="24"/>
          <w:szCs w:val="24"/>
        </w:rPr>
      </w:pPr>
    </w:p>
    <w:p w:rsidR="0011269D" w:rsidRPr="00E332D8" w:rsidRDefault="0011269D" w:rsidP="0011269D">
      <w:pPr>
        <w:autoSpaceDE w:val="0"/>
        <w:autoSpaceDN w:val="0"/>
        <w:adjustRightInd w:val="0"/>
        <w:spacing w:after="0" w:line="360" w:lineRule="auto"/>
        <w:jc w:val="both"/>
        <w:rPr>
          <w:rFonts w:ascii="Times New Roman" w:hAnsi="Times New Roman" w:cs="Times New Roman"/>
          <w:sz w:val="24"/>
          <w:szCs w:val="24"/>
        </w:rPr>
      </w:pPr>
      <w:r w:rsidRPr="00E332D8">
        <w:rPr>
          <w:rFonts w:ascii="Times New Roman" w:hAnsi="Times New Roman" w:cs="Times New Roman"/>
          <w:sz w:val="24"/>
          <w:szCs w:val="24"/>
        </w:rPr>
        <w:t xml:space="preserve">onde </w:t>
      </w:r>
      <m:oMath>
        <m:d>
          <m:dPr>
            <m:ctrlPr>
              <w:rPr>
                <w:rFonts w:ascii="Cambria Math" w:hAnsi="Cambria Math" w:cs="Times New Roman"/>
                <w:i/>
                <w:sz w:val="24"/>
                <w:szCs w:val="24"/>
              </w:rPr>
            </m:ctrlPr>
          </m:dPr>
          <m:e>
            <m:f>
              <m:fPr>
                <m:type m:val="lin"/>
                <m:ctrlPr>
                  <w:rPr>
                    <w:rFonts w:ascii="Cambria Math" w:hAnsi="Cambria Math" w:cs="Times New Roman"/>
                    <w:i/>
                    <w:sz w:val="24"/>
                    <w:szCs w:val="24"/>
                  </w:rPr>
                </m:ctrlPr>
              </m:fPr>
              <m:num>
                <m:r>
                  <w:rPr>
                    <w:rFonts w:ascii="Cambria Math" w:hAnsi="Cambria Math" w:cs="Times New Roman"/>
                    <w:sz w:val="24"/>
                    <w:szCs w:val="24"/>
                  </w:rPr>
                  <m:t>I</m:t>
                </m:r>
              </m:num>
              <m:den>
                <m:r>
                  <w:rPr>
                    <w:rFonts w:ascii="Cambria Math" w:hAnsi="Cambria Math" w:cs="Times New Roman"/>
                    <w:sz w:val="24"/>
                    <w:szCs w:val="24"/>
                  </w:rPr>
                  <m:t>Y</m:t>
                </m:r>
              </m:den>
            </m:f>
          </m:e>
        </m:d>
      </m:oMath>
      <w:r w:rsidRPr="00E332D8">
        <w:rPr>
          <w:rFonts w:ascii="Times New Roman" w:hAnsi="Times New Roman" w:cs="Times New Roman"/>
          <w:sz w:val="24"/>
          <w:szCs w:val="24"/>
        </w:rPr>
        <w:t xml:space="preserve"> é a razão entre o investimento doméstico bruto e o produto nacional e </w:t>
      </w:r>
      <m:oMath>
        <m:d>
          <m:dPr>
            <m:ctrlPr>
              <w:rPr>
                <w:rFonts w:ascii="Cambria Math" w:hAnsi="Cambria Math" w:cs="Times New Roman"/>
                <w:i/>
                <w:sz w:val="24"/>
                <w:szCs w:val="24"/>
              </w:rPr>
            </m:ctrlPr>
          </m:dPr>
          <m:e>
            <m:f>
              <m:fPr>
                <m:type m:val="lin"/>
                <m:ctrlPr>
                  <w:rPr>
                    <w:rFonts w:ascii="Cambria Math" w:hAnsi="Cambria Math" w:cs="Times New Roman"/>
                    <w:i/>
                    <w:sz w:val="24"/>
                    <w:szCs w:val="24"/>
                  </w:rPr>
                </m:ctrlPr>
              </m:fPr>
              <m:num>
                <m:r>
                  <w:rPr>
                    <w:rFonts w:ascii="Cambria Math" w:hAnsi="Cambria Math" w:cs="Times New Roman"/>
                    <w:sz w:val="24"/>
                    <w:szCs w:val="24"/>
                  </w:rPr>
                  <m:t>S</m:t>
                </m:r>
              </m:num>
              <m:den>
                <m:r>
                  <w:rPr>
                    <w:rFonts w:ascii="Cambria Math" w:hAnsi="Cambria Math" w:cs="Times New Roman"/>
                    <w:sz w:val="24"/>
                    <w:szCs w:val="24"/>
                  </w:rPr>
                  <m:t>Y</m:t>
                </m:r>
              </m:den>
            </m:f>
          </m:e>
        </m:d>
      </m:oMath>
      <w:r w:rsidRPr="00E332D8">
        <w:rPr>
          <w:rFonts w:ascii="Times New Roman" w:hAnsi="Times New Roman" w:cs="Times New Roman"/>
          <w:sz w:val="24"/>
          <w:szCs w:val="24"/>
        </w:rPr>
        <w:t xml:space="preserve"> é a razão entre a poupança doméstica bruta e o produto nacional. Já</w:t>
      </w:r>
      <w:r w:rsidRPr="00E332D8">
        <w:rPr>
          <w:rFonts w:ascii="Times New Roman" w:hAnsi="Times New Roman" w:cs="Times New Roman"/>
          <w:i/>
          <w:sz w:val="24"/>
          <w:szCs w:val="24"/>
        </w:rPr>
        <w:t xml:space="preserve"> i</w:t>
      </w:r>
      <w:r w:rsidRPr="00E332D8">
        <w:rPr>
          <w:rFonts w:ascii="Times New Roman" w:hAnsi="Times New Roman" w:cs="Times New Roman"/>
          <w:sz w:val="24"/>
          <w:szCs w:val="24"/>
        </w:rPr>
        <w:t xml:space="preserve"> é um índice de país, </w:t>
      </w:r>
      <w:r w:rsidRPr="00E332D8">
        <w:rPr>
          <w:rFonts w:ascii="Times New Roman" w:hAnsi="Times New Roman" w:cs="Times New Roman"/>
          <w:i/>
          <w:sz w:val="24"/>
          <w:szCs w:val="24"/>
        </w:rPr>
        <w:t>a</w:t>
      </w:r>
      <w:r w:rsidRPr="00E332D8">
        <w:rPr>
          <w:rFonts w:ascii="Times New Roman" w:hAnsi="Times New Roman" w:cs="Times New Roman"/>
          <w:sz w:val="24"/>
          <w:szCs w:val="24"/>
        </w:rPr>
        <w:t xml:space="preserve"> e </w:t>
      </w:r>
      <w:r w:rsidRPr="00E332D8">
        <w:rPr>
          <w:rFonts w:ascii="Times New Roman" w:hAnsi="Times New Roman" w:cs="Times New Roman"/>
          <w:i/>
          <w:sz w:val="24"/>
          <w:szCs w:val="24"/>
        </w:rPr>
        <w:t>b</w:t>
      </w:r>
      <w:r w:rsidRPr="00E332D8">
        <w:rPr>
          <w:rFonts w:ascii="Times New Roman" w:hAnsi="Times New Roman" w:cs="Times New Roman"/>
          <w:sz w:val="24"/>
          <w:szCs w:val="24"/>
        </w:rPr>
        <w:t xml:space="preserve"> representam parâmetros a serem estimados e </w:t>
      </w:r>
      <w:r w:rsidRPr="00E332D8">
        <w:rPr>
          <w:rFonts w:ascii="Times New Roman" w:hAnsi="Times New Roman" w:cs="Times New Roman"/>
          <w:i/>
          <w:sz w:val="24"/>
          <w:szCs w:val="24"/>
        </w:rPr>
        <w:t>u</w:t>
      </w:r>
      <w:r w:rsidRPr="00E332D8">
        <w:rPr>
          <w:rFonts w:ascii="Times New Roman" w:hAnsi="Times New Roman" w:cs="Times New Roman"/>
          <w:sz w:val="24"/>
          <w:szCs w:val="24"/>
        </w:rPr>
        <w:t xml:space="preserve"> é o termo de erro. </w:t>
      </w:r>
    </w:p>
    <w:p w:rsidR="0011269D" w:rsidRDefault="00786ABB" w:rsidP="0011269D">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hipótese nula do modelo é que em uma situação de perfeita mobilidade de capital </w:t>
      </w:r>
      <w:r w:rsidRPr="00786ABB">
        <w:rPr>
          <w:rFonts w:ascii="Times New Roman" w:hAnsi="Times New Roman" w:cs="Times New Roman"/>
          <w:i/>
          <w:sz w:val="24"/>
          <w:szCs w:val="24"/>
        </w:rPr>
        <w:t>b</w:t>
      </w:r>
      <w:r>
        <w:rPr>
          <w:rFonts w:ascii="Times New Roman" w:hAnsi="Times New Roman" w:cs="Times New Roman"/>
          <w:sz w:val="24"/>
          <w:szCs w:val="24"/>
        </w:rPr>
        <w:t xml:space="preserve"> deve ser igual a zero. O parâmetro </w:t>
      </w:r>
      <w:r w:rsidRPr="00786ABB">
        <w:rPr>
          <w:rFonts w:ascii="Times New Roman" w:hAnsi="Times New Roman" w:cs="Times New Roman"/>
          <w:i/>
          <w:sz w:val="24"/>
          <w:szCs w:val="24"/>
        </w:rPr>
        <w:t>b</w:t>
      </w:r>
      <w:r>
        <w:rPr>
          <w:rFonts w:ascii="Times New Roman" w:hAnsi="Times New Roman" w:cs="Times New Roman"/>
          <w:sz w:val="24"/>
          <w:szCs w:val="24"/>
        </w:rPr>
        <w:t xml:space="preserve"> é chamado de coeficiente de retenção de poupança, servindo como indicador do nível de mobilidade de capital internacional. </w:t>
      </w:r>
      <w:r w:rsidR="0011269D" w:rsidRPr="00E332D8">
        <w:rPr>
          <w:rFonts w:ascii="Times New Roman" w:hAnsi="Times New Roman" w:cs="Times New Roman"/>
          <w:sz w:val="24"/>
          <w:szCs w:val="24"/>
        </w:rPr>
        <w:t xml:space="preserve">Feldstein e Horioka (1980) obtiveram uma estimativa para </w:t>
      </w:r>
      <w:r w:rsidR="0011269D" w:rsidRPr="00E332D8">
        <w:rPr>
          <w:rFonts w:ascii="Times New Roman" w:hAnsi="Times New Roman" w:cs="Times New Roman"/>
          <w:i/>
          <w:sz w:val="24"/>
          <w:szCs w:val="24"/>
        </w:rPr>
        <w:t>b</w:t>
      </w:r>
      <w:r w:rsidR="0011269D" w:rsidRPr="00E332D8">
        <w:rPr>
          <w:rFonts w:ascii="Times New Roman" w:hAnsi="Times New Roman" w:cs="Times New Roman"/>
          <w:sz w:val="24"/>
          <w:szCs w:val="24"/>
        </w:rPr>
        <w:t xml:space="preserve"> de 0,89, o que foi interpretado como indicação de que havia um baixo grau de mobilidade de capitais entre os países industrializados, contrariando o senso comum de que esses países tinham poucas restrições ao movimento de capitais. Além disso, obtiveram como evidência que poupança e investimento eram altamente correlacionados. A correlação estimada era, ainda, extremamente estável ao longo do tempo, a despeito da crença de que a mobilidade de capitais teria aumentado depois de meados dos anos </w:t>
      </w:r>
      <w:r w:rsidR="005E5C38">
        <w:rPr>
          <w:rFonts w:ascii="Times New Roman" w:hAnsi="Times New Roman" w:cs="Times New Roman"/>
          <w:sz w:val="24"/>
          <w:szCs w:val="24"/>
        </w:rPr>
        <w:t>19</w:t>
      </w:r>
      <w:r w:rsidR="0011269D" w:rsidRPr="00E332D8">
        <w:rPr>
          <w:rFonts w:ascii="Times New Roman" w:hAnsi="Times New Roman" w:cs="Times New Roman"/>
          <w:sz w:val="24"/>
          <w:szCs w:val="24"/>
        </w:rPr>
        <w:t xml:space="preserve">70. </w:t>
      </w:r>
    </w:p>
    <w:p w:rsidR="00C36F2D" w:rsidRPr="00E332D8" w:rsidRDefault="00C36F2D" w:rsidP="0011269D">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Já Bayoumi (1990) argumenta que a correlação poupança-investimento pode indicar que o governo utiliza as políticas fiscal e monetária para afetar o saldo em conta corrente do balanço de pagamentos.</w:t>
      </w:r>
    </w:p>
    <w:p w:rsidR="0011269D" w:rsidRPr="00E332D8" w:rsidRDefault="0011269D" w:rsidP="0011269D">
      <w:pPr>
        <w:autoSpaceDE w:val="0"/>
        <w:autoSpaceDN w:val="0"/>
        <w:adjustRightInd w:val="0"/>
        <w:spacing w:after="0" w:line="360" w:lineRule="auto"/>
        <w:ind w:firstLine="708"/>
        <w:jc w:val="both"/>
        <w:rPr>
          <w:rFonts w:ascii="Times New Roman" w:hAnsi="Times New Roman" w:cs="Times New Roman"/>
          <w:sz w:val="24"/>
          <w:szCs w:val="24"/>
        </w:rPr>
      </w:pPr>
      <w:r w:rsidRPr="00E332D8">
        <w:rPr>
          <w:rFonts w:ascii="Times New Roman" w:hAnsi="Times New Roman" w:cs="Times New Roman"/>
          <w:sz w:val="24"/>
          <w:szCs w:val="24"/>
          <w:lang w:val="en-US"/>
        </w:rPr>
        <w:t>Murphy (1984), Obstfeld (1986</w:t>
      </w:r>
      <w:r w:rsidR="005125E2">
        <w:rPr>
          <w:rFonts w:ascii="Times New Roman" w:hAnsi="Times New Roman" w:cs="Times New Roman"/>
          <w:sz w:val="24"/>
          <w:szCs w:val="24"/>
          <w:lang w:val="en-US"/>
        </w:rPr>
        <w:t>)</w:t>
      </w:r>
      <w:r w:rsidRPr="00E332D8">
        <w:rPr>
          <w:rFonts w:ascii="Times New Roman" w:hAnsi="Times New Roman" w:cs="Times New Roman"/>
          <w:sz w:val="24"/>
          <w:szCs w:val="24"/>
          <w:lang w:val="en-US"/>
        </w:rPr>
        <w:t xml:space="preserve"> Dooley et al. </w:t>
      </w:r>
      <w:r w:rsidRPr="00E332D8">
        <w:rPr>
          <w:rFonts w:ascii="Times New Roman" w:hAnsi="Times New Roman" w:cs="Times New Roman"/>
          <w:sz w:val="24"/>
          <w:szCs w:val="24"/>
        </w:rPr>
        <w:t>(1987) e Wong (1990</w:t>
      </w:r>
      <w:r w:rsidR="005125E2">
        <w:rPr>
          <w:rFonts w:ascii="Times New Roman" w:hAnsi="Times New Roman" w:cs="Times New Roman"/>
          <w:sz w:val="24"/>
          <w:szCs w:val="24"/>
        </w:rPr>
        <w:t xml:space="preserve">) </w:t>
      </w:r>
      <w:r w:rsidRPr="00E332D8">
        <w:rPr>
          <w:rFonts w:ascii="Times New Roman" w:hAnsi="Times New Roman" w:cs="Times New Roman"/>
          <w:sz w:val="24"/>
          <w:szCs w:val="24"/>
        </w:rPr>
        <w:t xml:space="preserve">também verificaram uma associação alta entre poupança e investimento para países industrializados menores e para países em desenvolvimento, embora as correlações estimadas fossem na média mais baixas. Contudo, as correlações estimadas eram também menores no período anterior a meados dos anos </w:t>
      </w:r>
      <w:r w:rsidR="006A5F90" w:rsidRPr="00E332D8">
        <w:rPr>
          <w:rFonts w:ascii="Times New Roman" w:hAnsi="Times New Roman" w:cs="Times New Roman"/>
          <w:sz w:val="24"/>
          <w:szCs w:val="24"/>
        </w:rPr>
        <w:t>19</w:t>
      </w:r>
      <w:r w:rsidRPr="00E332D8">
        <w:rPr>
          <w:rFonts w:ascii="Times New Roman" w:hAnsi="Times New Roman" w:cs="Times New Roman"/>
          <w:sz w:val="24"/>
          <w:szCs w:val="24"/>
        </w:rPr>
        <w:t>70, quando comparadas ao período posterior. A regularidade dos resultados fez com que a correlação poupança-investimento de Feldstein e Horioka se tornasse um dos mais importantes “puzzles” da macroeconomia internacional (</w:t>
      </w:r>
      <w:r w:rsidR="006A5F90" w:rsidRPr="00E332D8">
        <w:rPr>
          <w:rFonts w:ascii="Times New Roman" w:hAnsi="Times New Roman" w:cs="Times New Roman"/>
          <w:sz w:val="24"/>
          <w:szCs w:val="24"/>
        </w:rPr>
        <w:t xml:space="preserve">OBSTFELD e ROGOFF, </w:t>
      </w:r>
      <w:r w:rsidRPr="00E332D8">
        <w:rPr>
          <w:rFonts w:ascii="Times New Roman" w:hAnsi="Times New Roman" w:cs="Times New Roman"/>
          <w:sz w:val="24"/>
          <w:szCs w:val="24"/>
        </w:rPr>
        <w:t>2000</w:t>
      </w:r>
      <w:r w:rsidR="00AC7054">
        <w:rPr>
          <w:rFonts w:ascii="Times New Roman" w:hAnsi="Times New Roman" w:cs="Times New Roman"/>
          <w:sz w:val="24"/>
          <w:szCs w:val="24"/>
        </w:rPr>
        <w:t xml:space="preserve">). </w:t>
      </w:r>
      <w:r w:rsidRPr="00E332D8">
        <w:rPr>
          <w:rFonts w:ascii="Times New Roman" w:hAnsi="Times New Roman" w:cs="Times New Roman"/>
          <w:sz w:val="24"/>
          <w:szCs w:val="24"/>
        </w:rPr>
        <w:t xml:space="preserve">De fato, </w:t>
      </w:r>
      <w:r w:rsidRPr="00E332D8">
        <w:rPr>
          <w:rFonts w:ascii="Times New Roman" w:eastAsia="Times New Roman" w:hAnsi="Times New Roman" w:cs="Times New Roman"/>
          <w:sz w:val="24"/>
          <w:szCs w:val="24"/>
        </w:rPr>
        <w:t>Apergis e Tsoumas (2009</w:t>
      </w:r>
      <w:r w:rsidR="00AC7054">
        <w:rPr>
          <w:rFonts w:ascii="Times New Roman" w:eastAsia="Times New Roman" w:hAnsi="Times New Roman" w:cs="Times New Roman"/>
          <w:sz w:val="24"/>
          <w:szCs w:val="24"/>
        </w:rPr>
        <w:t xml:space="preserve">) </w:t>
      </w:r>
      <w:r w:rsidRPr="00E332D8">
        <w:rPr>
          <w:rFonts w:ascii="Times New Roman" w:hAnsi="Times New Roman" w:cs="Times New Roman"/>
          <w:sz w:val="24"/>
          <w:szCs w:val="24"/>
        </w:rPr>
        <w:t>verificaram que a maior parte da literatura encontrou uma forte correlação entre investimento e poupança, porém não foi capaz de validar a hipótese de mobilidade de capital.</w:t>
      </w:r>
    </w:p>
    <w:p w:rsidR="0011269D" w:rsidRPr="00E332D8" w:rsidRDefault="0011269D" w:rsidP="0011269D">
      <w:pPr>
        <w:autoSpaceDE w:val="0"/>
        <w:autoSpaceDN w:val="0"/>
        <w:adjustRightInd w:val="0"/>
        <w:spacing w:after="0" w:line="360" w:lineRule="auto"/>
        <w:ind w:firstLine="708"/>
        <w:jc w:val="both"/>
        <w:rPr>
          <w:rFonts w:ascii="Times New Roman" w:hAnsi="Times New Roman" w:cs="Times New Roman"/>
          <w:sz w:val="24"/>
          <w:szCs w:val="24"/>
        </w:rPr>
      </w:pPr>
      <w:r w:rsidRPr="00E332D8">
        <w:rPr>
          <w:rFonts w:ascii="Times New Roman" w:hAnsi="Times New Roman" w:cs="Times New Roman"/>
          <w:sz w:val="24"/>
          <w:szCs w:val="24"/>
        </w:rPr>
        <w:t>Originalmente as regressões baseadas na equação (1) usaram médias de longo prazo das razões poupança e investimento para um conjunto de países. O argumento era de que, dado que I/Y e S/Y são pro</w:t>
      </w:r>
      <w:r w:rsidR="00762292">
        <w:rPr>
          <w:rFonts w:ascii="Times New Roman" w:hAnsi="Times New Roman" w:cs="Times New Roman"/>
          <w:sz w:val="24"/>
          <w:szCs w:val="24"/>
        </w:rPr>
        <w:t>-</w:t>
      </w:r>
      <w:r w:rsidRPr="00E332D8">
        <w:rPr>
          <w:rFonts w:ascii="Times New Roman" w:hAnsi="Times New Roman" w:cs="Times New Roman"/>
          <w:sz w:val="24"/>
          <w:szCs w:val="24"/>
        </w:rPr>
        <w:t xml:space="preserve">cíclicos, o uso de dados anuais implicaria um viés para cima no coeficiente </w:t>
      </w:r>
      <w:r w:rsidRPr="00E332D8">
        <w:rPr>
          <w:rFonts w:ascii="Times New Roman" w:hAnsi="Times New Roman" w:cs="Times New Roman"/>
          <w:i/>
          <w:sz w:val="24"/>
          <w:szCs w:val="24"/>
        </w:rPr>
        <w:t>b</w:t>
      </w:r>
      <w:r w:rsidRPr="00E332D8">
        <w:rPr>
          <w:rFonts w:ascii="Times New Roman" w:hAnsi="Times New Roman" w:cs="Times New Roman"/>
          <w:sz w:val="24"/>
          <w:szCs w:val="24"/>
        </w:rPr>
        <w:t>. Dados médios, desta forma, eliminariam os efeitos do ciclo econômico (B</w:t>
      </w:r>
      <w:r w:rsidR="006A5F90" w:rsidRPr="00E332D8">
        <w:rPr>
          <w:rFonts w:ascii="Times New Roman" w:hAnsi="Times New Roman" w:cs="Times New Roman"/>
          <w:sz w:val="24"/>
          <w:szCs w:val="24"/>
        </w:rPr>
        <w:t>AYOUMI</w:t>
      </w:r>
      <w:r w:rsidRPr="00E332D8">
        <w:rPr>
          <w:rFonts w:ascii="Times New Roman" w:hAnsi="Times New Roman" w:cs="Times New Roman"/>
          <w:sz w:val="24"/>
          <w:szCs w:val="24"/>
        </w:rPr>
        <w:t>, 1990).</w:t>
      </w:r>
      <w:r w:rsidR="00C36F2D">
        <w:rPr>
          <w:rFonts w:ascii="Times New Roman" w:hAnsi="Times New Roman" w:cs="Times New Roman"/>
          <w:sz w:val="24"/>
          <w:szCs w:val="24"/>
        </w:rPr>
        <w:t xml:space="preserve"> </w:t>
      </w:r>
    </w:p>
    <w:p w:rsidR="00C36F2D" w:rsidRDefault="00B21C50" w:rsidP="0011269D">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Diversos estudos </w:t>
      </w:r>
      <w:r w:rsidR="0011269D" w:rsidRPr="00E332D8">
        <w:rPr>
          <w:rFonts w:ascii="Times New Roman" w:hAnsi="Times New Roman" w:cs="Times New Roman"/>
          <w:sz w:val="24"/>
          <w:szCs w:val="24"/>
        </w:rPr>
        <w:t>também fizeram outras modificações ao utilizar-se da equação (1). Tesar (1991</w:t>
      </w:r>
      <w:r w:rsidR="00AC7054">
        <w:rPr>
          <w:rFonts w:ascii="Times New Roman" w:hAnsi="Times New Roman" w:cs="Times New Roman"/>
          <w:sz w:val="24"/>
          <w:szCs w:val="24"/>
        </w:rPr>
        <w:t>) e S</w:t>
      </w:r>
      <w:r w:rsidR="0011269D" w:rsidRPr="00E332D8">
        <w:rPr>
          <w:rFonts w:ascii="Times New Roman" w:hAnsi="Times New Roman" w:cs="Times New Roman"/>
          <w:sz w:val="24"/>
          <w:szCs w:val="24"/>
        </w:rPr>
        <w:t>inn (1992</w:t>
      </w:r>
      <w:r w:rsidR="00AC7054">
        <w:rPr>
          <w:rFonts w:ascii="Times New Roman" w:hAnsi="Times New Roman" w:cs="Times New Roman"/>
          <w:sz w:val="24"/>
          <w:szCs w:val="24"/>
        </w:rPr>
        <w:t xml:space="preserve">) </w:t>
      </w:r>
      <w:r w:rsidR="0011269D" w:rsidRPr="00E332D8">
        <w:rPr>
          <w:rFonts w:ascii="Times New Roman" w:hAnsi="Times New Roman" w:cs="Times New Roman"/>
          <w:sz w:val="24"/>
          <w:szCs w:val="24"/>
        </w:rPr>
        <w:t>usaram variáveis em níveis. Já Feldstein (1983</w:t>
      </w:r>
      <w:r w:rsidR="00AC7054">
        <w:rPr>
          <w:rFonts w:ascii="Times New Roman" w:hAnsi="Times New Roman" w:cs="Times New Roman"/>
          <w:sz w:val="24"/>
          <w:szCs w:val="24"/>
        </w:rPr>
        <w:t>), F</w:t>
      </w:r>
      <w:r w:rsidR="0011269D" w:rsidRPr="00E332D8">
        <w:rPr>
          <w:rFonts w:ascii="Times New Roman" w:hAnsi="Times New Roman" w:cs="Times New Roman"/>
          <w:sz w:val="24"/>
          <w:szCs w:val="24"/>
        </w:rPr>
        <w:t xml:space="preserve">eldstein </w:t>
      </w:r>
      <w:r w:rsidR="006A5F90" w:rsidRPr="00E332D8">
        <w:rPr>
          <w:rFonts w:ascii="Times New Roman" w:hAnsi="Times New Roman" w:cs="Times New Roman"/>
          <w:sz w:val="24"/>
          <w:szCs w:val="24"/>
        </w:rPr>
        <w:t xml:space="preserve">e </w:t>
      </w:r>
      <w:r w:rsidR="0011269D" w:rsidRPr="00E332D8">
        <w:rPr>
          <w:rFonts w:ascii="Times New Roman" w:hAnsi="Times New Roman" w:cs="Times New Roman"/>
          <w:sz w:val="24"/>
          <w:szCs w:val="24"/>
        </w:rPr>
        <w:t>Bachetta (1991</w:t>
      </w:r>
      <w:r w:rsidR="00AC7054">
        <w:rPr>
          <w:rFonts w:ascii="Times New Roman" w:hAnsi="Times New Roman" w:cs="Times New Roman"/>
          <w:sz w:val="24"/>
          <w:szCs w:val="24"/>
        </w:rPr>
        <w:t xml:space="preserve">) </w:t>
      </w:r>
      <w:r w:rsidR="0011269D" w:rsidRPr="00E332D8">
        <w:rPr>
          <w:rFonts w:ascii="Times New Roman" w:hAnsi="Times New Roman" w:cs="Times New Roman"/>
          <w:sz w:val="24"/>
          <w:szCs w:val="24"/>
        </w:rPr>
        <w:t xml:space="preserve"> Bayoumi (1990) estimaram a equação em primeiras diferenças. </w:t>
      </w:r>
    </w:p>
    <w:p w:rsidR="0011269D" w:rsidRPr="00E332D8" w:rsidRDefault="0011269D" w:rsidP="0011269D">
      <w:pPr>
        <w:autoSpaceDE w:val="0"/>
        <w:autoSpaceDN w:val="0"/>
        <w:adjustRightInd w:val="0"/>
        <w:spacing w:after="0" w:line="360" w:lineRule="auto"/>
        <w:ind w:firstLine="708"/>
        <w:jc w:val="both"/>
        <w:rPr>
          <w:rFonts w:ascii="Times New Roman" w:hAnsi="Times New Roman" w:cs="Times New Roman"/>
          <w:bCs/>
          <w:sz w:val="24"/>
          <w:szCs w:val="24"/>
        </w:rPr>
      </w:pPr>
      <w:r w:rsidRPr="00E332D8">
        <w:rPr>
          <w:rFonts w:ascii="Times New Roman" w:hAnsi="Times New Roman" w:cs="Times New Roman"/>
          <w:sz w:val="24"/>
          <w:szCs w:val="24"/>
        </w:rPr>
        <w:t>Para os países desenvolvidos, testes de cointegração foram feitos em Miller (1988), Leachman (1991</w:t>
      </w:r>
      <w:r w:rsidR="00AC7054">
        <w:rPr>
          <w:rFonts w:ascii="Times New Roman" w:hAnsi="Times New Roman" w:cs="Times New Roman"/>
          <w:sz w:val="24"/>
          <w:szCs w:val="24"/>
        </w:rPr>
        <w:t>),</w:t>
      </w:r>
      <w:r w:rsidRPr="00E332D8">
        <w:rPr>
          <w:rFonts w:ascii="Times New Roman" w:hAnsi="Times New Roman" w:cs="Times New Roman"/>
          <w:sz w:val="24"/>
          <w:szCs w:val="24"/>
        </w:rPr>
        <w:t xml:space="preserve"> Haan e Siermann (1994</w:t>
      </w:r>
      <w:r w:rsidR="00AC7054">
        <w:rPr>
          <w:rFonts w:ascii="Times New Roman" w:hAnsi="Times New Roman" w:cs="Times New Roman"/>
          <w:sz w:val="24"/>
          <w:szCs w:val="24"/>
        </w:rPr>
        <w:t xml:space="preserve">), </w:t>
      </w:r>
      <w:r w:rsidRPr="00E332D8">
        <w:rPr>
          <w:rFonts w:ascii="Times New Roman" w:hAnsi="Times New Roman" w:cs="Times New Roman"/>
          <w:sz w:val="24"/>
          <w:szCs w:val="24"/>
        </w:rPr>
        <w:t>Argi</w:t>
      </w:r>
      <w:r w:rsidR="00D00DD9">
        <w:rPr>
          <w:rFonts w:ascii="Times New Roman" w:hAnsi="Times New Roman" w:cs="Times New Roman"/>
          <w:sz w:val="24"/>
          <w:szCs w:val="24"/>
        </w:rPr>
        <w:t>n</w:t>
      </w:r>
      <w:r w:rsidRPr="00E332D8">
        <w:rPr>
          <w:rFonts w:ascii="Times New Roman" w:hAnsi="Times New Roman" w:cs="Times New Roman"/>
          <w:sz w:val="24"/>
          <w:szCs w:val="24"/>
        </w:rPr>
        <w:t xml:space="preserve">ón e Roldán (1994) e </w:t>
      </w:r>
      <w:r w:rsidRPr="00E332D8">
        <w:rPr>
          <w:rFonts w:ascii="Times New Roman" w:eastAsia="Times New Roman" w:hAnsi="Times New Roman" w:cs="Times New Roman"/>
          <w:sz w:val="24"/>
          <w:szCs w:val="24"/>
        </w:rPr>
        <w:t>Apergis e Tsoumas (1997</w:t>
      </w:r>
      <w:r w:rsidR="00AC7054">
        <w:rPr>
          <w:rFonts w:ascii="Times New Roman" w:eastAsia="Times New Roman" w:hAnsi="Times New Roman" w:cs="Times New Roman"/>
          <w:sz w:val="24"/>
          <w:szCs w:val="24"/>
        </w:rPr>
        <w:t>).</w:t>
      </w:r>
      <w:r w:rsidRPr="00E332D8">
        <w:rPr>
          <w:rFonts w:ascii="Times New Roman" w:hAnsi="Times New Roman" w:cs="Times New Roman"/>
          <w:sz w:val="24"/>
          <w:szCs w:val="24"/>
        </w:rPr>
        <w:t xml:space="preserve"> Particularmente, </w:t>
      </w:r>
      <w:r w:rsidRPr="00E332D8">
        <w:rPr>
          <w:rFonts w:ascii="Times New Roman" w:eastAsia="Times New Roman" w:hAnsi="Times New Roman" w:cs="Times New Roman"/>
          <w:sz w:val="24"/>
          <w:szCs w:val="24"/>
        </w:rPr>
        <w:t>Apergis e Tsoumas (1997</w:t>
      </w:r>
      <w:r w:rsidR="00AC7054">
        <w:rPr>
          <w:rFonts w:ascii="Times New Roman" w:eastAsia="Times New Roman" w:hAnsi="Times New Roman" w:cs="Times New Roman"/>
          <w:sz w:val="24"/>
          <w:szCs w:val="24"/>
        </w:rPr>
        <w:t xml:space="preserve">) </w:t>
      </w:r>
      <w:r w:rsidRPr="00E332D8">
        <w:rPr>
          <w:rFonts w:ascii="Times New Roman" w:hAnsi="Times New Roman" w:cs="Times New Roman"/>
          <w:sz w:val="24"/>
          <w:szCs w:val="24"/>
        </w:rPr>
        <w:t xml:space="preserve">verificam que para a maioria dos países da União Européia é a poupança que causa o investimento. Já para países em desenvolvimento, </w:t>
      </w:r>
      <w:r w:rsidRPr="00E332D8">
        <w:rPr>
          <w:rFonts w:ascii="Times New Roman" w:hAnsi="Times New Roman" w:cs="Times New Roman"/>
          <w:bCs/>
          <w:sz w:val="24"/>
          <w:szCs w:val="24"/>
        </w:rPr>
        <w:t>Mishra et al (2010</w:t>
      </w:r>
      <w:r w:rsidR="00AC7054">
        <w:rPr>
          <w:rFonts w:ascii="Times New Roman" w:hAnsi="Times New Roman" w:cs="Times New Roman"/>
          <w:bCs/>
          <w:sz w:val="24"/>
          <w:szCs w:val="24"/>
        </w:rPr>
        <w:t xml:space="preserve">) </w:t>
      </w:r>
      <w:r w:rsidRPr="00E332D8">
        <w:rPr>
          <w:rFonts w:ascii="Times New Roman" w:hAnsi="Times New Roman" w:cs="Times New Roman"/>
          <w:bCs/>
          <w:sz w:val="24"/>
          <w:szCs w:val="24"/>
        </w:rPr>
        <w:t xml:space="preserve">verificaram que enquanto a cointegração proporciona evidências de equilíbrio de longo prazo entre poupança e investimento, as séries temporais indicam que o investimento foi maior do que a poupança no período analisado para a Índia. Ainda, utilizando-se de técnicas de cointegração em painel, </w:t>
      </w:r>
      <w:r w:rsidRPr="00E332D8">
        <w:rPr>
          <w:rFonts w:ascii="Times New Roman" w:hAnsi="Times New Roman" w:cs="Times New Roman"/>
          <w:sz w:val="24"/>
          <w:szCs w:val="24"/>
        </w:rPr>
        <w:t>Bangake e Eggoh (2011</w:t>
      </w:r>
      <w:r w:rsidR="00AC7054">
        <w:rPr>
          <w:rFonts w:ascii="Times New Roman" w:hAnsi="Times New Roman" w:cs="Times New Roman"/>
          <w:sz w:val="24"/>
          <w:szCs w:val="24"/>
        </w:rPr>
        <w:t>) c</w:t>
      </w:r>
      <w:r w:rsidRPr="00E332D8">
        <w:rPr>
          <w:rFonts w:ascii="Times New Roman" w:hAnsi="Times New Roman" w:cs="Times New Roman"/>
          <w:bCs/>
          <w:sz w:val="24"/>
          <w:szCs w:val="24"/>
        </w:rPr>
        <w:t>onstataram para a África que investimento e poupança são não estacionários, apesar de serem séries cointegradas.</w:t>
      </w:r>
    </w:p>
    <w:p w:rsidR="0011269D" w:rsidRPr="00E332D8" w:rsidRDefault="0011269D" w:rsidP="0011269D">
      <w:pPr>
        <w:spacing w:after="0" w:line="360" w:lineRule="auto"/>
        <w:ind w:firstLine="708"/>
        <w:jc w:val="both"/>
        <w:rPr>
          <w:rFonts w:ascii="Times New Roman" w:hAnsi="Times New Roman" w:cs="Times New Roman"/>
          <w:sz w:val="24"/>
          <w:szCs w:val="24"/>
        </w:rPr>
      </w:pPr>
    </w:p>
    <w:p w:rsidR="00942312" w:rsidRPr="00E332D8" w:rsidRDefault="00257126" w:rsidP="0011269D">
      <w:pPr>
        <w:pStyle w:val="Ttulo1"/>
        <w:rPr>
          <w:rFonts w:ascii="Times New Roman" w:hAnsi="Times New Roman" w:cs="Times New Roman"/>
        </w:rPr>
      </w:pPr>
      <w:r w:rsidRPr="00E332D8">
        <w:rPr>
          <w:rFonts w:ascii="Times New Roman" w:hAnsi="Times New Roman" w:cs="Times New Roman"/>
        </w:rPr>
        <w:t>4</w:t>
      </w:r>
      <w:r w:rsidR="00DC14DA">
        <w:rPr>
          <w:rFonts w:ascii="Times New Roman" w:hAnsi="Times New Roman" w:cs="Times New Roman"/>
        </w:rPr>
        <w:t>. Estratégia e</w:t>
      </w:r>
      <w:r w:rsidR="00942312" w:rsidRPr="00E332D8">
        <w:rPr>
          <w:rFonts w:ascii="Times New Roman" w:hAnsi="Times New Roman" w:cs="Times New Roman"/>
        </w:rPr>
        <w:t>mpírica</w:t>
      </w:r>
    </w:p>
    <w:p w:rsidR="00942312" w:rsidRPr="00E332D8" w:rsidRDefault="00942312" w:rsidP="00230341">
      <w:pPr>
        <w:spacing w:after="0" w:line="360" w:lineRule="auto"/>
        <w:jc w:val="both"/>
        <w:rPr>
          <w:rFonts w:ascii="Times New Roman" w:hAnsi="Times New Roman" w:cs="Times New Roman"/>
          <w:sz w:val="24"/>
          <w:szCs w:val="24"/>
        </w:rPr>
      </w:pPr>
    </w:p>
    <w:p w:rsidR="00213F7C" w:rsidRPr="00E332D8" w:rsidRDefault="00257126" w:rsidP="00230341">
      <w:pPr>
        <w:spacing w:after="0" w:line="360" w:lineRule="auto"/>
        <w:jc w:val="both"/>
        <w:rPr>
          <w:rFonts w:ascii="Times New Roman" w:hAnsi="Times New Roman" w:cs="Times New Roman"/>
          <w:b/>
          <w:sz w:val="24"/>
          <w:szCs w:val="24"/>
        </w:rPr>
      </w:pPr>
      <w:r w:rsidRPr="00E332D8">
        <w:rPr>
          <w:rFonts w:ascii="Times New Roman" w:hAnsi="Times New Roman" w:cs="Times New Roman"/>
          <w:b/>
          <w:sz w:val="24"/>
          <w:szCs w:val="24"/>
        </w:rPr>
        <w:t>4</w:t>
      </w:r>
      <w:r w:rsidR="00ED2996">
        <w:rPr>
          <w:rFonts w:ascii="Times New Roman" w:hAnsi="Times New Roman" w:cs="Times New Roman"/>
          <w:b/>
          <w:sz w:val="24"/>
          <w:szCs w:val="24"/>
        </w:rPr>
        <w:t xml:space="preserve">.1 </w:t>
      </w:r>
      <w:r w:rsidR="00DC14DA">
        <w:rPr>
          <w:rFonts w:ascii="Times New Roman" w:hAnsi="Times New Roman" w:cs="Times New Roman"/>
          <w:b/>
          <w:sz w:val="24"/>
          <w:szCs w:val="24"/>
        </w:rPr>
        <w:t>Teste de raiz unitária com q</w:t>
      </w:r>
      <w:r w:rsidR="00213F7C" w:rsidRPr="00E332D8">
        <w:rPr>
          <w:rFonts w:ascii="Times New Roman" w:hAnsi="Times New Roman" w:cs="Times New Roman"/>
          <w:b/>
          <w:sz w:val="24"/>
          <w:szCs w:val="24"/>
        </w:rPr>
        <w:t>uebra</w:t>
      </w:r>
      <w:r w:rsidR="00E3088B" w:rsidRPr="00E332D8">
        <w:rPr>
          <w:rFonts w:ascii="Times New Roman" w:hAnsi="Times New Roman" w:cs="Times New Roman"/>
          <w:b/>
          <w:sz w:val="24"/>
          <w:szCs w:val="24"/>
        </w:rPr>
        <w:t xml:space="preserve"> </w:t>
      </w:r>
      <w:r w:rsidR="00DC14DA">
        <w:rPr>
          <w:rFonts w:ascii="Times New Roman" w:hAnsi="Times New Roman" w:cs="Times New Roman"/>
          <w:b/>
          <w:sz w:val="24"/>
          <w:szCs w:val="24"/>
        </w:rPr>
        <w:t>e</w:t>
      </w:r>
      <w:r w:rsidR="00213F7C" w:rsidRPr="00E332D8">
        <w:rPr>
          <w:rFonts w:ascii="Times New Roman" w:hAnsi="Times New Roman" w:cs="Times New Roman"/>
          <w:b/>
          <w:sz w:val="24"/>
          <w:szCs w:val="24"/>
        </w:rPr>
        <w:t>ndógena</w:t>
      </w:r>
    </w:p>
    <w:p w:rsidR="00213F7C" w:rsidRPr="00E332D8" w:rsidRDefault="00213F7C" w:rsidP="00230341">
      <w:pPr>
        <w:spacing w:after="0" w:line="360" w:lineRule="auto"/>
        <w:jc w:val="both"/>
        <w:rPr>
          <w:rFonts w:ascii="Times New Roman" w:hAnsi="Times New Roman" w:cs="Times New Roman"/>
          <w:sz w:val="24"/>
          <w:szCs w:val="24"/>
        </w:rPr>
      </w:pPr>
    </w:p>
    <w:p w:rsidR="00942312" w:rsidRPr="00E332D8" w:rsidRDefault="00213F7C" w:rsidP="00230341">
      <w:pPr>
        <w:spacing w:after="0" w:line="360" w:lineRule="auto"/>
        <w:ind w:firstLine="709"/>
        <w:contextualSpacing/>
        <w:jc w:val="both"/>
        <w:rPr>
          <w:rFonts w:ascii="Times New Roman" w:hAnsi="Times New Roman" w:cs="Times New Roman"/>
          <w:sz w:val="24"/>
          <w:szCs w:val="24"/>
        </w:rPr>
      </w:pPr>
      <w:r w:rsidRPr="00E332D8">
        <w:rPr>
          <w:rFonts w:ascii="Times New Roman" w:hAnsi="Times New Roman" w:cs="Times New Roman"/>
          <w:sz w:val="24"/>
          <w:szCs w:val="24"/>
        </w:rPr>
        <w:t>O</w:t>
      </w:r>
      <w:r w:rsidR="00942312" w:rsidRPr="00E332D8">
        <w:rPr>
          <w:rFonts w:ascii="Times New Roman" w:hAnsi="Times New Roman" w:cs="Times New Roman"/>
          <w:sz w:val="24"/>
          <w:szCs w:val="24"/>
        </w:rPr>
        <w:t>s testes</w:t>
      </w:r>
      <w:r w:rsidRPr="00E332D8">
        <w:rPr>
          <w:rFonts w:ascii="Times New Roman" w:hAnsi="Times New Roman" w:cs="Times New Roman"/>
          <w:sz w:val="24"/>
          <w:szCs w:val="24"/>
        </w:rPr>
        <w:t xml:space="preserve"> tradicionais de raízes unitárias</w:t>
      </w:r>
      <w:r w:rsidR="00942312" w:rsidRPr="00E332D8">
        <w:rPr>
          <w:rFonts w:ascii="Times New Roman" w:hAnsi="Times New Roman" w:cs="Times New Roman"/>
          <w:sz w:val="24"/>
          <w:szCs w:val="24"/>
        </w:rPr>
        <w:t xml:space="preserve"> possuem baixo poder na presença de quebras estruturais, tornando-se viesados no sentido da não rejeição da hipótese nula de existência de raiz unitária, mesmo quando a série é estacionária. O trabalho pioneiro de Perron (1989) ilustra a importância de se incluir uma quebra estrutural nos testes tradicionais de raízes unitárias. Perron demonstrou que existe um viés contra a rejeição da hipótese nula de uma raiz unitária quando a série temporal, sob investigação, é estacionária ao redor de uma quebra estrutural. Pesquisas posteriores mudaram a hipótese de Perron (1989) de que o ponto de quebra é conhecido </w:t>
      </w:r>
      <w:r w:rsidR="00942312" w:rsidRPr="00E332D8">
        <w:rPr>
          <w:rFonts w:ascii="Times New Roman" w:hAnsi="Times New Roman" w:cs="Times New Roman"/>
          <w:i/>
          <w:sz w:val="24"/>
          <w:szCs w:val="24"/>
        </w:rPr>
        <w:t>a priori</w:t>
      </w:r>
      <w:r w:rsidR="00942312" w:rsidRPr="00E332D8">
        <w:rPr>
          <w:rFonts w:ascii="Times New Roman" w:hAnsi="Times New Roman" w:cs="Times New Roman"/>
          <w:sz w:val="24"/>
          <w:szCs w:val="24"/>
        </w:rPr>
        <w:t xml:space="preserve"> e adotaram um procedimento endógeno para determinar o ponto de quebra a partir dos </w:t>
      </w:r>
      <w:r w:rsidR="002749EC" w:rsidRPr="00E332D8">
        <w:rPr>
          <w:rFonts w:ascii="Times New Roman" w:hAnsi="Times New Roman" w:cs="Times New Roman"/>
          <w:sz w:val="24"/>
          <w:szCs w:val="24"/>
        </w:rPr>
        <w:t>dados</w:t>
      </w:r>
      <w:r w:rsidR="00942312" w:rsidRPr="00E332D8">
        <w:rPr>
          <w:rFonts w:ascii="Times New Roman" w:hAnsi="Times New Roman" w:cs="Times New Roman"/>
          <w:sz w:val="24"/>
          <w:szCs w:val="24"/>
        </w:rPr>
        <w:t>.</w:t>
      </w:r>
    </w:p>
    <w:p w:rsidR="00942312" w:rsidRPr="00E332D8" w:rsidRDefault="00942312" w:rsidP="00230341">
      <w:pPr>
        <w:spacing w:after="0" w:line="360" w:lineRule="auto"/>
        <w:ind w:firstLine="708"/>
        <w:jc w:val="both"/>
        <w:rPr>
          <w:rFonts w:ascii="Times New Roman" w:hAnsi="Times New Roman" w:cs="Times New Roman"/>
          <w:sz w:val="24"/>
          <w:szCs w:val="24"/>
        </w:rPr>
      </w:pPr>
      <w:r w:rsidRPr="00E332D8">
        <w:rPr>
          <w:rFonts w:ascii="Times New Roman" w:hAnsi="Times New Roman" w:cs="Times New Roman"/>
          <w:sz w:val="24"/>
          <w:szCs w:val="24"/>
        </w:rPr>
        <w:t xml:space="preserve">Nesse contexto, Saikkonen e Lütkepohl (2002) e Lanne </w:t>
      </w:r>
      <w:r w:rsidRPr="00E332D8">
        <w:rPr>
          <w:rFonts w:ascii="Times New Roman" w:hAnsi="Times New Roman" w:cs="Times New Roman"/>
          <w:i/>
          <w:sz w:val="24"/>
          <w:szCs w:val="24"/>
        </w:rPr>
        <w:t>et al</w:t>
      </w:r>
      <w:r w:rsidRPr="00E332D8">
        <w:rPr>
          <w:rFonts w:ascii="Times New Roman" w:hAnsi="Times New Roman" w:cs="Times New Roman"/>
          <w:sz w:val="24"/>
          <w:szCs w:val="24"/>
        </w:rPr>
        <w:t xml:space="preserve">. (2002) propõem que as quebras estruturais podem ocorrer ao longo de um número de períodos e, portanto, sugerem uma transição suave para um novo nível. Assim, uma função de mudança de nível, que é conhecida pela forma não-linear geral </w:t>
      </w:r>
      <m:oMath>
        <m:r>
          <w:rPr>
            <w:rFonts w:ascii="Cambria Math" w:hAnsi="Cambria Math"/>
          </w:rPr>
          <m:t>f</m:t>
        </m:r>
        <m:sSup>
          <m:sSupPr>
            <m:ctrlPr>
              <w:rPr>
                <w:rFonts w:ascii="Cambria Math" w:hAnsi="Cambria Math"/>
              </w:rPr>
            </m:ctrlPr>
          </m:sSupPr>
          <m:e>
            <m:d>
              <m:dPr>
                <m:ctrlPr>
                  <w:rPr>
                    <w:rFonts w:ascii="Cambria Math" w:hAnsi="Cambria Math"/>
                  </w:rPr>
                </m:ctrlPr>
              </m:dPr>
              <m:e>
                <m:r>
                  <w:rPr>
                    <w:rFonts w:ascii="Cambria Math" w:hAnsi="Cambria Math"/>
                  </w:rPr>
                  <m:t>θ</m:t>
                </m:r>
              </m:e>
            </m:d>
          </m:e>
          <m:sup>
            <m:r>
              <m:rPr>
                <m:sty m:val="p"/>
              </m:rPr>
              <w:rPr>
                <w:rFonts w:ascii="Cambria Math" w:hAnsi="Cambria Math"/>
              </w:rPr>
              <m:t>'</m:t>
            </m:r>
          </m:sup>
        </m:sSup>
        <m:r>
          <w:rPr>
            <w:rFonts w:ascii="Cambria Math" w:hAnsi="Cambria Math"/>
          </w:rPr>
          <m:t>γ</m:t>
        </m:r>
      </m:oMath>
      <w:r w:rsidRPr="00E332D8">
        <w:rPr>
          <w:rFonts w:ascii="Times New Roman" w:hAnsi="Times New Roman" w:cs="Times New Roman"/>
          <w:sz w:val="24"/>
          <w:szCs w:val="24"/>
        </w:rPr>
        <w:t xml:space="preserve"> é acrescentada ao termo determinístico </w:t>
      </w:r>
      <m:oMath>
        <m:r>
          <w:rPr>
            <w:rFonts w:ascii="Cambria Math" w:hAnsi="Cambria Math" w:cs="Times New Roman"/>
            <w:sz w:val="24"/>
            <w:szCs w:val="24"/>
          </w:rPr>
          <m:t>μ</m:t>
        </m:r>
        <m:r>
          <w:rPr>
            <w:rFonts w:ascii="Cambria Math" w:hAnsi="Cambria Math"/>
            <w:sz w:val="24"/>
            <w:szCs w:val="24"/>
          </w:rPr>
          <m:t>t</m:t>
        </m:r>
      </m:oMath>
      <w:r w:rsidRPr="00E332D8">
        <w:rPr>
          <w:rFonts w:ascii="Times New Roman" w:hAnsi="Times New Roman" w:cs="Times New Roman"/>
          <w:sz w:val="24"/>
          <w:szCs w:val="24"/>
        </w:rPr>
        <w:t xml:space="preserve"> do processo gerador de dados. Portanto, o modelo é expresso pela seguinte regressão:</w:t>
      </w:r>
    </w:p>
    <w:p w:rsidR="00942312" w:rsidRPr="00E332D8" w:rsidRDefault="00942312" w:rsidP="00230341">
      <w:pPr>
        <w:spacing w:after="0" w:line="360" w:lineRule="auto"/>
        <w:ind w:firstLine="708"/>
        <w:jc w:val="both"/>
        <w:rPr>
          <w:rFonts w:ascii="Times New Roman" w:hAnsi="Times New Roman" w:cs="Times New Roman"/>
          <w:sz w:val="24"/>
          <w:szCs w:val="24"/>
        </w:rPr>
      </w:pPr>
    </w:p>
    <w:p w:rsidR="00942312" w:rsidRPr="00EA7632" w:rsidRDefault="00F3210F" w:rsidP="00EA7632">
      <w:pPr>
        <w:pStyle w:val="texto"/>
      </w:pPr>
      <m:oMathPara>
        <m:oMathParaPr>
          <m:jc m:val="right"/>
        </m:oMathParaPr>
        <m:oMath>
          <m:sSub>
            <m:sSubPr>
              <m:ctrlPr/>
            </m:sSubPr>
            <m:e>
              <m:r>
                <m:t>q</m:t>
              </m:r>
            </m:e>
            <m:sub>
              <m:r>
                <m:t>t</m:t>
              </m:r>
            </m:sub>
          </m:sSub>
          <m:r>
            <m:rPr>
              <m:sty m:val="p"/>
            </m:rPr>
            <m:t>=</m:t>
          </m:r>
          <m:sSub>
            <m:sSubPr>
              <m:ctrlPr/>
            </m:sSubPr>
            <m:e>
              <m:r>
                <m:t>μ</m:t>
              </m:r>
            </m:e>
            <m:sub>
              <m:r>
                <m:rPr>
                  <m:sty m:val="p"/>
                </m:rPr>
                <m:t>0</m:t>
              </m:r>
            </m:sub>
          </m:sSub>
          <m:r>
            <m:rPr>
              <m:sty m:val="p"/>
            </m:rPr>
            <m:t>+</m:t>
          </m:r>
          <m:sSub>
            <m:sSubPr>
              <m:ctrlPr/>
            </m:sSubPr>
            <m:e>
              <m:r>
                <m:t>μ</m:t>
              </m:r>
            </m:e>
            <m:sub>
              <m:r>
                <m:rPr>
                  <m:sty m:val="p"/>
                </m:rPr>
                <m:t>1</m:t>
              </m:r>
            </m:sub>
          </m:sSub>
          <m:r>
            <m:t>t</m:t>
          </m:r>
          <m:r>
            <m:rPr>
              <m:sty m:val="p"/>
            </m:rPr>
            <m:t>+</m:t>
          </m:r>
          <m:r>
            <m:t>f</m:t>
          </m:r>
          <m:sSup>
            <m:sSupPr>
              <m:ctrlPr/>
            </m:sSupPr>
            <m:e>
              <m:d>
                <m:dPr>
                  <m:ctrlPr/>
                </m:dPr>
                <m:e>
                  <m:r>
                    <m:t>θ</m:t>
                  </m:r>
                </m:e>
              </m:d>
            </m:e>
            <m:sup>
              <m:r>
                <m:rPr>
                  <m:sty m:val="p"/>
                </m:rPr>
                <m:t>'</m:t>
              </m:r>
            </m:sup>
          </m:sSup>
          <m:r>
            <m:t>γ</m:t>
          </m:r>
          <m:r>
            <m:rPr>
              <m:sty m:val="p"/>
            </m:rPr>
            <m:t>+</m:t>
          </m:r>
          <m:sSub>
            <m:sSubPr>
              <m:ctrlPr/>
            </m:sSubPr>
            <m:e>
              <m:r>
                <m:t>v</m:t>
              </m:r>
            </m:e>
            <m:sub>
              <m:r>
                <m:t>t</m:t>
              </m:r>
            </m:sub>
          </m:sSub>
          <m:r>
            <m:rPr>
              <m:sty m:val="p"/>
            </m:rPr>
            <m:t xml:space="preserve">                                                                            </m:t>
          </m:r>
          <m:d>
            <m:dPr>
              <m:ctrlPr/>
            </m:dPr>
            <m:e>
              <m:r>
                <m:rPr>
                  <m:sty m:val="p"/>
                </m:rPr>
                <m:t>2</m:t>
              </m:r>
            </m:e>
          </m:d>
        </m:oMath>
      </m:oMathPara>
    </w:p>
    <w:p w:rsidR="00942312" w:rsidRPr="00E332D8" w:rsidRDefault="00942312" w:rsidP="00230341">
      <w:pPr>
        <w:spacing w:after="0" w:line="360" w:lineRule="auto"/>
        <w:rPr>
          <w:rFonts w:ascii="Times New Roman" w:hAnsi="Times New Roman" w:cs="Times New Roman"/>
          <w:sz w:val="24"/>
          <w:szCs w:val="24"/>
        </w:rPr>
      </w:pPr>
    </w:p>
    <w:p w:rsidR="00A10F43" w:rsidRPr="00E332D8" w:rsidRDefault="00A10F43" w:rsidP="00230341">
      <w:pPr>
        <w:spacing w:after="0" w:line="360" w:lineRule="auto"/>
        <w:jc w:val="both"/>
        <w:rPr>
          <w:rFonts w:ascii="Times New Roman" w:hAnsi="Times New Roman" w:cs="Times New Roman"/>
          <w:sz w:val="24"/>
          <w:szCs w:val="24"/>
        </w:rPr>
      </w:pPr>
      <w:bookmarkStart w:id="1" w:name="_Toc188699400"/>
      <w:r w:rsidRPr="00E332D8">
        <w:rPr>
          <w:rFonts w:ascii="Times New Roman" w:hAnsi="Times New Roman" w:cs="Times New Roman"/>
          <w:sz w:val="24"/>
          <w:szCs w:val="24"/>
        </w:rPr>
        <w:t xml:space="preserve">Onde </w:t>
      </w:r>
      <m:oMath>
        <m:r>
          <w:rPr>
            <w:rFonts w:ascii="Cambria Math" w:hAnsi="Cambria Math" w:cs="Times New Roman"/>
            <w:sz w:val="24"/>
            <w:szCs w:val="24"/>
          </w:rPr>
          <m:t>θ</m:t>
        </m:r>
      </m:oMath>
      <w:r w:rsidRPr="00E332D8">
        <w:rPr>
          <w:rFonts w:ascii="Times New Roman" w:hAnsi="Times New Roman" w:cs="Times New Roman"/>
          <w:sz w:val="24"/>
          <w:szCs w:val="24"/>
        </w:rPr>
        <w:t xml:space="preserve"> e </w:t>
      </w:r>
      <m:oMath>
        <m:r>
          <w:rPr>
            <w:rFonts w:ascii="Cambria Math" w:hAnsi="Cambria Math" w:cs="Times New Roman"/>
            <w:sz w:val="24"/>
            <w:szCs w:val="24"/>
          </w:rPr>
          <m:t>γ</m:t>
        </m:r>
      </m:oMath>
      <w:r w:rsidRPr="00E332D8">
        <w:rPr>
          <w:rFonts w:ascii="Times New Roman" w:hAnsi="Times New Roman" w:cs="Times New Roman"/>
          <w:sz w:val="24"/>
          <w:szCs w:val="24"/>
        </w:rPr>
        <w:t xml:space="preserve"> são parâmetros escalares desconhecidos, ao passo que </w:t>
      </w:r>
      <m:oMath>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t</m:t>
            </m:r>
          </m:sub>
        </m:sSub>
      </m:oMath>
      <w:r w:rsidRPr="00E332D8">
        <w:rPr>
          <w:rFonts w:ascii="Times New Roman" w:hAnsi="Times New Roman" w:cs="Times New Roman"/>
          <w:sz w:val="24"/>
          <w:szCs w:val="24"/>
        </w:rPr>
        <w:t xml:space="preserve"> são erros residuais gerados por um processo AR(p) com possível raiz unitária. </w:t>
      </w:r>
    </w:p>
    <w:p w:rsidR="00A10F43" w:rsidRPr="00E332D8" w:rsidRDefault="00A10F43" w:rsidP="00230341">
      <w:pPr>
        <w:spacing w:after="0" w:line="360" w:lineRule="auto"/>
        <w:ind w:firstLine="708"/>
        <w:jc w:val="both"/>
        <w:rPr>
          <w:rFonts w:ascii="Times New Roman" w:hAnsi="Times New Roman" w:cs="Times New Roman"/>
          <w:sz w:val="24"/>
          <w:szCs w:val="24"/>
        </w:rPr>
      </w:pPr>
      <w:r w:rsidRPr="00E332D8">
        <w:rPr>
          <w:rFonts w:ascii="Times New Roman" w:hAnsi="Times New Roman" w:cs="Times New Roman"/>
          <w:sz w:val="24"/>
          <w:szCs w:val="24"/>
        </w:rPr>
        <w:t xml:space="preserve">A mudança na função </w:t>
      </w:r>
      <m:oMath>
        <m:r>
          <w:rPr>
            <w:rFonts w:ascii="Cambria Math" w:hAnsi="Cambria Math" w:cs="Times New Roman"/>
            <w:sz w:val="24"/>
            <w:szCs w:val="24"/>
          </w:rPr>
          <m:t>f</m:t>
        </m:r>
        <m:sSup>
          <m:sSupPr>
            <m:ctrlPr>
              <w:rPr>
                <w:rFonts w:ascii="Cambria Math" w:hAnsi="Times New Roman" w:cs="Times New Roman"/>
                <w:i/>
                <w:sz w:val="24"/>
                <w:szCs w:val="24"/>
              </w:rPr>
            </m:ctrlPr>
          </m:sSupPr>
          <m:e>
            <m:d>
              <m:dPr>
                <m:ctrlPr>
                  <w:rPr>
                    <w:rFonts w:ascii="Cambria Math" w:hAnsi="Times New Roman" w:cs="Times New Roman"/>
                    <w:i/>
                    <w:sz w:val="24"/>
                    <w:szCs w:val="24"/>
                  </w:rPr>
                </m:ctrlPr>
              </m:dPr>
              <m:e>
                <m:r>
                  <w:rPr>
                    <w:rFonts w:ascii="Cambria Math" w:hAnsi="Cambria Math" w:cs="Times New Roman"/>
                    <w:sz w:val="24"/>
                    <w:szCs w:val="24"/>
                  </w:rPr>
                  <m:t>θ</m:t>
                </m:r>
              </m:e>
            </m:d>
          </m:e>
          <m:sup>
            <m:r>
              <w:rPr>
                <w:rFonts w:ascii="Cambria Math" w:hAnsi="Times New Roman" w:cs="Times New Roman"/>
                <w:sz w:val="24"/>
                <w:szCs w:val="24"/>
              </w:rPr>
              <m:t>'</m:t>
            </m:r>
          </m:sup>
        </m:sSup>
        <m:r>
          <w:rPr>
            <w:rFonts w:ascii="Cambria Math" w:hAnsi="Cambria Math" w:cs="Times New Roman"/>
            <w:sz w:val="24"/>
            <w:szCs w:val="24"/>
          </w:rPr>
          <m:t>γ</m:t>
        </m:r>
      </m:oMath>
      <w:r w:rsidRPr="00E332D8">
        <w:rPr>
          <w:rFonts w:ascii="Times New Roman" w:hAnsi="Times New Roman" w:cs="Times New Roman"/>
          <w:sz w:val="24"/>
          <w:szCs w:val="24"/>
        </w:rPr>
        <w:t xml:space="preserve"> pode ser: (i) uma variável </w:t>
      </w:r>
      <w:r w:rsidRPr="00E332D8">
        <w:rPr>
          <w:rFonts w:ascii="Times New Roman" w:hAnsi="Times New Roman" w:cs="Times New Roman"/>
          <w:i/>
          <w:sz w:val="24"/>
          <w:szCs w:val="24"/>
        </w:rPr>
        <w:t>dummy</w:t>
      </w:r>
      <w:r w:rsidRPr="00E332D8">
        <w:rPr>
          <w:rFonts w:ascii="Times New Roman" w:hAnsi="Times New Roman" w:cs="Times New Roman"/>
          <w:sz w:val="24"/>
          <w:szCs w:val="24"/>
        </w:rPr>
        <w:t xml:space="preserve"> de mudança simples com data de mudança </w:t>
      </w:r>
      <m:oMath>
        <m:sSub>
          <m:sSubPr>
            <m:ctrlPr>
              <w:rPr>
                <w:rFonts w:ascii="Cambria Math" w:hAnsi="Times New Roman"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b</m:t>
            </m:r>
          </m:sub>
        </m:sSub>
      </m:oMath>
      <w:r w:rsidRPr="00E332D8">
        <w:rPr>
          <w:rFonts w:ascii="Times New Roman" w:hAnsi="Times New Roman" w:cs="Times New Roman"/>
          <w:sz w:val="24"/>
          <w:szCs w:val="24"/>
        </w:rPr>
        <w:t xml:space="preserve"> (</w:t>
      </w:r>
      <w:r w:rsidRPr="00E332D8">
        <w:rPr>
          <w:rFonts w:ascii="Times New Roman" w:hAnsi="Times New Roman" w:cs="Times New Roman"/>
          <w:i/>
          <w:sz w:val="24"/>
          <w:szCs w:val="24"/>
        </w:rPr>
        <w:t>shift dummy</w:t>
      </w:r>
      <w:r w:rsidRPr="00E332D8">
        <w:rPr>
          <w:rFonts w:ascii="Times New Roman" w:hAnsi="Times New Roman" w:cs="Times New Roman"/>
          <w:sz w:val="24"/>
          <w:szCs w:val="24"/>
        </w:rPr>
        <w:t xml:space="preserve">); (ii) baseada em uma função de distribuição exponencial que permite uma mudança gradual não linear para um novo nível começando no período </w:t>
      </w:r>
      <m:oMath>
        <m:sSub>
          <m:sSubPr>
            <m:ctrlPr>
              <w:rPr>
                <w:rFonts w:ascii="Cambria Math" w:hAnsi="Times New Roman"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b</m:t>
            </m:r>
          </m:sub>
        </m:sSub>
      </m:oMath>
      <w:r w:rsidRPr="00E332D8">
        <w:rPr>
          <w:rFonts w:ascii="Times New Roman" w:hAnsi="Times New Roman" w:cs="Times New Roman"/>
          <w:sz w:val="24"/>
          <w:szCs w:val="24"/>
        </w:rPr>
        <w:t xml:space="preserve"> (</w:t>
      </w:r>
      <w:r w:rsidRPr="00E332D8">
        <w:rPr>
          <w:rFonts w:ascii="Times New Roman" w:hAnsi="Times New Roman" w:cs="Times New Roman"/>
          <w:i/>
          <w:sz w:val="24"/>
          <w:szCs w:val="24"/>
        </w:rPr>
        <w:t>exponencial shift</w:t>
      </w:r>
      <w:r w:rsidRPr="00E332D8">
        <w:rPr>
          <w:rFonts w:ascii="Times New Roman" w:hAnsi="Times New Roman" w:cs="Times New Roman"/>
          <w:sz w:val="24"/>
          <w:szCs w:val="24"/>
        </w:rPr>
        <w:t xml:space="preserve">); (iii) uma função racional no operador de defasagem aplicado a uma </w:t>
      </w:r>
      <w:r w:rsidRPr="00E332D8">
        <w:rPr>
          <w:rFonts w:ascii="Times New Roman" w:hAnsi="Times New Roman" w:cs="Times New Roman"/>
          <w:i/>
          <w:sz w:val="24"/>
          <w:szCs w:val="24"/>
        </w:rPr>
        <w:t>dummy</w:t>
      </w:r>
      <w:r w:rsidRPr="00E332D8">
        <w:rPr>
          <w:rFonts w:ascii="Times New Roman" w:hAnsi="Times New Roman" w:cs="Times New Roman"/>
          <w:sz w:val="24"/>
          <w:szCs w:val="24"/>
        </w:rPr>
        <w:t xml:space="preserve"> de mudança (</w:t>
      </w:r>
      <w:r w:rsidRPr="00E332D8">
        <w:rPr>
          <w:rFonts w:ascii="Times New Roman" w:hAnsi="Times New Roman" w:cs="Times New Roman"/>
          <w:i/>
          <w:sz w:val="24"/>
          <w:szCs w:val="24"/>
        </w:rPr>
        <w:t>rational shift</w:t>
      </w:r>
      <w:r w:rsidRPr="00E332D8">
        <w:rPr>
          <w:rFonts w:ascii="Times New Roman" w:hAnsi="Times New Roman" w:cs="Times New Roman"/>
          <w:sz w:val="24"/>
          <w:szCs w:val="24"/>
        </w:rPr>
        <w:t xml:space="preserve">). </w:t>
      </w:r>
    </w:p>
    <w:p w:rsidR="00A10F43" w:rsidRPr="00E332D8" w:rsidRDefault="00A10F43" w:rsidP="00230341">
      <w:pPr>
        <w:spacing w:after="0" w:line="360" w:lineRule="auto"/>
        <w:ind w:firstLine="708"/>
        <w:jc w:val="both"/>
        <w:rPr>
          <w:rFonts w:ascii="Times New Roman" w:hAnsi="Times New Roman" w:cs="Times New Roman"/>
          <w:sz w:val="24"/>
          <w:szCs w:val="24"/>
        </w:rPr>
      </w:pPr>
      <w:r w:rsidRPr="00E332D8">
        <w:rPr>
          <w:rFonts w:ascii="Times New Roman" w:hAnsi="Times New Roman" w:cs="Times New Roman"/>
          <w:sz w:val="24"/>
          <w:szCs w:val="24"/>
        </w:rPr>
        <w:t xml:space="preserve">Nesse sentido, Saikkonen e Lutkepohl (2002) e Lanne </w:t>
      </w:r>
      <w:r w:rsidRPr="00E332D8">
        <w:rPr>
          <w:rFonts w:ascii="Times New Roman" w:hAnsi="Times New Roman" w:cs="Times New Roman"/>
          <w:i/>
          <w:sz w:val="24"/>
          <w:szCs w:val="24"/>
        </w:rPr>
        <w:t>et al</w:t>
      </w:r>
      <w:r w:rsidRPr="00E332D8">
        <w:rPr>
          <w:rFonts w:ascii="Times New Roman" w:hAnsi="Times New Roman" w:cs="Times New Roman"/>
          <w:sz w:val="24"/>
          <w:szCs w:val="24"/>
        </w:rPr>
        <w:t xml:space="preserve">. (2002) propuseram um teste de raiz unitária baseado na estimação do termo determinístico por mínimos quadrados generalizados (GLS) e a subtração dessa tendência da série original. Em seguida, um teste ADF é desenvolvido para as séries ajustadas. Se a data da quebra é desconhecida, recomenda-se a escolha de uma ordem de defasagens maior no primeiro passo e, então, apanhar a data de quebra que minimiza a soma dos erros quadrados generalizada do modelo em primeiras diferenças. Valores críticos foram tabulados por Lanne </w:t>
      </w:r>
      <w:r w:rsidRPr="00E332D8">
        <w:rPr>
          <w:rFonts w:ascii="Times New Roman" w:hAnsi="Times New Roman" w:cs="Times New Roman"/>
          <w:i/>
          <w:sz w:val="24"/>
          <w:szCs w:val="24"/>
        </w:rPr>
        <w:t>et al.</w:t>
      </w:r>
      <w:r w:rsidRPr="00E332D8">
        <w:rPr>
          <w:rFonts w:ascii="Times New Roman" w:hAnsi="Times New Roman" w:cs="Times New Roman"/>
          <w:sz w:val="24"/>
          <w:szCs w:val="24"/>
        </w:rPr>
        <w:t xml:space="preserve"> (2002).</w:t>
      </w:r>
    </w:p>
    <w:p w:rsidR="00570C64" w:rsidRPr="00E332D8" w:rsidRDefault="00570C64" w:rsidP="00230341">
      <w:pPr>
        <w:spacing w:after="0" w:line="360" w:lineRule="auto"/>
        <w:ind w:firstLine="708"/>
        <w:jc w:val="both"/>
        <w:rPr>
          <w:rFonts w:ascii="Times New Roman" w:hAnsi="Times New Roman" w:cs="Times New Roman"/>
          <w:sz w:val="24"/>
          <w:szCs w:val="24"/>
        </w:rPr>
      </w:pPr>
    </w:p>
    <w:p w:rsidR="00942312" w:rsidRPr="00E332D8" w:rsidRDefault="00FE4276" w:rsidP="00230341">
      <w:pPr>
        <w:pStyle w:val="Ttulo2"/>
        <w:spacing w:before="0" w:after="0" w:line="360" w:lineRule="auto"/>
        <w:jc w:val="both"/>
        <w:rPr>
          <w:rFonts w:ascii="Times New Roman" w:hAnsi="Times New Roman" w:cs="Times New Roman"/>
          <w:i w:val="0"/>
          <w:iCs w:val="0"/>
          <w:sz w:val="24"/>
          <w:szCs w:val="24"/>
        </w:rPr>
      </w:pPr>
      <w:r>
        <w:rPr>
          <w:rFonts w:ascii="Times New Roman" w:hAnsi="Times New Roman" w:cs="Times New Roman"/>
          <w:i w:val="0"/>
          <w:iCs w:val="0"/>
          <w:sz w:val="24"/>
          <w:szCs w:val="24"/>
        </w:rPr>
        <w:t>4</w:t>
      </w:r>
      <w:r w:rsidR="00942312" w:rsidRPr="00E332D8">
        <w:rPr>
          <w:rFonts w:ascii="Times New Roman" w:hAnsi="Times New Roman" w:cs="Times New Roman"/>
          <w:i w:val="0"/>
          <w:iCs w:val="0"/>
          <w:sz w:val="24"/>
          <w:szCs w:val="24"/>
        </w:rPr>
        <w:t>.</w:t>
      </w:r>
      <w:r w:rsidR="00213F7C" w:rsidRPr="00E332D8">
        <w:rPr>
          <w:rFonts w:ascii="Times New Roman" w:hAnsi="Times New Roman" w:cs="Times New Roman"/>
          <w:i w:val="0"/>
          <w:iCs w:val="0"/>
          <w:sz w:val="24"/>
          <w:szCs w:val="24"/>
        </w:rPr>
        <w:t>2</w:t>
      </w:r>
      <w:r w:rsidR="00942312" w:rsidRPr="00E332D8">
        <w:rPr>
          <w:rFonts w:ascii="Times New Roman" w:hAnsi="Times New Roman" w:cs="Times New Roman"/>
          <w:i w:val="0"/>
          <w:iCs w:val="0"/>
          <w:sz w:val="24"/>
          <w:szCs w:val="24"/>
        </w:rPr>
        <w:t xml:space="preserve"> C</w:t>
      </w:r>
      <w:bookmarkEnd w:id="1"/>
      <w:r w:rsidR="00942312" w:rsidRPr="00E332D8">
        <w:rPr>
          <w:rFonts w:ascii="Times New Roman" w:hAnsi="Times New Roman" w:cs="Times New Roman"/>
          <w:i w:val="0"/>
          <w:iCs w:val="0"/>
          <w:sz w:val="24"/>
          <w:szCs w:val="24"/>
        </w:rPr>
        <w:t xml:space="preserve">ausalidade </w:t>
      </w:r>
      <w:r w:rsidR="00DC14DA">
        <w:rPr>
          <w:rFonts w:ascii="Times New Roman" w:hAnsi="Times New Roman" w:cs="Times New Roman"/>
          <w:i w:val="0"/>
          <w:iCs w:val="0"/>
          <w:sz w:val="24"/>
          <w:szCs w:val="24"/>
        </w:rPr>
        <w:t>m</w:t>
      </w:r>
      <w:r w:rsidR="00942312" w:rsidRPr="00E332D8">
        <w:rPr>
          <w:rFonts w:ascii="Times New Roman" w:hAnsi="Times New Roman" w:cs="Times New Roman"/>
          <w:i w:val="0"/>
          <w:iCs w:val="0"/>
          <w:sz w:val="24"/>
          <w:szCs w:val="24"/>
        </w:rPr>
        <w:t>ultivariada</w:t>
      </w:r>
    </w:p>
    <w:p w:rsidR="00FE0FC5" w:rsidRPr="00E332D8" w:rsidRDefault="00FE0FC5" w:rsidP="00230341">
      <w:pPr>
        <w:spacing w:after="0" w:line="360" w:lineRule="auto"/>
        <w:rPr>
          <w:sz w:val="24"/>
          <w:szCs w:val="24"/>
        </w:rPr>
      </w:pPr>
    </w:p>
    <w:p w:rsidR="00942312" w:rsidRPr="00E332D8" w:rsidRDefault="00942312" w:rsidP="00230341">
      <w:pPr>
        <w:spacing w:after="0" w:line="360" w:lineRule="auto"/>
        <w:ind w:firstLine="706"/>
        <w:jc w:val="both"/>
        <w:rPr>
          <w:rFonts w:ascii="Times New Roman" w:hAnsi="Times New Roman" w:cs="Times New Roman"/>
          <w:sz w:val="24"/>
          <w:szCs w:val="24"/>
        </w:rPr>
      </w:pPr>
      <w:r w:rsidRPr="00E332D8">
        <w:rPr>
          <w:rFonts w:ascii="Times New Roman" w:hAnsi="Times New Roman" w:cs="Times New Roman"/>
          <w:sz w:val="24"/>
          <w:szCs w:val="24"/>
        </w:rPr>
        <w:t xml:space="preserve">A análise de causalidade inicia-se pela estimação de um modelo vetorial auto-regressivo (VAR) envolvendo todas as variáveis mencionadas anteriormente. O conceito de causalidade no sentido de Granger está associado à ideia de precedência temporal entre variáveis. Assim, se </w:t>
      </w:r>
      <w:r w:rsidRPr="00E332D8">
        <w:rPr>
          <w:rFonts w:ascii="Times New Roman" w:hAnsi="Times New Roman" w:cs="Times New Roman"/>
          <w:position w:val="-12"/>
          <w:sz w:val="24"/>
          <w:szCs w:val="24"/>
        </w:rPr>
        <w:object w:dxaOrig="2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pt;height:19pt" o:ole="">
            <v:imagedata r:id="rId9" o:title=""/>
          </v:shape>
          <o:OLEObject Type="Embed" ProgID="Equation.3" ShapeID="_x0000_i1025" DrawAspect="Content" ObjectID="_1447050308" r:id="rId10"/>
        </w:object>
      </w:r>
      <w:r w:rsidRPr="00E332D8">
        <w:rPr>
          <w:rFonts w:ascii="Times New Roman" w:hAnsi="Times New Roman" w:cs="Times New Roman"/>
          <w:sz w:val="24"/>
          <w:szCs w:val="24"/>
        </w:rPr>
        <w:t xml:space="preserve"> contém informação passada que ajuda na previsão de </w:t>
      </w:r>
      <w:r w:rsidRPr="00E332D8">
        <w:rPr>
          <w:rFonts w:ascii="Times New Roman" w:hAnsi="Times New Roman" w:cs="Times New Roman"/>
          <w:position w:val="-12"/>
          <w:sz w:val="24"/>
          <w:szCs w:val="24"/>
        </w:rPr>
        <w:object w:dxaOrig="240" w:dyaOrig="360">
          <v:shape id="_x0000_i1026" type="#_x0000_t75" style="width:12.1pt;height:19pt" o:ole="">
            <v:imagedata r:id="rId11" o:title=""/>
          </v:shape>
          <o:OLEObject Type="Embed" ProgID="Equation.3" ShapeID="_x0000_i1026" DrawAspect="Content" ObjectID="_1447050309" r:id="rId12"/>
        </w:object>
      </w:r>
      <w:r w:rsidRPr="00E332D8">
        <w:rPr>
          <w:rFonts w:ascii="Times New Roman" w:hAnsi="Times New Roman" w:cs="Times New Roman"/>
          <w:sz w:val="24"/>
          <w:szCs w:val="24"/>
        </w:rPr>
        <w:t xml:space="preserve">, e se essa informação não está contida em outras séries usadas no modelo, então </w:t>
      </w:r>
      <w:r w:rsidRPr="00E332D8">
        <w:rPr>
          <w:rFonts w:ascii="Times New Roman" w:hAnsi="Times New Roman" w:cs="Times New Roman"/>
          <w:position w:val="-12"/>
          <w:sz w:val="24"/>
          <w:szCs w:val="24"/>
        </w:rPr>
        <w:object w:dxaOrig="260" w:dyaOrig="360">
          <v:shape id="_x0000_i1027" type="#_x0000_t75" style="width:12.1pt;height:19pt" o:ole="">
            <v:imagedata r:id="rId13" o:title=""/>
          </v:shape>
          <o:OLEObject Type="Embed" ProgID="Equation.3" ShapeID="_x0000_i1027" DrawAspect="Content" ObjectID="_1447050310" r:id="rId14"/>
        </w:object>
      </w:r>
      <w:r w:rsidRPr="00E332D8">
        <w:rPr>
          <w:rFonts w:ascii="Times New Roman" w:hAnsi="Times New Roman" w:cs="Times New Roman"/>
          <w:sz w:val="24"/>
          <w:szCs w:val="24"/>
        </w:rPr>
        <w:t xml:space="preserve"> Granger-causa </w:t>
      </w:r>
      <w:r w:rsidRPr="00E332D8">
        <w:rPr>
          <w:rFonts w:ascii="Times New Roman" w:hAnsi="Times New Roman" w:cs="Times New Roman"/>
          <w:position w:val="-12"/>
          <w:sz w:val="24"/>
          <w:szCs w:val="24"/>
        </w:rPr>
        <w:object w:dxaOrig="240" w:dyaOrig="360">
          <v:shape id="_x0000_i1028" type="#_x0000_t75" style="width:12.1pt;height:19pt" o:ole="">
            <v:imagedata r:id="rId15" o:title=""/>
          </v:shape>
          <o:OLEObject Type="Embed" ProgID="Equation.3" ShapeID="_x0000_i1028" DrawAspect="Content" ObjectID="_1447050311" r:id="rId16"/>
        </w:object>
      </w:r>
      <w:r w:rsidRPr="00E332D8">
        <w:rPr>
          <w:rFonts w:ascii="Times New Roman" w:hAnsi="Times New Roman" w:cs="Times New Roman"/>
          <w:sz w:val="24"/>
          <w:szCs w:val="24"/>
        </w:rPr>
        <w:t xml:space="preserve"> (GRANGER, 1969). O VAR em forma reduzida de dimensão </w:t>
      </w:r>
      <w:r w:rsidRPr="00E332D8">
        <w:rPr>
          <w:rFonts w:ascii="Times New Roman" w:hAnsi="Times New Roman" w:cs="Times New Roman"/>
          <w:i/>
          <w:sz w:val="24"/>
          <w:szCs w:val="24"/>
        </w:rPr>
        <w:t>p</w:t>
      </w:r>
      <w:r w:rsidRPr="00E332D8">
        <w:rPr>
          <w:rFonts w:ascii="Times New Roman" w:hAnsi="Times New Roman" w:cs="Times New Roman"/>
          <w:sz w:val="24"/>
          <w:szCs w:val="24"/>
        </w:rPr>
        <w:t xml:space="preserve"> pode ser escrito com: </w:t>
      </w:r>
    </w:p>
    <w:p w:rsidR="00942312" w:rsidRPr="00E332D8" w:rsidRDefault="00942312" w:rsidP="00230341">
      <w:pPr>
        <w:spacing w:after="0" w:line="360" w:lineRule="auto"/>
        <w:ind w:firstLine="706"/>
        <w:jc w:val="both"/>
        <w:rPr>
          <w:rFonts w:ascii="Times New Roman" w:hAnsi="Times New Roman" w:cs="Times New Roman"/>
          <w:sz w:val="24"/>
          <w:szCs w:val="24"/>
        </w:rPr>
      </w:pPr>
    </w:p>
    <w:p w:rsidR="00942312" w:rsidRPr="00E332D8" w:rsidRDefault="00AD2648" w:rsidP="00230341">
      <w:pPr>
        <w:spacing w:after="0" w:line="360" w:lineRule="auto"/>
        <w:ind w:left="708"/>
        <w:jc w:val="both"/>
        <w:rPr>
          <w:rFonts w:ascii="Times New Roman" w:hAnsi="Times New Roman" w:cs="Times New Roman"/>
          <w:sz w:val="24"/>
          <w:szCs w:val="24"/>
        </w:rPr>
      </w:pPr>
      <w:r w:rsidRPr="00E332D8">
        <w:rPr>
          <w:rFonts w:ascii="Times New Roman" w:hAnsi="Times New Roman" w:cs="Times New Roman"/>
          <w:sz w:val="24"/>
          <w:szCs w:val="24"/>
        </w:rPr>
        <w:t xml:space="preserve">    </w:t>
      </w:r>
      <w:r w:rsidR="00942312" w:rsidRPr="00E332D8">
        <w:rPr>
          <w:rFonts w:ascii="Times New Roman" w:hAnsi="Times New Roman" w:cs="Times New Roman"/>
          <w:position w:val="-14"/>
          <w:sz w:val="24"/>
          <w:szCs w:val="24"/>
        </w:rPr>
        <w:object w:dxaOrig="4459" w:dyaOrig="380">
          <v:shape id="_x0000_i1029" type="#_x0000_t75" style="width:222.9pt;height:17.3pt" o:ole="">
            <v:imagedata r:id="rId17" o:title=""/>
          </v:shape>
          <o:OLEObject Type="Embed" ProgID="Equation.3" ShapeID="_x0000_i1029" DrawAspect="Content" ObjectID="_1447050312" r:id="rId18"/>
        </w:object>
      </w:r>
      <w:r w:rsidR="00942312" w:rsidRPr="00E332D8">
        <w:rPr>
          <w:rFonts w:ascii="Times New Roman" w:hAnsi="Times New Roman" w:cs="Times New Roman"/>
          <w:sz w:val="24"/>
          <w:szCs w:val="24"/>
        </w:rPr>
        <w:tab/>
        <w:t xml:space="preserve">                                   </w:t>
      </w:r>
      <w:r w:rsidR="005E5C38">
        <w:rPr>
          <w:rFonts w:ascii="Times New Roman" w:hAnsi="Times New Roman" w:cs="Times New Roman"/>
          <w:sz w:val="24"/>
          <w:szCs w:val="24"/>
        </w:rPr>
        <w:tab/>
      </w:r>
      <w:r w:rsidR="00942312" w:rsidRPr="00E332D8">
        <w:rPr>
          <w:rFonts w:ascii="Times New Roman" w:hAnsi="Times New Roman" w:cs="Times New Roman"/>
          <w:sz w:val="24"/>
          <w:szCs w:val="24"/>
        </w:rPr>
        <w:tab/>
        <w:t>(</w:t>
      </w:r>
      <w:r w:rsidR="00586953" w:rsidRPr="00E332D8">
        <w:rPr>
          <w:rFonts w:ascii="Times New Roman" w:hAnsi="Times New Roman" w:cs="Times New Roman"/>
          <w:sz w:val="24"/>
          <w:szCs w:val="24"/>
        </w:rPr>
        <w:t>3</w:t>
      </w:r>
      <w:r w:rsidR="00942312" w:rsidRPr="00E332D8">
        <w:rPr>
          <w:rFonts w:ascii="Times New Roman" w:hAnsi="Times New Roman" w:cs="Times New Roman"/>
          <w:sz w:val="24"/>
          <w:szCs w:val="24"/>
        </w:rPr>
        <w:t>)</w:t>
      </w:r>
    </w:p>
    <w:p w:rsidR="00942312" w:rsidRPr="00E332D8" w:rsidRDefault="00942312" w:rsidP="00230341">
      <w:pPr>
        <w:spacing w:after="0" w:line="360" w:lineRule="auto"/>
        <w:ind w:firstLine="708"/>
        <w:jc w:val="both"/>
        <w:rPr>
          <w:rFonts w:ascii="Times New Roman" w:hAnsi="Times New Roman" w:cs="Times New Roman"/>
          <w:sz w:val="24"/>
          <w:szCs w:val="24"/>
        </w:rPr>
      </w:pPr>
    </w:p>
    <w:p w:rsidR="00942312" w:rsidRPr="00E332D8" w:rsidRDefault="00942312" w:rsidP="006A504B">
      <w:pPr>
        <w:pStyle w:val="Corpodetexto"/>
        <w:contextualSpacing/>
        <w:rPr>
          <w:rFonts w:ascii="Times New Roman" w:hAnsi="Times New Roman" w:cs="Times New Roman"/>
        </w:rPr>
      </w:pPr>
      <w:r w:rsidRPr="00E332D8">
        <w:rPr>
          <w:rFonts w:ascii="Times New Roman" w:hAnsi="Times New Roman" w:cs="Times New Roman"/>
        </w:rPr>
        <w:t xml:space="preserve">onde, </w:t>
      </w:r>
      <w:r w:rsidRPr="00E332D8">
        <w:rPr>
          <w:rFonts w:ascii="Times New Roman" w:hAnsi="Times New Roman" w:cs="Times New Roman"/>
          <w:position w:val="-12"/>
        </w:rPr>
        <w:object w:dxaOrig="320" w:dyaOrig="360">
          <v:shape id="_x0000_i1030" type="#_x0000_t75" style="width:15.55pt;height:19pt" o:ole="">
            <v:imagedata r:id="rId19" o:title=""/>
          </v:shape>
          <o:OLEObject Type="Embed" ProgID="Equation.3" ShapeID="_x0000_i1030" DrawAspect="Content" ObjectID="_1447050313" r:id="rId20"/>
        </w:object>
      </w:r>
      <w:r w:rsidRPr="00E332D8">
        <w:rPr>
          <w:rFonts w:ascii="Times New Roman" w:hAnsi="Times New Roman" w:cs="Times New Roman"/>
        </w:rPr>
        <w:t xml:space="preserve"> é um  vetor de variáveis estacionárias</w:t>
      </w:r>
      <w:r w:rsidRPr="00E332D8">
        <w:rPr>
          <w:rFonts w:ascii="Times New Roman" w:hAnsi="Times New Roman" w:cs="Times New Roman"/>
          <w:i/>
        </w:rPr>
        <w:t>,</w:t>
      </w:r>
      <w:r w:rsidRPr="00E332D8">
        <w:rPr>
          <w:rFonts w:ascii="Times New Roman" w:hAnsi="Times New Roman" w:cs="Times New Roman"/>
        </w:rPr>
        <w:t xml:space="preserve"> </w:t>
      </w:r>
      <w:r w:rsidRPr="00E332D8">
        <w:rPr>
          <w:rFonts w:ascii="Times New Roman" w:hAnsi="Times New Roman" w:cs="Times New Roman"/>
          <w:i/>
        </w:rPr>
        <w:t>p</w:t>
      </w:r>
      <w:r w:rsidRPr="00E332D8">
        <w:rPr>
          <w:rFonts w:ascii="Times New Roman" w:hAnsi="Times New Roman" w:cs="Times New Roman"/>
        </w:rPr>
        <w:t xml:space="preserve"> é o número de defasagens, </w:t>
      </w:r>
      <w:r w:rsidRPr="00E332D8">
        <w:rPr>
          <w:rFonts w:ascii="Times New Roman" w:hAnsi="Times New Roman" w:cs="Times New Roman"/>
          <w:position w:val="-12"/>
        </w:rPr>
        <w:object w:dxaOrig="300" w:dyaOrig="360">
          <v:shape id="_x0000_i1031" type="#_x0000_t75" style="width:15pt;height:19pt" o:ole="">
            <v:imagedata r:id="rId21" o:title=""/>
          </v:shape>
          <o:OLEObject Type="Embed" ProgID="Equation.3" ShapeID="_x0000_i1031" DrawAspect="Content" ObjectID="_1447050314" r:id="rId22"/>
        </w:object>
      </w:r>
      <w:r w:rsidRPr="00E332D8">
        <w:rPr>
          <w:rFonts w:ascii="Times New Roman" w:hAnsi="Times New Roman" w:cs="Times New Roman"/>
        </w:rPr>
        <w:t xml:space="preserve"> é um vetor de interceptos, </w:t>
      </w:r>
      <w:r w:rsidRPr="00E332D8">
        <w:rPr>
          <w:rFonts w:ascii="Times New Roman" w:hAnsi="Times New Roman" w:cs="Times New Roman"/>
          <w:position w:val="-12"/>
        </w:rPr>
        <w:object w:dxaOrig="279" w:dyaOrig="360">
          <v:shape id="_x0000_i1032" type="#_x0000_t75" style="width:14.4pt;height:19pt" o:ole="">
            <v:imagedata r:id="rId23" o:title=""/>
          </v:shape>
          <o:OLEObject Type="Embed" ProgID="Equation.3" ShapeID="_x0000_i1032" DrawAspect="Content" ObjectID="_1447050315" r:id="rId24"/>
        </w:object>
      </w:r>
      <w:r w:rsidRPr="00E332D8">
        <w:rPr>
          <w:rFonts w:ascii="Times New Roman" w:hAnsi="Times New Roman" w:cs="Times New Roman"/>
        </w:rPr>
        <w:t xml:space="preserve"> são matrizes de coeficientes e </w:t>
      </w:r>
      <w:r w:rsidRPr="00E332D8">
        <w:rPr>
          <w:rFonts w:ascii="Times New Roman" w:hAnsi="Times New Roman" w:cs="Times New Roman"/>
          <w:position w:val="-12"/>
        </w:rPr>
        <w:object w:dxaOrig="260" w:dyaOrig="360">
          <v:shape id="_x0000_i1033" type="#_x0000_t75" style="width:12.1pt;height:19pt" o:ole="">
            <v:imagedata r:id="rId25" o:title=""/>
          </v:shape>
          <o:OLEObject Type="Embed" ProgID="Equation.3" ShapeID="_x0000_i1033" DrawAspect="Content" ObjectID="_1447050316" r:id="rId26"/>
        </w:object>
      </w:r>
      <w:r w:rsidRPr="00E332D8">
        <w:rPr>
          <w:rFonts w:ascii="Times New Roman" w:hAnsi="Times New Roman" w:cs="Times New Roman"/>
        </w:rPr>
        <w:t xml:space="preserve"> é um vetor de resíduos não-autocorrelacionados e homocedásticos. A seleção da ordem de defasagem é feita pelos usuais critérios de informação. Como a análise de causalidade não requer a estimação de parâmetros estruturais, não há necessidade de se adotar alguma estratégia de identificação em (3). </w:t>
      </w:r>
    </w:p>
    <w:p w:rsidR="006A504B" w:rsidRPr="00B9355C" w:rsidRDefault="00942312" w:rsidP="006A504B">
      <w:pPr>
        <w:pStyle w:val="Corpodetexto"/>
        <w:contextualSpacing/>
        <w:rPr>
          <w:rFonts w:ascii="Times New Roman" w:hAnsi="Times New Roman" w:cs="Times New Roman"/>
        </w:rPr>
      </w:pPr>
      <w:r w:rsidRPr="00E332D8">
        <w:rPr>
          <w:rFonts w:ascii="Times New Roman" w:hAnsi="Times New Roman" w:cs="Times New Roman"/>
        </w:rPr>
        <w:lastRenderedPageBreak/>
        <w:tab/>
        <w:t xml:space="preserve"> </w:t>
      </w:r>
      <w:r w:rsidR="006A504B" w:rsidRPr="00B9355C">
        <w:rPr>
          <w:rFonts w:ascii="Times New Roman" w:hAnsi="Times New Roman" w:cs="Times New Roman"/>
        </w:rPr>
        <w:t xml:space="preserve">A causalidade de Granger da variável </w:t>
      </w:r>
      <m:oMath>
        <m:r>
          <w:rPr>
            <w:rFonts w:ascii="Cambria Math" w:hAnsi="Cambria Math"/>
          </w:rPr>
          <m:t>x</m:t>
        </m:r>
      </m:oMath>
      <w:r w:rsidR="006A504B" w:rsidRPr="00B9355C">
        <w:rPr>
          <w:rFonts w:ascii="Times New Roman" w:hAnsi="Times New Roman" w:cs="Times New Roman"/>
        </w:rPr>
        <w:t xml:space="preserve"> para a variável </w:t>
      </w:r>
      <m:oMath>
        <m:r>
          <w:rPr>
            <w:rFonts w:ascii="Cambria Math" w:hAnsi="Cambria Math"/>
          </w:rPr>
          <m:t>y</m:t>
        </m:r>
      </m:oMath>
      <w:r w:rsidR="006A504B" w:rsidRPr="00B9355C">
        <w:rPr>
          <w:rFonts w:ascii="Times New Roman" w:hAnsi="Times New Roman" w:cs="Times New Roman"/>
        </w:rPr>
        <w:t xml:space="preserve"> é avaliada testando a hipótese nula de que os coeficientes da variável </w:t>
      </w:r>
      <m:oMath>
        <m:r>
          <w:rPr>
            <w:rFonts w:ascii="Cambria Math" w:hAnsi="Cambria Math"/>
          </w:rPr>
          <m:t>x</m:t>
        </m:r>
      </m:oMath>
      <w:r w:rsidR="006A504B" w:rsidRPr="00B9355C">
        <w:rPr>
          <w:rFonts w:ascii="Times New Roman" w:hAnsi="Times New Roman" w:cs="Times New Roman"/>
        </w:rPr>
        <w:t xml:space="preserve"> em todas as suas defasagens são, simultaneamente, estatisticamente iguais a zero na equação em que </w:t>
      </w:r>
      <m:oMath>
        <m:r>
          <w:rPr>
            <w:rFonts w:ascii="Cambria Math" w:hAnsi="Cambria Math"/>
          </w:rPr>
          <m:t>y</m:t>
        </m:r>
      </m:oMath>
      <w:r w:rsidR="006A504B" w:rsidRPr="00B9355C">
        <w:rPr>
          <w:rFonts w:ascii="Times New Roman" w:hAnsi="Times New Roman" w:cs="Times New Roman"/>
        </w:rPr>
        <w:t xml:space="preserve"> é a variável dependente. Caso a hipótese nula seja rejeitada, conclui-se que a variável </w:t>
      </w:r>
      <m:oMath>
        <m:r>
          <w:rPr>
            <w:rFonts w:ascii="Cambria Math" w:hAnsi="Cambria Math"/>
          </w:rPr>
          <m:t>x</m:t>
        </m:r>
      </m:oMath>
      <w:r w:rsidR="006A504B" w:rsidRPr="00B9355C">
        <w:rPr>
          <w:rFonts w:ascii="Times New Roman" w:hAnsi="Times New Roman" w:cs="Times New Roman"/>
        </w:rPr>
        <w:t xml:space="preserve"> Granger-causa a variável</w:t>
      </w:r>
      <m:oMath>
        <m:r>
          <w:rPr>
            <w:rFonts w:ascii="Cambria Math" w:hAnsi="Cambria Math"/>
          </w:rPr>
          <m:t xml:space="preserve"> y</m:t>
        </m:r>
      </m:oMath>
      <w:r w:rsidR="006A504B" w:rsidRPr="00B9355C">
        <w:rPr>
          <w:rFonts w:ascii="Times New Roman" w:hAnsi="Times New Roman" w:cs="Times New Roman"/>
        </w:rPr>
        <w:t xml:space="preserve">. </w:t>
      </w:r>
    </w:p>
    <w:p w:rsidR="004F7A6D" w:rsidRPr="00E332D8" w:rsidRDefault="004F7A6D" w:rsidP="006A504B">
      <w:pPr>
        <w:autoSpaceDE w:val="0"/>
        <w:autoSpaceDN w:val="0"/>
        <w:adjustRightInd w:val="0"/>
        <w:spacing w:after="0" w:line="360" w:lineRule="auto"/>
        <w:contextualSpacing/>
        <w:jc w:val="both"/>
        <w:rPr>
          <w:rFonts w:ascii="Times New Roman" w:hAnsi="Times New Roman" w:cs="Times New Roman"/>
          <w:sz w:val="24"/>
          <w:szCs w:val="24"/>
        </w:rPr>
      </w:pPr>
      <w:r w:rsidRPr="00E332D8">
        <w:rPr>
          <w:rFonts w:ascii="Times New Roman" w:hAnsi="Times New Roman" w:cs="Times New Roman"/>
          <w:sz w:val="24"/>
          <w:szCs w:val="24"/>
        </w:rPr>
        <w:tab/>
        <w:t>Além da causalidade de Granger, nesse estudo duas outras técnicas econométricas serão utilizadas na análise multivariada: as funções de impulso-resposta generalizadas (FIRG) e a análise da decomposição da variância do erro de previsão (ADV).</w:t>
      </w:r>
    </w:p>
    <w:p w:rsidR="004F7A6D" w:rsidRPr="00E332D8" w:rsidRDefault="004F7A6D" w:rsidP="00230341">
      <w:pPr>
        <w:autoSpaceDE w:val="0"/>
        <w:autoSpaceDN w:val="0"/>
        <w:adjustRightInd w:val="0"/>
        <w:spacing w:after="0" w:line="360" w:lineRule="auto"/>
        <w:ind w:firstLine="567"/>
        <w:jc w:val="both"/>
        <w:rPr>
          <w:rFonts w:ascii="Times New Roman" w:hAnsi="Times New Roman" w:cs="Times New Roman"/>
          <w:sz w:val="24"/>
          <w:szCs w:val="24"/>
        </w:rPr>
      </w:pPr>
      <w:r w:rsidRPr="00E332D8">
        <w:rPr>
          <w:rFonts w:ascii="Times New Roman" w:hAnsi="Times New Roman" w:cs="Times New Roman"/>
          <w:sz w:val="24"/>
          <w:szCs w:val="24"/>
        </w:rPr>
        <w:t>As funções de impulso-resposta permitem avaliar o comportamento individual das variáveis do sistema, em resposta a algum choque em outra variável do modelo. Com este instrumental, analisa-se a sensibilidade das variáveis, por meio de simulação, a choques específicos em um determinado período. Dessa forma, cada coeficiente demonstra a resposta de sua variável no modelo a uma inovação específica, mantendo constantes todas as demais inovações em todos os outros períodos. Em outras palavras, a função impulso-resposta descreve o caminho e as defasagens temporais necessárias para que as variáveis retornem à sua trajetória original. O efeito acumulado de uma mudança de uma unidade em diferentes inovações sobre uma variável é dado pelo somatório dos coeficientes das funções de impulso-resposta (</w:t>
      </w:r>
      <w:r w:rsidRPr="00E332D8">
        <w:rPr>
          <w:rFonts w:ascii="Times New Roman" w:hAnsi="Times New Roman" w:cs="Times New Roman"/>
          <w:caps/>
          <w:sz w:val="24"/>
          <w:szCs w:val="24"/>
        </w:rPr>
        <w:t>Enders</w:t>
      </w:r>
      <w:r w:rsidRPr="00E332D8">
        <w:rPr>
          <w:rFonts w:ascii="Times New Roman" w:hAnsi="Times New Roman" w:cs="Times New Roman"/>
          <w:sz w:val="24"/>
          <w:szCs w:val="24"/>
        </w:rPr>
        <w:t>, 20</w:t>
      </w:r>
      <w:r w:rsidR="00E332D8" w:rsidRPr="00E332D8">
        <w:rPr>
          <w:rFonts w:ascii="Times New Roman" w:hAnsi="Times New Roman" w:cs="Times New Roman"/>
          <w:sz w:val="24"/>
          <w:szCs w:val="24"/>
        </w:rPr>
        <w:t>10</w:t>
      </w:r>
      <w:r w:rsidRPr="00E332D8">
        <w:rPr>
          <w:rFonts w:ascii="Times New Roman" w:hAnsi="Times New Roman" w:cs="Times New Roman"/>
          <w:sz w:val="24"/>
          <w:szCs w:val="24"/>
        </w:rPr>
        <w:t>).</w:t>
      </w:r>
    </w:p>
    <w:p w:rsidR="004F7A6D" w:rsidRPr="00E332D8" w:rsidRDefault="004F7A6D" w:rsidP="00230341">
      <w:pPr>
        <w:pStyle w:val="Corpodetexto"/>
        <w:ind w:firstLine="567"/>
        <w:rPr>
          <w:rFonts w:ascii="Times New Roman" w:hAnsi="Times New Roman" w:cs="Times New Roman"/>
        </w:rPr>
      </w:pPr>
      <w:r w:rsidRPr="00E332D8">
        <w:rPr>
          <w:rFonts w:ascii="Times New Roman" w:hAnsi="Times New Roman" w:cs="Times New Roman"/>
        </w:rPr>
        <w:t>Com o objetivo de eliminar o problema de ordenação de variáveis no VAR, a função de impulso-resposta generalizada (FIRG)</w:t>
      </w:r>
      <w:r w:rsidR="00AD15C2">
        <w:rPr>
          <w:rFonts w:ascii="Times New Roman" w:hAnsi="Times New Roman" w:cs="Times New Roman"/>
        </w:rPr>
        <w:t xml:space="preserve">, desenvolvida por </w:t>
      </w:r>
      <w:r w:rsidR="00AD15C2" w:rsidRPr="00E332D8">
        <w:rPr>
          <w:rFonts w:ascii="Times New Roman" w:hAnsi="Times New Roman" w:cs="Times New Roman"/>
        </w:rPr>
        <w:t>Koop, Pesaran e Potter (1996), e Pes</w:t>
      </w:r>
      <w:r w:rsidR="00AD15C2">
        <w:rPr>
          <w:rFonts w:ascii="Times New Roman" w:hAnsi="Times New Roman" w:cs="Times New Roman"/>
        </w:rPr>
        <w:t>aran e Shin (1998),</w:t>
      </w:r>
      <w:r w:rsidRPr="00E332D8">
        <w:rPr>
          <w:rFonts w:ascii="Times New Roman" w:hAnsi="Times New Roman" w:cs="Times New Roman"/>
        </w:rPr>
        <w:t xml:space="preserve"> é utilizada. O principal argumento para este procedimento é que o impulso-resposta generalizado não varia se houver </w:t>
      </w:r>
      <w:r w:rsidR="00AD15C2">
        <w:rPr>
          <w:rFonts w:ascii="Times New Roman" w:hAnsi="Times New Roman" w:cs="Times New Roman"/>
        </w:rPr>
        <w:t>reordenação de variáveis no VAR, diferentemente do método convencional, como</w:t>
      </w:r>
      <w:r w:rsidR="00AD15C2" w:rsidRPr="00AD15C2">
        <w:rPr>
          <w:rFonts w:ascii="Times New Roman" w:hAnsi="Times New Roman" w:cs="Times New Roman"/>
          <w:color w:val="000000" w:themeColor="text1"/>
        </w:rPr>
        <w:t xml:space="preserve"> apontado por Lutkepohl (1991).</w:t>
      </w:r>
      <w:r w:rsidRPr="00AD15C2">
        <w:rPr>
          <w:rFonts w:ascii="Times New Roman" w:hAnsi="Times New Roman" w:cs="Times New Roman"/>
          <w:color w:val="000000" w:themeColor="text1"/>
        </w:rPr>
        <w:t xml:space="preserve"> </w:t>
      </w:r>
      <w:r w:rsidR="00AD15C2" w:rsidRPr="00AD15C2">
        <w:rPr>
          <w:rFonts w:ascii="Times New Roman" w:hAnsi="Times New Roman" w:cs="Times New Roman"/>
          <w:color w:val="000000" w:themeColor="text1"/>
        </w:rPr>
        <w:t>Portanto, h</w:t>
      </w:r>
      <w:r w:rsidRPr="00E332D8">
        <w:rPr>
          <w:rFonts w:ascii="Times New Roman" w:hAnsi="Times New Roman" w:cs="Times New Roman"/>
        </w:rPr>
        <w:t>á duas vantagens poten</w:t>
      </w:r>
      <w:r w:rsidR="008C5E99">
        <w:rPr>
          <w:rFonts w:ascii="Times New Roman" w:hAnsi="Times New Roman" w:cs="Times New Roman"/>
        </w:rPr>
        <w:t xml:space="preserve">ciais na aplicação desse método </w:t>
      </w:r>
      <w:r w:rsidRPr="00E332D8">
        <w:rPr>
          <w:rFonts w:ascii="Times New Roman" w:hAnsi="Times New Roman" w:cs="Times New Roman"/>
        </w:rPr>
        <w:t>(EWING, 2003): (i) a função de impulso-resposta generalizada fornece resultados mais robustos do que o método ortogonalizado, e (ii) devido ao fato de a ortogonalidade não ser imposta, a função impulso-resposta generalizada permite interpretar de forma mais acurada a resposta do impacto inicial decorrente de cada choque causado por uma variável sobre as demais.</w:t>
      </w:r>
    </w:p>
    <w:p w:rsidR="004F7A6D" w:rsidRDefault="004F7A6D" w:rsidP="00230341">
      <w:pPr>
        <w:spacing w:after="0" w:line="360" w:lineRule="auto"/>
        <w:ind w:firstLine="708"/>
        <w:contextualSpacing/>
        <w:jc w:val="both"/>
        <w:rPr>
          <w:rFonts w:ascii="Times New Roman" w:hAnsi="Times New Roman" w:cs="Times New Roman"/>
          <w:sz w:val="24"/>
          <w:szCs w:val="24"/>
          <w:shd w:val="clear" w:color="auto" w:fill="FFFFFF"/>
        </w:rPr>
      </w:pPr>
      <w:r w:rsidRPr="00E332D8">
        <w:rPr>
          <w:rFonts w:ascii="Times New Roman" w:hAnsi="Times New Roman" w:cs="Times New Roman"/>
          <w:sz w:val="24"/>
          <w:szCs w:val="24"/>
          <w:shd w:val="clear" w:color="auto" w:fill="FFFFFF"/>
        </w:rPr>
        <w:t>A decomposição da variância dos erros de previsão mostra a evolução do comportamento dinâmico apresentado pelas variáveis do sistema econômico, ao longo do tempo, isto é, permite separar a variância dos erros de previsão para cada variável em componentes que podem ser atribuídos por ela própria e pelas demais variáveis endógenas, isoladamente apresentando, em termos percentuais, qual o efeito que um choque não antecipado sobre determinada variável tem sobre ela própria e sobre as demais variáveis pertencentes ao sistema.</w:t>
      </w:r>
    </w:p>
    <w:p w:rsidR="001F5775" w:rsidRPr="00E332D8" w:rsidRDefault="001F5775" w:rsidP="00230341">
      <w:pPr>
        <w:spacing w:after="0" w:line="360" w:lineRule="auto"/>
        <w:ind w:firstLine="708"/>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A estabilidade dinâmica de um processo autorregressivo pode ser verificada a partir da análise do comportamento das raízes inversas do polinômio característico de um sistema VAR (LÜTKEPOHL, 1991), de acordo com o seguinte entendimento: (i) se todas as raízes do polinômio característico se encontrarem dentro do círculo unitário, o sistema será estável, uma vez que todas as raízes devem ter módulo menor do que 1 (um); (ii) se alguma das raízes do polinômio característico estiverem fora do círculo unitário, isto é, apresentarem módulo maior do que 1 (um), então o sistema é instável, com um comportamento de divergência explosiva e; (iii) se, ao menos uma das raízes encontrar-se sobre o círculo unitário, então o sistema é </w:t>
      </w:r>
      <w:r w:rsidR="003F0E5C">
        <w:rPr>
          <w:rFonts w:ascii="Times New Roman" w:hAnsi="Times New Roman" w:cs="Times New Roman"/>
          <w:sz w:val="24"/>
          <w:szCs w:val="24"/>
          <w:shd w:val="clear" w:color="auto" w:fill="FFFFFF"/>
        </w:rPr>
        <w:t>não estacionário, podendo apresentar uma trajetória de tendência estocástica ou um passeio aleatório (BIAGE, CORREA e NEDER, 2008).</w:t>
      </w:r>
    </w:p>
    <w:p w:rsidR="00942312" w:rsidRPr="00E332D8" w:rsidRDefault="00942312" w:rsidP="00E3088B">
      <w:pPr>
        <w:autoSpaceDE w:val="0"/>
        <w:autoSpaceDN w:val="0"/>
        <w:adjustRightInd w:val="0"/>
        <w:spacing w:after="0" w:line="360" w:lineRule="auto"/>
        <w:contextualSpacing/>
        <w:jc w:val="both"/>
        <w:rPr>
          <w:rFonts w:ascii="Times New Roman" w:hAnsi="Times New Roman" w:cs="Times New Roman"/>
          <w:sz w:val="24"/>
          <w:szCs w:val="24"/>
        </w:rPr>
      </w:pPr>
      <w:r w:rsidRPr="00E332D8">
        <w:rPr>
          <w:rFonts w:ascii="Times New Roman" w:hAnsi="Times New Roman" w:cs="Times New Roman"/>
          <w:sz w:val="24"/>
          <w:szCs w:val="24"/>
        </w:rPr>
        <w:tab/>
      </w:r>
    </w:p>
    <w:p w:rsidR="00004894" w:rsidRPr="00E332D8" w:rsidRDefault="00FE4276" w:rsidP="0023034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5</w:t>
      </w:r>
      <w:r w:rsidR="00DC14DA">
        <w:rPr>
          <w:rFonts w:ascii="Times New Roman" w:hAnsi="Times New Roman" w:cs="Times New Roman"/>
          <w:b/>
          <w:sz w:val="24"/>
          <w:szCs w:val="24"/>
        </w:rPr>
        <w:t>. Descrição dos dados e tratamento das v</w:t>
      </w:r>
      <w:r w:rsidR="00004894" w:rsidRPr="00E332D8">
        <w:rPr>
          <w:rFonts w:ascii="Times New Roman" w:hAnsi="Times New Roman" w:cs="Times New Roman"/>
          <w:b/>
          <w:sz w:val="24"/>
          <w:szCs w:val="24"/>
        </w:rPr>
        <w:t>ariáveis</w:t>
      </w:r>
    </w:p>
    <w:p w:rsidR="00004894" w:rsidRPr="00E332D8" w:rsidRDefault="00004894" w:rsidP="00230341">
      <w:pPr>
        <w:autoSpaceDE w:val="0"/>
        <w:autoSpaceDN w:val="0"/>
        <w:adjustRightInd w:val="0"/>
        <w:spacing w:after="0" w:line="360" w:lineRule="auto"/>
        <w:jc w:val="both"/>
        <w:rPr>
          <w:rFonts w:ascii="Times New Roman" w:hAnsi="Times New Roman" w:cs="Times New Roman"/>
          <w:sz w:val="24"/>
          <w:szCs w:val="24"/>
        </w:rPr>
      </w:pPr>
    </w:p>
    <w:p w:rsidR="00004894" w:rsidRPr="00E332D8" w:rsidRDefault="00004894" w:rsidP="00B50A33">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E332D8">
        <w:rPr>
          <w:rFonts w:ascii="Times New Roman" w:hAnsi="Times New Roman" w:cs="Times New Roman"/>
          <w:sz w:val="24"/>
          <w:szCs w:val="24"/>
        </w:rPr>
        <w:t>Os dados utilizados no estudo foram obtidos no sítio eletrônico do Instituto Brasileiro de Geografia e Estatística (IBGE)</w:t>
      </w:r>
      <w:r w:rsidR="00B50A33" w:rsidRPr="00E332D8">
        <w:rPr>
          <w:rStyle w:val="Refdenotaderodap"/>
          <w:rFonts w:ascii="Times New Roman" w:hAnsi="Times New Roman" w:cs="Times New Roman"/>
          <w:sz w:val="24"/>
          <w:szCs w:val="24"/>
        </w:rPr>
        <w:footnoteReference w:id="3"/>
      </w:r>
      <w:r w:rsidR="00B50A33" w:rsidRPr="00E332D8">
        <w:rPr>
          <w:rFonts w:ascii="Times New Roman" w:hAnsi="Times New Roman" w:cs="Times New Roman"/>
          <w:sz w:val="24"/>
          <w:szCs w:val="24"/>
        </w:rPr>
        <w:t xml:space="preserve"> e no</w:t>
      </w:r>
      <w:r w:rsidR="00B50A33" w:rsidRPr="00E332D8">
        <w:rPr>
          <w:rFonts w:ascii="Times New Roman" w:eastAsiaTheme="minorHAnsi" w:hAnsi="Times New Roman" w:cs="Times New Roman"/>
          <w:sz w:val="24"/>
          <w:szCs w:val="24"/>
          <w:lang w:eastAsia="en-US"/>
        </w:rPr>
        <w:t xml:space="preserve"> sítio eletrônico do Instituto de Pesquisa Econômica Aplicada (IPEA)</w:t>
      </w:r>
      <w:r w:rsidR="00B50A33" w:rsidRPr="00E332D8">
        <w:rPr>
          <w:rStyle w:val="Refdenotaderodap"/>
          <w:rFonts w:ascii="Times New Roman" w:eastAsiaTheme="minorHAnsi" w:hAnsi="Times New Roman" w:cs="Times New Roman"/>
          <w:sz w:val="24"/>
          <w:szCs w:val="24"/>
          <w:lang w:eastAsia="en-US"/>
        </w:rPr>
        <w:footnoteReference w:id="4"/>
      </w:r>
      <w:r w:rsidRPr="00E332D8">
        <w:rPr>
          <w:rFonts w:ascii="Times New Roman" w:hAnsi="Times New Roman" w:cs="Times New Roman"/>
          <w:sz w:val="24"/>
          <w:szCs w:val="24"/>
        </w:rPr>
        <w:t xml:space="preserve">. A amostra é constituída de dados trimestrais </w:t>
      </w:r>
      <w:r w:rsidR="006D1DEA" w:rsidRPr="00E332D8">
        <w:rPr>
          <w:rFonts w:ascii="Times New Roman" w:hAnsi="Times New Roman" w:cs="Times New Roman"/>
          <w:sz w:val="24"/>
          <w:szCs w:val="24"/>
        </w:rPr>
        <w:t xml:space="preserve">abrangendo o </w:t>
      </w:r>
      <w:r w:rsidRPr="00E332D8">
        <w:rPr>
          <w:rFonts w:ascii="Times New Roman" w:hAnsi="Times New Roman" w:cs="Times New Roman"/>
          <w:sz w:val="24"/>
          <w:szCs w:val="24"/>
        </w:rPr>
        <w:t xml:space="preserve">primeiro trimestre de 1995 </w:t>
      </w:r>
      <w:r w:rsidR="006D1DEA" w:rsidRPr="00E332D8">
        <w:rPr>
          <w:rFonts w:ascii="Times New Roman" w:hAnsi="Times New Roman" w:cs="Times New Roman"/>
          <w:sz w:val="24"/>
          <w:szCs w:val="24"/>
        </w:rPr>
        <w:t xml:space="preserve">até </w:t>
      </w:r>
      <w:r w:rsidRPr="00E332D8">
        <w:rPr>
          <w:rFonts w:ascii="Times New Roman" w:hAnsi="Times New Roman" w:cs="Times New Roman"/>
          <w:sz w:val="24"/>
          <w:szCs w:val="24"/>
        </w:rPr>
        <w:t xml:space="preserve">o segundo trimestre de 2012. </w:t>
      </w:r>
    </w:p>
    <w:p w:rsidR="00B50A33" w:rsidRPr="00E332D8" w:rsidRDefault="00B50A33" w:rsidP="00B50A33">
      <w:pPr>
        <w:autoSpaceDE w:val="0"/>
        <w:autoSpaceDN w:val="0"/>
        <w:adjustRightInd w:val="0"/>
        <w:spacing w:line="360" w:lineRule="auto"/>
        <w:ind w:firstLine="709"/>
        <w:contextualSpacing/>
        <w:jc w:val="both"/>
        <w:rPr>
          <w:rFonts w:ascii="Times New Roman" w:hAnsi="Times New Roman" w:cs="Times New Roman"/>
          <w:bCs/>
          <w:sz w:val="24"/>
          <w:szCs w:val="24"/>
        </w:rPr>
      </w:pPr>
      <w:r w:rsidRPr="00E332D8">
        <w:rPr>
          <w:rFonts w:ascii="Times New Roman" w:eastAsiaTheme="minorHAnsi" w:hAnsi="Times New Roman" w:cs="Times New Roman"/>
          <w:sz w:val="24"/>
          <w:szCs w:val="24"/>
          <w:lang w:eastAsia="en-US"/>
        </w:rPr>
        <w:t>A série do Produto Interno Bruto (PIB), em valores correntes (R$ milhões), é a soma de todos os bens e serviços finais produzidos na economia (dentro do território nacional) durante determinado período de tempo. Já a série de Investimento Agregado, em valores correntes (R$ milhões),</w:t>
      </w:r>
      <w:r w:rsidR="00F02817" w:rsidRPr="00E332D8">
        <w:rPr>
          <w:rFonts w:ascii="Times New Roman" w:eastAsiaTheme="minorHAnsi" w:hAnsi="Times New Roman" w:cs="Times New Roman"/>
          <w:sz w:val="24"/>
          <w:szCs w:val="24"/>
          <w:lang w:eastAsia="en-US"/>
        </w:rPr>
        <w:t xml:space="preserve"> </w:t>
      </w:r>
      <w:r w:rsidRPr="00E332D8">
        <w:rPr>
          <w:rFonts w:ascii="Times New Roman" w:eastAsiaTheme="minorHAnsi" w:hAnsi="Times New Roman" w:cs="Times New Roman"/>
          <w:sz w:val="24"/>
          <w:szCs w:val="24"/>
          <w:lang w:eastAsia="en-US"/>
        </w:rPr>
        <w:t xml:space="preserve">corresponde à soma da formação bruta de capital fixo mais a variação de estoques das firmas nessa economia. </w:t>
      </w:r>
      <w:r w:rsidR="00F42AFE" w:rsidRPr="00E332D8">
        <w:rPr>
          <w:rFonts w:ascii="Times New Roman" w:eastAsiaTheme="minorHAnsi" w:hAnsi="Times New Roman" w:cs="Times New Roman"/>
          <w:sz w:val="24"/>
          <w:szCs w:val="24"/>
          <w:lang w:eastAsia="en-US"/>
        </w:rPr>
        <w:t xml:space="preserve"> </w:t>
      </w:r>
      <w:r w:rsidRPr="00E332D8">
        <w:rPr>
          <w:rFonts w:ascii="Times New Roman" w:eastAsiaTheme="minorHAnsi" w:hAnsi="Times New Roman" w:cs="Times New Roman"/>
          <w:sz w:val="24"/>
          <w:szCs w:val="24"/>
          <w:lang w:eastAsia="en-US"/>
        </w:rPr>
        <w:t>Essa</w:t>
      </w:r>
      <w:r w:rsidR="00F42AFE" w:rsidRPr="00E332D8">
        <w:rPr>
          <w:rFonts w:ascii="Times New Roman" w:eastAsiaTheme="minorHAnsi" w:hAnsi="Times New Roman" w:cs="Times New Roman"/>
          <w:sz w:val="24"/>
          <w:szCs w:val="24"/>
          <w:lang w:eastAsia="en-US"/>
        </w:rPr>
        <w:t>s duas</w:t>
      </w:r>
      <w:r w:rsidRPr="00E332D8">
        <w:rPr>
          <w:rFonts w:ascii="Times New Roman" w:eastAsiaTheme="minorHAnsi" w:hAnsi="Times New Roman" w:cs="Times New Roman"/>
          <w:sz w:val="24"/>
          <w:szCs w:val="24"/>
          <w:lang w:eastAsia="en-US"/>
        </w:rPr>
        <w:t xml:space="preserve"> série</w:t>
      </w:r>
      <w:r w:rsidR="00F42AFE" w:rsidRPr="00E332D8">
        <w:rPr>
          <w:rFonts w:ascii="Times New Roman" w:eastAsiaTheme="minorHAnsi" w:hAnsi="Times New Roman" w:cs="Times New Roman"/>
          <w:sz w:val="24"/>
          <w:szCs w:val="24"/>
          <w:lang w:eastAsia="en-US"/>
        </w:rPr>
        <w:t>s</w:t>
      </w:r>
      <w:r w:rsidRPr="00E332D8">
        <w:rPr>
          <w:rFonts w:ascii="Times New Roman" w:eastAsiaTheme="minorHAnsi" w:hAnsi="Times New Roman" w:cs="Times New Roman"/>
          <w:sz w:val="24"/>
          <w:szCs w:val="24"/>
          <w:lang w:eastAsia="en-US"/>
        </w:rPr>
        <w:t xml:space="preserve"> tem como fonte primária o </w:t>
      </w:r>
      <w:r w:rsidRPr="00E332D8">
        <w:rPr>
          <w:rFonts w:ascii="Times New Roman" w:hAnsi="Times New Roman" w:cs="Times New Roman"/>
          <w:bCs/>
          <w:sz w:val="24"/>
          <w:szCs w:val="24"/>
        </w:rPr>
        <w:t>Instituto Brasileiro de Geografia e Estatística - Sistema de Contas Nacionais Referência 2000 (IBGE/SCN 2000 Anual).</w:t>
      </w:r>
    </w:p>
    <w:p w:rsidR="00F42AFE" w:rsidRDefault="00F42AFE" w:rsidP="00F65F76">
      <w:pPr>
        <w:autoSpaceDE w:val="0"/>
        <w:autoSpaceDN w:val="0"/>
        <w:adjustRightInd w:val="0"/>
        <w:spacing w:line="360" w:lineRule="auto"/>
        <w:ind w:firstLine="709"/>
        <w:contextualSpacing/>
        <w:jc w:val="both"/>
        <w:rPr>
          <w:rFonts w:ascii="Times New Roman" w:hAnsi="Times New Roman" w:cs="Times New Roman"/>
          <w:bCs/>
          <w:sz w:val="24"/>
          <w:szCs w:val="24"/>
        </w:rPr>
      </w:pPr>
      <w:r w:rsidRPr="00E332D8">
        <w:rPr>
          <w:rFonts w:ascii="Times New Roman" w:hAnsi="Times New Roman" w:cs="Times New Roman"/>
          <w:bCs/>
          <w:sz w:val="24"/>
          <w:szCs w:val="24"/>
        </w:rPr>
        <w:t>Além disso, a série de Poupança Agregada</w:t>
      </w:r>
      <w:r w:rsidRPr="00E332D8">
        <w:rPr>
          <w:rFonts w:ascii="Times New Roman" w:eastAsiaTheme="minorHAnsi" w:hAnsi="Times New Roman" w:cs="Times New Roman"/>
          <w:sz w:val="24"/>
          <w:szCs w:val="24"/>
          <w:lang w:eastAsia="en-US"/>
        </w:rPr>
        <w:t>, em valores correntes (R$ milhões),</w:t>
      </w:r>
      <w:r w:rsidRPr="00E332D8">
        <w:rPr>
          <w:rFonts w:ascii="Times New Roman" w:hAnsi="Times New Roman" w:cs="Times New Roman"/>
          <w:bCs/>
          <w:sz w:val="24"/>
          <w:szCs w:val="24"/>
        </w:rPr>
        <w:t xml:space="preserve"> corresponde à Poupança Nacional Bruta, obtida no IPEADATA, mas tendo como</w:t>
      </w:r>
      <w:r w:rsidRPr="00E332D8">
        <w:rPr>
          <w:rFonts w:ascii="Times New Roman" w:eastAsiaTheme="minorHAnsi" w:hAnsi="Times New Roman" w:cs="Times New Roman"/>
          <w:sz w:val="24"/>
          <w:szCs w:val="24"/>
          <w:lang w:eastAsia="en-US"/>
        </w:rPr>
        <w:t xml:space="preserve"> fonte primária o </w:t>
      </w:r>
      <w:r w:rsidRPr="00E332D8">
        <w:rPr>
          <w:rFonts w:ascii="Times New Roman" w:hAnsi="Times New Roman" w:cs="Times New Roman"/>
          <w:bCs/>
          <w:sz w:val="24"/>
          <w:szCs w:val="24"/>
        </w:rPr>
        <w:t>Instituto Brasileiro de Geografia e Estatística - Sistema de Contas Nacionais Referência 2000 (IBGE/SCN 2000 Anual).</w:t>
      </w:r>
    </w:p>
    <w:p w:rsidR="00444E21" w:rsidRPr="00E332D8" w:rsidRDefault="00444E21" w:rsidP="00F65F76">
      <w:pPr>
        <w:autoSpaceDE w:val="0"/>
        <w:autoSpaceDN w:val="0"/>
        <w:adjustRightInd w:val="0"/>
        <w:spacing w:line="36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É importante mencionar que o coeficiente de correlação entre poupança agregada e investimento agregado é alto </w:t>
      </w:r>
      <m:oMath>
        <m:d>
          <m:dPr>
            <m:ctrlPr>
              <w:rPr>
                <w:rFonts w:ascii="Cambria Math" w:hAnsi="Cambria Math"/>
                <w:sz w:val="24"/>
                <w:szCs w:val="24"/>
              </w:rPr>
            </m:ctrlPr>
          </m:dPr>
          <m:e>
            <m:r>
              <w:rPr>
                <w:rFonts w:ascii="Cambria Math" w:hAnsi="Cambria Math"/>
                <w:sz w:val="24"/>
                <w:szCs w:val="24"/>
              </w:rPr>
              <m:t>ρ</m:t>
            </m:r>
            <m:r>
              <m:rPr>
                <m:sty m:val="p"/>
              </m:rPr>
              <w:rPr>
                <w:rFonts w:ascii="Cambria Math" w:hAnsi="Cambria Math"/>
                <w:sz w:val="24"/>
                <w:szCs w:val="24"/>
              </w:rPr>
              <m:t>=0,89</m:t>
            </m:r>
          </m:e>
        </m:d>
      </m:oMath>
      <w:r>
        <w:rPr>
          <w:rFonts w:ascii="Times New Roman" w:hAnsi="Times New Roman" w:cs="Times New Roman"/>
          <w:sz w:val="24"/>
          <w:szCs w:val="24"/>
        </w:rPr>
        <w:t xml:space="preserve"> no caso brasileiro para o período analisado.</w:t>
      </w:r>
    </w:p>
    <w:p w:rsidR="006D1DEA" w:rsidRPr="00E332D8" w:rsidRDefault="006D1DEA" w:rsidP="00B50A33">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E332D8">
        <w:rPr>
          <w:rFonts w:ascii="Times New Roman" w:hAnsi="Times New Roman" w:cs="Times New Roman"/>
          <w:sz w:val="24"/>
          <w:szCs w:val="24"/>
        </w:rPr>
        <w:t xml:space="preserve">O tratamento dos dados ocorreu da seguinte forma. Primeiro, os valores nominais das séries de investimento agregado, poupança agregada e PIB foram deflacionadas pelo </w:t>
      </w:r>
      <w:r w:rsidR="00B50A33" w:rsidRPr="00E332D8">
        <w:rPr>
          <w:rFonts w:ascii="Times New Roman" w:hAnsi="Times New Roman" w:cs="Times New Roman"/>
          <w:bCs/>
          <w:sz w:val="24"/>
          <w:szCs w:val="24"/>
        </w:rPr>
        <w:t xml:space="preserve">Índice </w:t>
      </w:r>
      <w:r w:rsidR="00B50A33" w:rsidRPr="00E332D8">
        <w:rPr>
          <w:rFonts w:ascii="Times New Roman" w:hAnsi="Times New Roman" w:cs="Times New Roman"/>
          <w:bCs/>
          <w:sz w:val="24"/>
          <w:szCs w:val="24"/>
        </w:rPr>
        <w:lastRenderedPageBreak/>
        <w:t>Geral de Preços – Disponibilidade Interna (IGP-DI, agosto de 1994 = 100) – o qual é calculado e divulgado originalmente pela Fundação Getulio Vargas, Conjuntura Econômica (FGV/Conj. Econ. - IGP) e registra a inflação de preços desde matérias-primas agrícolas e industriais até bens e serviços finais</w:t>
      </w:r>
      <w:r w:rsidR="00B50A33" w:rsidRPr="00E332D8">
        <w:rPr>
          <w:rStyle w:val="Refdenotaderodap"/>
          <w:rFonts w:ascii="Times New Roman" w:hAnsi="Times New Roman" w:cs="Times New Roman"/>
          <w:bCs/>
          <w:sz w:val="24"/>
          <w:szCs w:val="24"/>
        </w:rPr>
        <w:footnoteReference w:id="5"/>
      </w:r>
      <w:r w:rsidR="00B50A33" w:rsidRPr="00E332D8">
        <w:rPr>
          <w:rFonts w:ascii="Times New Roman" w:hAnsi="Times New Roman" w:cs="Times New Roman"/>
          <w:bCs/>
          <w:sz w:val="24"/>
          <w:szCs w:val="24"/>
        </w:rPr>
        <w:t>.</w:t>
      </w:r>
    </w:p>
    <w:p w:rsidR="00203E86" w:rsidRPr="00E332D8" w:rsidRDefault="00203E86" w:rsidP="00C00750">
      <w:pPr>
        <w:spacing w:line="360" w:lineRule="auto"/>
        <w:ind w:firstLine="706"/>
        <w:contextualSpacing/>
        <w:jc w:val="both"/>
        <w:rPr>
          <w:rFonts w:ascii="Times New Roman" w:hAnsi="Times New Roman" w:cs="Times New Roman"/>
          <w:sz w:val="24"/>
          <w:szCs w:val="24"/>
        </w:rPr>
      </w:pPr>
      <w:r w:rsidRPr="00E332D8">
        <w:rPr>
          <w:rFonts w:ascii="Times New Roman" w:hAnsi="Times New Roman" w:cs="Times New Roman"/>
          <w:sz w:val="24"/>
          <w:szCs w:val="24"/>
        </w:rPr>
        <w:t xml:space="preserve">Em seguida, essas novas séries em termos reais são ajustadas sazonalmente pelo método Census X-12. </w:t>
      </w:r>
      <w:r w:rsidR="00C00750" w:rsidRPr="00E332D8">
        <w:rPr>
          <w:rFonts w:ascii="Times New Roman" w:hAnsi="Times New Roman" w:cs="Times New Roman"/>
          <w:sz w:val="24"/>
          <w:szCs w:val="24"/>
        </w:rPr>
        <w:t>O investimento bruto e a poupança nacional bruta são apresentados como a razão da poupança nacional bruta pelo PIB e a razão do investimento bruto pelo PIB, respectivamente. Na etapa final, essas duas novas séries são convertidas</w:t>
      </w:r>
      <w:r w:rsidRPr="00E332D8">
        <w:rPr>
          <w:rFonts w:ascii="Times New Roman" w:hAnsi="Times New Roman" w:cs="Times New Roman"/>
          <w:sz w:val="24"/>
          <w:szCs w:val="24"/>
        </w:rPr>
        <w:t xml:space="preserve"> na forma </w:t>
      </w:r>
      <w:r w:rsidR="00C00750" w:rsidRPr="00E332D8">
        <w:rPr>
          <w:rFonts w:ascii="Times New Roman" w:hAnsi="Times New Roman" w:cs="Times New Roman"/>
          <w:sz w:val="24"/>
          <w:szCs w:val="24"/>
        </w:rPr>
        <w:t>de logaritmos naturais, de modo que os coeficientes estimados podem ser interpretados como elasticidades.</w:t>
      </w:r>
    </w:p>
    <w:p w:rsidR="00004894" w:rsidRDefault="00570C64" w:rsidP="00570C64">
      <w:pPr>
        <w:autoSpaceDE w:val="0"/>
        <w:autoSpaceDN w:val="0"/>
        <w:adjustRightInd w:val="0"/>
        <w:spacing w:after="0" w:line="360" w:lineRule="auto"/>
        <w:ind w:firstLine="708"/>
        <w:jc w:val="both"/>
        <w:rPr>
          <w:rFonts w:ascii="Times New Roman" w:hAnsi="Times New Roman" w:cs="Times New Roman"/>
          <w:sz w:val="24"/>
          <w:szCs w:val="24"/>
        </w:rPr>
      </w:pPr>
      <w:r w:rsidRPr="00E332D8">
        <w:rPr>
          <w:rFonts w:ascii="Times New Roman" w:hAnsi="Times New Roman" w:cs="Times New Roman"/>
          <w:sz w:val="24"/>
          <w:szCs w:val="24"/>
        </w:rPr>
        <w:t>A</w:t>
      </w:r>
      <w:r w:rsidR="00004894" w:rsidRPr="00E332D8">
        <w:rPr>
          <w:rFonts w:ascii="Times New Roman" w:hAnsi="Times New Roman" w:cs="Times New Roman"/>
          <w:sz w:val="24"/>
          <w:szCs w:val="24"/>
        </w:rPr>
        <w:t xml:space="preserve"> Figura 1 </w:t>
      </w:r>
      <w:r w:rsidRPr="00E332D8">
        <w:rPr>
          <w:rFonts w:ascii="Times New Roman" w:hAnsi="Times New Roman" w:cs="Times New Roman"/>
          <w:sz w:val="24"/>
          <w:szCs w:val="24"/>
        </w:rPr>
        <w:t xml:space="preserve">a seguir mostra a trajetória das variáveis Investimento/PIB e Poupança/PIB, em termos reais e dessazonalizadas. </w:t>
      </w:r>
      <w:r w:rsidR="00AD2648" w:rsidRPr="00E332D8">
        <w:rPr>
          <w:rFonts w:ascii="Times New Roman" w:hAnsi="Times New Roman" w:cs="Times New Roman"/>
          <w:sz w:val="24"/>
          <w:szCs w:val="24"/>
        </w:rPr>
        <w:t>N</w:t>
      </w:r>
      <w:r w:rsidR="00004894" w:rsidRPr="00E332D8">
        <w:rPr>
          <w:rFonts w:ascii="Times New Roman" w:hAnsi="Times New Roman" w:cs="Times New Roman"/>
          <w:sz w:val="24"/>
          <w:szCs w:val="24"/>
        </w:rPr>
        <w:t xml:space="preserve">ota-se um crescimento a níveis mais altos do investimento em relação à poupança. </w:t>
      </w:r>
    </w:p>
    <w:p w:rsidR="00762292" w:rsidRDefault="00762292" w:rsidP="00570C64">
      <w:pPr>
        <w:autoSpaceDE w:val="0"/>
        <w:autoSpaceDN w:val="0"/>
        <w:adjustRightInd w:val="0"/>
        <w:spacing w:after="0" w:line="360" w:lineRule="auto"/>
        <w:ind w:firstLine="708"/>
        <w:jc w:val="both"/>
        <w:rPr>
          <w:rFonts w:ascii="Times New Roman" w:hAnsi="Times New Roman" w:cs="Times New Roman"/>
          <w:sz w:val="24"/>
          <w:szCs w:val="24"/>
        </w:rPr>
      </w:pPr>
    </w:p>
    <w:p w:rsidR="00E06DD2" w:rsidRPr="002116A6" w:rsidRDefault="00E06DD2" w:rsidP="00F02817">
      <w:pPr>
        <w:spacing w:line="240" w:lineRule="auto"/>
        <w:ind w:left="851" w:right="1134"/>
        <w:contextualSpacing/>
        <w:jc w:val="both"/>
        <w:rPr>
          <w:rFonts w:ascii="Times New Roman" w:hAnsi="Times New Roman" w:cs="Times New Roman"/>
          <w:b/>
          <w:noProof/>
          <w:sz w:val="24"/>
          <w:szCs w:val="24"/>
        </w:rPr>
      </w:pPr>
      <w:r w:rsidRPr="00586953">
        <w:rPr>
          <w:rFonts w:ascii="Times New Roman" w:hAnsi="Times New Roman" w:cs="Times New Roman"/>
          <w:b/>
          <w:noProof/>
          <w:sz w:val="24"/>
          <w:szCs w:val="24"/>
        </w:rPr>
        <w:t>Figura 1</w:t>
      </w:r>
      <w:r w:rsidR="002116A6">
        <w:rPr>
          <w:rFonts w:ascii="Times New Roman" w:hAnsi="Times New Roman" w:cs="Times New Roman"/>
          <w:noProof/>
          <w:sz w:val="24"/>
          <w:szCs w:val="24"/>
        </w:rPr>
        <w:t>.</w:t>
      </w:r>
      <w:r w:rsidRPr="00586953">
        <w:rPr>
          <w:rFonts w:ascii="Times New Roman" w:hAnsi="Times New Roman" w:cs="Times New Roman"/>
          <w:noProof/>
          <w:sz w:val="24"/>
          <w:szCs w:val="24"/>
        </w:rPr>
        <w:t xml:space="preserve"> </w:t>
      </w:r>
      <w:r w:rsidRPr="002116A6">
        <w:rPr>
          <w:rFonts w:ascii="Times New Roman" w:hAnsi="Times New Roman" w:cs="Times New Roman"/>
          <w:b/>
          <w:noProof/>
          <w:sz w:val="24"/>
          <w:szCs w:val="24"/>
        </w:rPr>
        <w:t>Evolução das variáveis Poupança/PIB e Investimento/PIB, em termos reais, dessazonalizada, no período de 1995 a 2012.</w:t>
      </w:r>
    </w:p>
    <w:p w:rsidR="0053101C" w:rsidRDefault="00E06DD2" w:rsidP="005E5C38">
      <w:pPr>
        <w:spacing w:line="240" w:lineRule="auto"/>
        <w:ind w:left="851" w:right="1132"/>
        <w:jc w:val="both"/>
        <w:rPr>
          <w:rFonts w:ascii="Times New Roman" w:hAnsi="Times New Roman" w:cs="Times New Roman"/>
          <w:noProof/>
          <w:sz w:val="20"/>
          <w:szCs w:val="20"/>
        </w:rPr>
      </w:pPr>
      <w:r w:rsidRPr="00586953">
        <w:object w:dxaOrig="7380" w:dyaOrig="5085">
          <v:shape id="_x0000_i1034" type="#_x0000_t75" style="width:369.2pt;height:255.75pt" o:ole="">
            <v:imagedata r:id="rId27" o:title=""/>
          </v:shape>
          <o:OLEObject Type="Embed" ProgID="EViews.Workfile.2" ShapeID="_x0000_i1034" DrawAspect="Content" ObjectID="_1447050317" r:id="rId28"/>
        </w:object>
      </w:r>
      <w:r w:rsidRPr="00586953">
        <w:rPr>
          <w:rFonts w:ascii="Times New Roman" w:hAnsi="Times New Roman" w:cs="Times New Roman"/>
          <w:b/>
          <w:noProof/>
          <w:sz w:val="20"/>
          <w:szCs w:val="20"/>
        </w:rPr>
        <w:t>Nota</w:t>
      </w:r>
      <w:r w:rsidR="002116A6">
        <w:rPr>
          <w:rFonts w:ascii="Times New Roman" w:hAnsi="Times New Roman" w:cs="Times New Roman"/>
          <w:noProof/>
          <w:sz w:val="20"/>
          <w:szCs w:val="20"/>
        </w:rPr>
        <w:t>: Elaboração própria</w:t>
      </w:r>
      <w:r>
        <w:rPr>
          <w:rFonts w:ascii="Times New Roman" w:hAnsi="Times New Roman" w:cs="Times New Roman"/>
          <w:noProof/>
          <w:sz w:val="20"/>
          <w:szCs w:val="20"/>
        </w:rPr>
        <w:t>.</w:t>
      </w:r>
    </w:p>
    <w:p w:rsidR="005E5C38" w:rsidRDefault="005E5C38" w:rsidP="005E5C38">
      <w:pPr>
        <w:spacing w:line="240" w:lineRule="auto"/>
        <w:ind w:left="851" w:right="1132"/>
        <w:jc w:val="both"/>
        <w:rPr>
          <w:rFonts w:ascii="Times New Roman" w:hAnsi="Times New Roman" w:cs="Times New Roman"/>
          <w:noProof/>
          <w:sz w:val="20"/>
          <w:szCs w:val="20"/>
        </w:rPr>
      </w:pPr>
    </w:p>
    <w:p w:rsidR="001A3BB2" w:rsidRPr="00586953" w:rsidRDefault="00FE4276" w:rsidP="0023034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6</w:t>
      </w:r>
      <w:r w:rsidR="00004894" w:rsidRPr="00586953">
        <w:rPr>
          <w:rFonts w:ascii="Times New Roman" w:hAnsi="Times New Roman" w:cs="Times New Roman"/>
          <w:b/>
          <w:sz w:val="24"/>
          <w:szCs w:val="24"/>
        </w:rPr>
        <w:t xml:space="preserve">. Análise dos </w:t>
      </w:r>
      <w:r w:rsidR="00DC14DA">
        <w:rPr>
          <w:rFonts w:ascii="Times New Roman" w:hAnsi="Times New Roman" w:cs="Times New Roman"/>
          <w:b/>
          <w:sz w:val="24"/>
          <w:szCs w:val="24"/>
        </w:rPr>
        <w:t>r</w:t>
      </w:r>
      <w:r w:rsidR="001A3BB2" w:rsidRPr="00586953">
        <w:rPr>
          <w:rFonts w:ascii="Times New Roman" w:hAnsi="Times New Roman" w:cs="Times New Roman"/>
          <w:b/>
          <w:sz w:val="24"/>
          <w:szCs w:val="24"/>
        </w:rPr>
        <w:t>esultados</w:t>
      </w:r>
    </w:p>
    <w:p w:rsidR="00B522BC" w:rsidRDefault="00B522BC" w:rsidP="00230341">
      <w:pPr>
        <w:spacing w:after="0" w:line="360" w:lineRule="auto"/>
        <w:jc w:val="both"/>
        <w:rPr>
          <w:rFonts w:ascii="Times New Roman" w:hAnsi="Times New Roman" w:cs="Times New Roman"/>
          <w:b/>
          <w:sz w:val="24"/>
          <w:szCs w:val="24"/>
        </w:rPr>
      </w:pPr>
    </w:p>
    <w:p w:rsidR="004B3779" w:rsidRDefault="001A3BB2" w:rsidP="004B3779">
      <w:pPr>
        <w:autoSpaceDE w:val="0"/>
        <w:autoSpaceDN w:val="0"/>
        <w:adjustRightInd w:val="0"/>
        <w:spacing w:after="0" w:line="360" w:lineRule="auto"/>
        <w:ind w:firstLine="708"/>
        <w:jc w:val="both"/>
        <w:rPr>
          <w:rFonts w:ascii="Times New Roman" w:hAnsi="Times New Roman"/>
          <w:sz w:val="24"/>
          <w:szCs w:val="24"/>
        </w:rPr>
      </w:pPr>
      <w:r w:rsidRPr="00586953">
        <w:rPr>
          <w:rFonts w:ascii="Times New Roman" w:hAnsi="Times New Roman" w:cs="Times New Roman"/>
          <w:sz w:val="24"/>
          <w:szCs w:val="24"/>
        </w:rPr>
        <w:t xml:space="preserve">A Tabela </w:t>
      </w:r>
      <w:r w:rsidR="00213F7C" w:rsidRPr="00586953">
        <w:rPr>
          <w:rFonts w:ascii="Times New Roman" w:hAnsi="Times New Roman" w:cs="Times New Roman"/>
          <w:sz w:val="24"/>
          <w:szCs w:val="24"/>
        </w:rPr>
        <w:t>1</w:t>
      </w:r>
      <w:r w:rsidRPr="00586953">
        <w:rPr>
          <w:rFonts w:ascii="Times New Roman" w:hAnsi="Times New Roman" w:cs="Times New Roman"/>
          <w:sz w:val="24"/>
          <w:szCs w:val="24"/>
        </w:rPr>
        <w:t xml:space="preserve"> mostra os resultados utilizando </w:t>
      </w:r>
      <w:r w:rsidR="00FF4628" w:rsidRPr="00586953">
        <w:rPr>
          <w:rFonts w:ascii="Times New Roman" w:hAnsi="Times New Roman" w:cs="Times New Roman"/>
          <w:sz w:val="24"/>
          <w:szCs w:val="24"/>
        </w:rPr>
        <w:t xml:space="preserve">o Teste de </w:t>
      </w:r>
      <w:r w:rsidR="00FF4628" w:rsidRPr="00586953">
        <w:rPr>
          <w:rFonts w:ascii="Times New Roman" w:hAnsi="Times New Roman" w:cs="Times New Roman"/>
          <w:sz w:val="24"/>
          <w:szCs w:val="24"/>
          <w:lang w:val="es-ES_tradnl"/>
        </w:rPr>
        <w:t xml:space="preserve">Saikkonen e Lütkepohl (2002) com quebra estrutural endógena, considerando-se três tipos de quebra </w:t>
      </w:r>
      <w:r w:rsidR="008B49E2" w:rsidRPr="00586953">
        <w:rPr>
          <w:rFonts w:ascii="Times New Roman" w:hAnsi="Times New Roman" w:cs="Times New Roman"/>
          <w:sz w:val="24"/>
          <w:szCs w:val="24"/>
          <w:lang w:val="es-ES_tradnl"/>
        </w:rPr>
        <w:t xml:space="preserve">estrutural </w:t>
      </w:r>
      <w:r w:rsidR="00FF4628" w:rsidRPr="00586953">
        <w:rPr>
          <w:rFonts w:ascii="Times New Roman" w:hAnsi="Times New Roman" w:cs="Times New Roman"/>
          <w:sz w:val="24"/>
          <w:szCs w:val="24"/>
          <w:lang w:val="es-ES_tradnl"/>
        </w:rPr>
        <w:t>(</w:t>
      </w:r>
      <w:r w:rsidR="00FF4628" w:rsidRPr="00586953">
        <w:rPr>
          <w:rFonts w:ascii="Times New Roman" w:hAnsi="Times New Roman" w:cs="Times New Roman"/>
          <w:i/>
          <w:sz w:val="24"/>
          <w:szCs w:val="24"/>
          <w:lang w:val="es-ES_tradnl"/>
        </w:rPr>
        <w:t>rational shift</w:t>
      </w:r>
      <w:r w:rsidR="00FF4628" w:rsidRPr="00586953">
        <w:rPr>
          <w:rFonts w:ascii="Times New Roman" w:hAnsi="Times New Roman" w:cs="Times New Roman"/>
          <w:sz w:val="24"/>
          <w:szCs w:val="24"/>
          <w:lang w:val="es-ES_tradnl"/>
        </w:rPr>
        <w:t xml:space="preserve">, </w:t>
      </w:r>
      <w:r w:rsidR="00FF4628" w:rsidRPr="00586953">
        <w:rPr>
          <w:rFonts w:ascii="Times New Roman" w:hAnsi="Times New Roman" w:cs="Times New Roman"/>
          <w:i/>
          <w:sz w:val="24"/>
          <w:szCs w:val="24"/>
          <w:lang w:val="es-ES_tradnl"/>
        </w:rPr>
        <w:t>dummy shift</w:t>
      </w:r>
      <w:r w:rsidR="00FF4628" w:rsidRPr="00586953">
        <w:rPr>
          <w:rFonts w:ascii="Times New Roman" w:hAnsi="Times New Roman" w:cs="Times New Roman"/>
          <w:sz w:val="24"/>
          <w:szCs w:val="24"/>
          <w:lang w:val="es-ES_tradnl"/>
        </w:rPr>
        <w:t xml:space="preserve"> e </w:t>
      </w:r>
      <w:r w:rsidR="00FF4628" w:rsidRPr="00586953">
        <w:rPr>
          <w:rFonts w:ascii="Times New Roman" w:hAnsi="Times New Roman" w:cs="Times New Roman"/>
          <w:i/>
          <w:sz w:val="24"/>
          <w:szCs w:val="24"/>
          <w:lang w:val="es-ES_tradnl"/>
        </w:rPr>
        <w:t>exponential shift</w:t>
      </w:r>
      <w:r w:rsidR="00FF4628" w:rsidRPr="00586953">
        <w:rPr>
          <w:rFonts w:ascii="Times New Roman" w:hAnsi="Times New Roman" w:cs="Times New Roman"/>
          <w:sz w:val="24"/>
          <w:szCs w:val="24"/>
          <w:lang w:val="es-ES_tradnl"/>
        </w:rPr>
        <w:t>).</w:t>
      </w:r>
      <w:r w:rsidR="004B3779">
        <w:rPr>
          <w:rFonts w:ascii="Times New Roman" w:hAnsi="Times New Roman" w:cs="Times New Roman"/>
          <w:sz w:val="24"/>
          <w:szCs w:val="24"/>
          <w:lang w:val="es-ES_tradnl"/>
        </w:rPr>
        <w:t xml:space="preserve"> </w:t>
      </w:r>
      <w:r w:rsidR="004B3779">
        <w:rPr>
          <w:rFonts w:ascii="Times New Roman" w:hAnsi="Times New Roman" w:cs="Times New Roman"/>
          <w:sz w:val="24"/>
          <w:szCs w:val="24"/>
        </w:rPr>
        <w:t>C</w:t>
      </w:r>
      <w:r w:rsidR="004B3779" w:rsidRPr="00586953">
        <w:rPr>
          <w:rFonts w:ascii="Times New Roman" w:hAnsi="Times New Roman" w:cs="Times New Roman"/>
          <w:sz w:val="24"/>
          <w:szCs w:val="24"/>
        </w:rPr>
        <w:t xml:space="preserve">onstatou-se a existência de duas quebras estruturais endógenas: 1999:03 e 1999:04. No tocante às datas da quebra selecionadas, o ano de 1999 foi marcado pela mudança de regime cambial na economia brasileira. Sob pressão de uma violenta crise cambial, resultante de um ataque especulativo contra a moeda nacional, o governo brasileiro abandonou o regime de câmbio fixo e adotou o regime de câmbio flutuante. </w:t>
      </w:r>
      <w:r w:rsidR="004B3779" w:rsidRPr="00586953">
        <w:rPr>
          <w:rFonts w:ascii="Times New Roman" w:hAnsi="Times New Roman"/>
          <w:sz w:val="24"/>
          <w:szCs w:val="24"/>
        </w:rPr>
        <w:t>Com a adoção do regime de câmbio flutuante e a perda da âncora cambial como referencial de preços, o Banco Central passou a adotar, a partir de julho de 1999, o sistema de Metas de Inflação como regra para a política monetária.</w:t>
      </w:r>
    </w:p>
    <w:p w:rsidR="001A3BB2" w:rsidRPr="00586953" w:rsidRDefault="001A3BB2" w:rsidP="00AD6B0B">
      <w:pPr>
        <w:pStyle w:val="Tabela"/>
        <w:rPr>
          <w:b w:val="0"/>
        </w:rPr>
      </w:pPr>
      <w:r w:rsidRPr="00586953">
        <w:t xml:space="preserve">Tabela </w:t>
      </w:r>
      <w:r w:rsidR="00213F7C" w:rsidRPr="00586953">
        <w:t>1</w:t>
      </w:r>
      <w:r w:rsidR="002116A6">
        <w:t>.</w:t>
      </w:r>
      <w:r w:rsidRPr="00586953">
        <w:t xml:space="preserve"> </w:t>
      </w:r>
      <w:r w:rsidR="002116A6">
        <w:t>Teste SL de raiz unitária com quebra e</w:t>
      </w:r>
      <w:r w:rsidRPr="002116A6">
        <w:t>strutural</w:t>
      </w:r>
      <w:r w:rsidR="002116A6">
        <w:t xml:space="preserve"> e</w:t>
      </w:r>
      <w:r w:rsidRPr="002116A6">
        <w:t>ndógena</w:t>
      </w:r>
    </w:p>
    <w:tbl>
      <w:tblPr>
        <w:tblW w:w="7109" w:type="dxa"/>
        <w:jc w:val="center"/>
        <w:tblInd w:w="16" w:type="dxa"/>
        <w:tblBorders>
          <w:top w:val="single" w:sz="4" w:space="0" w:color="auto"/>
          <w:bottom w:val="single" w:sz="4" w:space="0" w:color="auto"/>
        </w:tblBorders>
        <w:tblLook w:val="01E0" w:firstRow="1" w:lastRow="1" w:firstColumn="1" w:lastColumn="1" w:noHBand="0" w:noVBand="0"/>
      </w:tblPr>
      <w:tblGrid>
        <w:gridCol w:w="1096"/>
        <w:gridCol w:w="990"/>
        <w:gridCol w:w="1990"/>
        <w:gridCol w:w="1054"/>
        <w:gridCol w:w="1283"/>
        <w:gridCol w:w="696"/>
      </w:tblGrid>
      <w:tr w:rsidR="006D1DEA" w:rsidRPr="00586953" w:rsidTr="002116A6">
        <w:trPr>
          <w:jc w:val="center"/>
        </w:trPr>
        <w:tc>
          <w:tcPr>
            <w:tcW w:w="1080" w:type="dxa"/>
            <w:tcBorders>
              <w:top w:val="single" w:sz="4" w:space="0" w:color="auto"/>
              <w:bottom w:val="single" w:sz="4" w:space="0" w:color="auto"/>
            </w:tcBorders>
            <w:vAlign w:val="center"/>
          </w:tcPr>
          <w:p w:rsidR="006D1DEA" w:rsidRPr="00DD04C4" w:rsidRDefault="006D1DEA" w:rsidP="00B4414D">
            <w:pPr>
              <w:spacing w:line="240" w:lineRule="auto"/>
              <w:contextualSpacing/>
              <w:jc w:val="center"/>
              <w:rPr>
                <w:rFonts w:ascii="Times New Roman" w:hAnsi="Times New Roman" w:cs="Times New Roman"/>
                <w:b/>
                <w:sz w:val="24"/>
                <w:szCs w:val="24"/>
              </w:rPr>
            </w:pPr>
            <w:r w:rsidRPr="00DD04C4">
              <w:rPr>
                <w:rFonts w:ascii="Times New Roman" w:hAnsi="Times New Roman" w:cs="Times New Roman"/>
                <w:b/>
                <w:sz w:val="24"/>
                <w:szCs w:val="24"/>
              </w:rPr>
              <w:t>Variável</w:t>
            </w:r>
          </w:p>
        </w:tc>
        <w:tc>
          <w:tcPr>
            <w:tcW w:w="990" w:type="dxa"/>
            <w:tcBorders>
              <w:top w:val="single" w:sz="4" w:space="0" w:color="auto"/>
              <w:bottom w:val="single" w:sz="4" w:space="0" w:color="auto"/>
            </w:tcBorders>
            <w:vAlign w:val="center"/>
          </w:tcPr>
          <w:p w:rsidR="006D1DEA" w:rsidRPr="00DD04C4" w:rsidRDefault="006D1DEA" w:rsidP="00B4414D">
            <w:pPr>
              <w:spacing w:line="240" w:lineRule="auto"/>
              <w:contextualSpacing/>
              <w:jc w:val="center"/>
              <w:rPr>
                <w:rFonts w:ascii="Times New Roman" w:hAnsi="Times New Roman" w:cs="Times New Roman"/>
                <w:b/>
                <w:sz w:val="24"/>
                <w:szCs w:val="24"/>
              </w:rPr>
            </w:pPr>
            <w:r w:rsidRPr="00DD04C4">
              <w:rPr>
                <w:rFonts w:ascii="Times New Roman" w:hAnsi="Times New Roman" w:cs="Times New Roman"/>
                <w:b/>
                <w:sz w:val="24"/>
                <w:szCs w:val="24"/>
              </w:rPr>
              <w:t>Modelo</w:t>
            </w:r>
          </w:p>
        </w:tc>
        <w:tc>
          <w:tcPr>
            <w:tcW w:w="2005" w:type="dxa"/>
            <w:tcBorders>
              <w:top w:val="single" w:sz="4" w:space="0" w:color="auto"/>
              <w:bottom w:val="single" w:sz="4" w:space="0" w:color="auto"/>
            </w:tcBorders>
            <w:vAlign w:val="center"/>
          </w:tcPr>
          <w:p w:rsidR="006D1DEA" w:rsidRPr="00DD04C4" w:rsidRDefault="006D1DEA" w:rsidP="00B4414D">
            <w:pPr>
              <w:spacing w:line="240" w:lineRule="auto"/>
              <w:contextualSpacing/>
              <w:jc w:val="center"/>
              <w:rPr>
                <w:rFonts w:ascii="Times New Roman" w:hAnsi="Times New Roman" w:cs="Times New Roman"/>
                <w:b/>
                <w:sz w:val="24"/>
                <w:szCs w:val="24"/>
              </w:rPr>
            </w:pPr>
            <w:r w:rsidRPr="00DD04C4">
              <w:rPr>
                <w:rFonts w:ascii="Times New Roman" w:hAnsi="Times New Roman" w:cs="Times New Roman"/>
                <w:b/>
                <w:sz w:val="24"/>
                <w:szCs w:val="24"/>
              </w:rPr>
              <w:t>Tipo de Quebra</w:t>
            </w:r>
          </w:p>
        </w:tc>
        <w:tc>
          <w:tcPr>
            <w:tcW w:w="1055" w:type="dxa"/>
            <w:tcBorders>
              <w:top w:val="single" w:sz="4" w:space="0" w:color="auto"/>
              <w:bottom w:val="single" w:sz="4" w:space="0" w:color="auto"/>
            </w:tcBorders>
            <w:vAlign w:val="center"/>
          </w:tcPr>
          <w:p w:rsidR="006D1DEA" w:rsidRPr="00DD04C4" w:rsidRDefault="006D1DEA" w:rsidP="00B4414D">
            <w:pPr>
              <w:spacing w:line="240" w:lineRule="auto"/>
              <w:contextualSpacing/>
              <w:jc w:val="center"/>
              <w:rPr>
                <w:rFonts w:ascii="Times New Roman" w:hAnsi="Times New Roman" w:cs="Times New Roman"/>
                <w:b/>
                <w:sz w:val="24"/>
                <w:szCs w:val="24"/>
              </w:rPr>
            </w:pPr>
            <w:r w:rsidRPr="00DD04C4">
              <w:rPr>
                <w:rFonts w:ascii="Times New Roman" w:hAnsi="Times New Roman" w:cs="Times New Roman"/>
                <w:b/>
                <w:sz w:val="24"/>
                <w:szCs w:val="24"/>
              </w:rPr>
              <w:t>Data da Quebra</w:t>
            </w:r>
          </w:p>
        </w:tc>
        <w:tc>
          <w:tcPr>
            <w:tcW w:w="1283" w:type="dxa"/>
            <w:tcBorders>
              <w:top w:val="single" w:sz="4" w:space="0" w:color="auto"/>
              <w:bottom w:val="single" w:sz="4" w:space="0" w:color="auto"/>
            </w:tcBorders>
            <w:vAlign w:val="center"/>
          </w:tcPr>
          <w:p w:rsidR="006D1DEA" w:rsidRPr="00DD04C4" w:rsidRDefault="006D1DEA" w:rsidP="00B4414D">
            <w:pPr>
              <w:spacing w:line="240" w:lineRule="auto"/>
              <w:contextualSpacing/>
              <w:jc w:val="center"/>
              <w:rPr>
                <w:rFonts w:ascii="Times New Roman" w:hAnsi="Times New Roman" w:cs="Times New Roman"/>
                <w:b/>
                <w:sz w:val="24"/>
                <w:szCs w:val="24"/>
              </w:rPr>
            </w:pPr>
            <w:r w:rsidRPr="00DD04C4">
              <w:rPr>
                <w:rFonts w:ascii="Times New Roman" w:hAnsi="Times New Roman" w:cs="Times New Roman"/>
                <w:b/>
                <w:sz w:val="24"/>
                <w:szCs w:val="24"/>
              </w:rPr>
              <w:t>Estatística Teste</w:t>
            </w:r>
          </w:p>
        </w:tc>
        <w:tc>
          <w:tcPr>
            <w:tcW w:w="0" w:type="auto"/>
            <w:tcBorders>
              <w:top w:val="single" w:sz="4" w:space="0" w:color="auto"/>
              <w:bottom w:val="single" w:sz="4" w:space="0" w:color="auto"/>
            </w:tcBorders>
            <w:vAlign w:val="center"/>
          </w:tcPr>
          <w:p w:rsidR="006D1DEA" w:rsidRPr="00DD04C4" w:rsidRDefault="006D1DEA" w:rsidP="00B4414D">
            <w:pPr>
              <w:spacing w:line="240" w:lineRule="auto"/>
              <w:contextualSpacing/>
              <w:jc w:val="center"/>
              <w:rPr>
                <w:rFonts w:ascii="Times New Roman" w:hAnsi="Times New Roman" w:cs="Times New Roman"/>
                <w:b/>
                <w:i/>
                <w:sz w:val="24"/>
                <w:szCs w:val="24"/>
              </w:rPr>
            </w:pPr>
            <w:r w:rsidRPr="00DD04C4">
              <w:rPr>
                <w:rFonts w:ascii="Times New Roman" w:hAnsi="Times New Roman" w:cs="Times New Roman"/>
                <w:b/>
                <w:i/>
                <w:sz w:val="24"/>
                <w:szCs w:val="24"/>
              </w:rPr>
              <w:t>Lags</w:t>
            </w:r>
          </w:p>
        </w:tc>
      </w:tr>
      <w:tr w:rsidR="006D1DEA" w:rsidRPr="00586953" w:rsidTr="002116A6">
        <w:trPr>
          <w:jc w:val="center"/>
        </w:trPr>
        <w:tc>
          <w:tcPr>
            <w:tcW w:w="1080" w:type="dxa"/>
            <w:tcBorders>
              <w:top w:val="single" w:sz="4" w:space="0" w:color="auto"/>
            </w:tcBorders>
            <w:vAlign w:val="center"/>
          </w:tcPr>
          <w:p w:rsidR="006D1DEA" w:rsidRPr="00DD04C4" w:rsidRDefault="00F3210F" w:rsidP="006D1DEA">
            <w:pPr>
              <w:spacing w:line="240" w:lineRule="auto"/>
              <w:contextualSpacing/>
              <w:jc w:val="center"/>
              <w:rPr>
                <w:rFonts w:ascii="Times New Roman" w:hAnsi="Times New Roman" w:cs="Times New Roman"/>
                <w:b/>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i</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tcBorders>
              <w:top w:val="single" w:sz="4" w:space="0" w:color="auto"/>
            </w:tcBorders>
            <w:vAlign w:val="center"/>
          </w:tcPr>
          <w:p w:rsidR="006D1DEA" w:rsidRPr="00DD04C4" w:rsidRDefault="006D1DEA"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C</w:t>
            </w:r>
          </w:p>
        </w:tc>
        <w:tc>
          <w:tcPr>
            <w:tcW w:w="2005" w:type="dxa"/>
            <w:tcBorders>
              <w:top w:val="single" w:sz="4" w:space="0" w:color="auto"/>
            </w:tcBorders>
            <w:vAlign w:val="center"/>
          </w:tcPr>
          <w:p w:rsidR="006D1DEA" w:rsidRPr="00DD04C4" w:rsidRDefault="006D1DEA" w:rsidP="00FF4628">
            <w:pPr>
              <w:spacing w:line="240" w:lineRule="auto"/>
              <w:contextualSpacing/>
              <w:rPr>
                <w:rFonts w:ascii="Times New Roman" w:hAnsi="Times New Roman" w:cs="Times New Roman"/>
                <w:i/>
                <w:sz w:val="24"/>
                <w:szCs w:val="24"/>
              </w:rPr>
            </w:pPr>
            <w:r w:rsidRPr="00DD04C4">
              <w:rPr>
                <w:rFonts w:ascii="Times New Roman" w:hAnsi="Times New Roman" w:cs="Times New Roman"/>
                <w:i/>
                <w:sz w:val="24"/>
                <w:szCs w:val="24"/>
              </w:rPr>
              <w:t>Rational Shift</w:t>
            </w:r>
          </w:p>
        </w:tc>
        <w:tc>
          <w:tcPr>
            <w:tcW w:w="1055" w:type="dxa"/>
            <w:tcBorders>
              <w:top w:val="single" w:sz="4" w:space="0" w:color="auto"/>
            </w:tcBorders>
            <w:vAlign w:val="center"/>
          </w:tcPr>
          <w:p w:rsidR="006D1DEA" w:rsidRPr="00DD04C4" w:rsidRDefault="006D1DEA"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1999:04</w:t>
            </w:r>
          </w:p>
        </w:tc>
        <w:tc>
          <w:tcPr>
            <w:tcW w:w="1283" w:type="dxa"/>
            <w:tcBorders>
              <w:top w:val="single" w:sz="4" w:space="0" w:color="auto"/>
            </w:tcBorders>
            <w:vAlign w:val="center"/>
          </w:tcPr>
          <w:p w:rsidR="006D1DEA" w:rsidRPr="00DD04C4" w:rsidRDefault="006D1DEA"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-2,92**</w:t>
            </w:r>
          </w:p>
        </w:tc>
        <w:tc>
          <w:tcPr>
            <w:tcW w:w="0" w:type="auto"/>
            <w:tcBorders>
              <w:top w:val="single" w:sz="4" w:space="0" w:color="auto"/>
            </w:tcBorders>
            <w:vAlign w:val="center"/>
          </w:tcPr>
          <w:p w:rsidR="006D1DEA" w:rsidRPr="00DD04C4" w:rsidRDefault="006D1DEA"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w:t>
            </w:r>
          </w:p>
        </w:tc>
      </w:tr>
      <w:tr w:rsidR="006D1DEA" w:rsidRPr="00586953" w:rsidTr="002116A6">
        <w:trPr>
          <w:jc w:val="center"/>
        </w:trPr>
        <w:tc>
          <w:tcPr>
            <w:tcW w:w="1080" w:type="dxa"/>
            <w:vAlign w:val="center"/>
          </w:tcPr>
          <w:p w:rsidR="006D1DEA" w:rsidRPr="00DD04C4" w:rsidRDefault="00F3210F" w:rsidP="006D1DEA">
            <w:pPr>
              <w:spacing w:line="240" w:lineRule="auto"/>
              <w:contextualSpacing/>
              <w:jc w:val="center"/>
              <w:rPr>
                <w:rFonts w:ascii="Times New Roman" w:hAnsi="Times New Roman" w:cs="Times New Roman"/>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i</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6D1DEA" w:rsidRPr="00DD04C4" w:rsidRDefault="006D1DEA"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C,T</w:t>
            </w:r>
          </w:p>
        </w:tc>
        <w:tc>
          <w:tcPr>
            <w:tcW w:w="2005" w:type="dxa"/>
            <w:vAlign w:val="center"/>
          </w:tcPr>
          <w:p w:rsidR="006D1DEA" w:rsidRPr="00DD04C4" w:rsidRDefault="006D1DEA" w:rsidP="00FF4628">
            <w:pPr>
              <w:spacing w:line="240" w:lineRule="auto"/>
              <w:contextualSpacing/>
              <w:rPr>
                <w:rFonts w:ascii="Times New Roman" w:hAnsi="Times New Roman" w:cs="Times New Roman"/>
                <w:i/>
                <w:sz w:val="24"/>
                <w:szCs w:val="24"/>
              </w:rPr>
            </w:pPr>
            <w:r w:rsidRPr="00DD04C4">
              <w:rPr>
                <w:rFonts w:ascii="Times New Roman" w:hAnsi="Times New Roman" w:cs="Times New Roman"/>
                <w:i/>
                <w:sz w:val="24"/>
                <w:szCs w:val="24"/>
              </w:rPr>
              <w:t>Rational Shift</w:t>
            </w:r>
          </w:p>
        </w:tc>
        <w:tc>
          <w:tcPr>
            <w:tcW w:w="1055" w:type="dxa"/>
            <w:vAlign w:val="center"/>
          </w:tcPr>
          <w:p w:rsidR="006D1DEA" w:rsidRPr="00DD04C4" w:rsidRDefault="006D1DEA"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1999:04</w:t>
            </w:r>
          </w:p>
        </w:tc>
        <w:tc>
          <w:tcPr>
            <w:tcW w:w="1283" w:type="dxa"/>
            <w:vAlign w:val="center"/>
          </w:tcPr>
          <w:p w:rsidR="006D1DEA" w:rsidRPr="00DD04C4" w:rsidRDefault="006D1DEA"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-1,64</w:t>
            </w:r>
          </w:p>
        </w:tc>
        <w:tc>
          <w:tcPr>
            <w:tcW w:w="0" w:type="auto"/>
            <w:vAlign w:val="center"/>
          </w:tcPr>
          <w:p w:rsidR="006D1DEA" w:rsidRPr="00DD04C4" w:rsidRDefault="006D1DEA"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w:t>
            </w:r>
          </w:p>
        </w:tc>
      </w:tr>
      <w:tr w:rsidR="00FF4628" w:rsidRPr="00586953" w:rsidTr="002116A6">
        <w:trPr>
          <w:jc w:val="center"/>
        </w:trPr>
        <w:tc>
          <w:tcPr>
            <w:tcW w:w="1080" w:type="dxa"/>
            <w:vAlign w:val="center"/>
          </w:tcPr>
          <w:p w:rsidR="00FF4628" w:rsidRPr="00DD04C4" w:rsidRDefault="00F3210F" w:rsidP="00F65F76">
            <w:pPr>
              <w:spacing w:line="240" w:lineRule="auto"/>
              <w:contextualSpacing/>
              <w:jc w:val="center"/>
              <w:rPr>
                <w:rFonts w:ascii="Times New Roman" w:hAnsi="Times New Roman" w:cs="Times New Roman"/>
                <w:b/>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i</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C</w:t>
            </w:r>
          </w:p>
        </w:tc>
        <w:tc>
          <w:tcPr>
            <w:tcW w:w="2005" w:type="dxa"/>
            <w:vAlign w:val="center"/>
          </w:tcPr>
          <w:p w:rsidR="00FF4628" w:rsidRPr="00DD04C4" w:rsidRDefault="00FF4628" w:rsidP="00FF4628">
            <w:pPr>
              <w:spacing w:line="240" w:lineRule="auto"/>
              <w:contextualSpacing/>
              <w:rPr>
                <w:rFonts w:ascii="Times New Roman" w:hAnsi="Times New Roman" w:cs="Times New Roman"/>
                <w:i/>
                <w:sz w:val="24"/>
                <w:szCs w:val="24"/>
              </w:rPr>
            </w:pPr>
            <w:r w:rsidRPr="00DD04C4">
              <w:rPr>
                <w:rFonts w:ascii="Times New Roman" w:hAnsi="Times New Roman" w:cs="Times New Roman"/>
                <w:i/>
                <w:sz w:val="24"/>
                <w:szCs w:val="24"/>
              </w:rPr>
              <w:t>Shift Dummy</w:t>
            </w:r>
          </w:p>
        </w:tc>
        <w:tc>
          <w:tcPr>
            <w:tcW w:w="1055"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1999:04</w:t>
            </w:r>
          </w:p>
        </w:tc>
        <w:tc>
          <w:tcPr>
            <w:tcW w:w="1283"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-3,01**</w:t>
            </w:r>
          </w:p>
        </w:tc>
        <w:tc>
          <w:tcPr>
            <w:tcW w:w="0" w:type="auto"/>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w:t>
            </w:r>
          </w:p>
        </w:tc>
      </w:tr>
      <w:tr w:rsidR="00FF4628" w:rsidRPr="00586953" w:rsidTr="002116A6">
        <w:trPr>
          <w:jc w:val="center"/>
        </w:trPr>
        <w:tc>
          <w:tcPr>
            <w:tcW w:w="1080" w:type="dxa"/>
            <w:vAlign w:val="center"/>
          </w:tcPr>
          <w:p w:rsidR="00FF4628" w:rsidRPr="00DD04C4" w:rsidRDefault="00F3210F" w:rsidP="00F65F76">
            <w:pPr>
              <w:spacing w:line="240" w:lineRule="auto"/>
              <w:contextualSpacing/>
              <w:jc w:val="center"/>
              <w:rPr>
                <w:rFonts w:ascii="Times New Roman" w:hAnsi="Times New Roman" w:cs="Times New Roman"/>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i</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C,T</w:t>
            </w:r>
          </w:p>
        </w:tc>
        <w:tc>
          <w:tcPr>
            <w:tcW w:w="2005" w:type="dxa"/>
            <w:vAlign w:val="center"/>
          </w:tcPr>
          <w:p w:rsidR="00FF4628" w:rsidRPr="00DD04C4" w:rsidRDefault="00FF4628" w:rsidP="00FF4628">
            <w:pPr>
              <w:spacing w:line="240" w:lineRule="auto"/>
              <w:contextualSpacing/>
              <w:rPr>
                <w:rFonts w:ascii="Times New Roman" w:hAnsi="Times New Roman" w:cs="Times New Roman"/>
                <w:i/>
                <w:sz w:val="24"/>
                <w:szCs w:val="24"/>
              </w:rPr>
            </w:pPr>
            <w:r w:rsidRPr="00DD04C4">
              <w:rPr>
                <w:rFonts w:ascii="Times New Roman" w:hAnsi="Times New Roman" w:cs="Times New Roman"/>
                <w:i/>
                <w:sz w:val="24"/>
                <w:szCs w:val="24"/>
              </w:rPr>
              <w:t>Shift Dummy</w:t>
            </w:r>
          </w:p>
        </w:tc>
        <w:tc>
          <w:tcPr>
            <w:tcW w:w="1055"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1999:04</w:t>
            </w:r>
          </w:p>
        </w:tc>
        <w:tc>
          <w:tcPr>
            <w:tcW w:w="1283"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-2,67</w:t>
            </w:r>
          </w:p>
        </w:tc>
        <w:tc>
          <w:tcPr>
            <w:tcW w:w="0" w:type="auto"/>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w:t>
            </w:r>
          </w:p>
        </w:tc>
      </w:tr>
      <w:tr w:rsidR="00FF4628" w:rsidRPr="00586953" w:rsidTr="002116A6">
        <w:trPr>
          <w:jc w:val="center"/>
        </w:trPr>
        <w:tc>
          <w:tcPr>
            <w:tcW w:w="1080" w:type="dxa"/>
            <w:vAlign w:val="center"/>
          </w:tcPr>
          <w:p w:rsidR="00FF4628" w:rsidRPr="00DD04C4" w:rsidRDefault="00F3210F" w:rsidP="00F65F76">
            <w:pPr>
              <w:spacing w:line="240" w:lineRule="auto"/>
              <w:contextualSpacing/>
              <w:jc w:val="center"/>
              <w:rPr>
                <w:rFonts w:ascii="Times New Roman" w:hAnsi="Times New Roman" w:cs="Times New Roman"/>
                <w:b/>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i</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C</w:t>
            </w:r>
          </w:p>
        </w:tc>
        <w:tc>
          <w:tcPr>
            <w:tcW w:w="2005" w:type="dxa"/>
            <w:vAlign w:val="center"/>
          </w:tcPr>
          <w:p w:rsidR="00FF4628" w:rsidRPr="00DD04C4" w:rsidRDefault="00FF4628" w:rsidP="00FF4628">
            <w:pPr>
              <w:spacing w:line="240" w:lineRule="auto"/>
              <w:contextualSpacing/>
              <w:rPr>
                <w:rFonts w:ascii="Times New Roman" w:hAnsi="Times New Roman" w:cs="Times New Roman"/>
                <w:i/>
                <w:sz w:val="24"/>
                <w:szCs w:val="24"/>
              </w:rPr>
            </w:pPr>
            <w:r w:rsidRPr="00DD04C4">
              <w:rPr>
                <w:rFonts w:ascii="Times New Roman" w:hAnsi="Times New Roman" w:cs="Times New Roman"/>
                <w:i/>
                <w:sz w:val="24"/>
                <w:szCs w:val="24"/>
              </w:rPr>
              <w:t>Exponential Shift</w:t>
            </w:r>
          </w:p>
        </w:tc>
        <w:tc>
          <w:tcPr>
            <w:tcW w:w="1055"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1999:04</w:t>
            </w:r>
          </w:p>
        </w:tc>
        <w:tc>
          <w:tcPr>
            <w:tcW w:w="1283"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-2,93**</w:t>
            </w:r>
          </w:p>
        </w:tc>
        <w:tc>
          <w:tcPr>
            <w:tcW w:w="0" w:type="auto"/>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w:t>
            </w:r>
          </w:p>
        </w:tc>
      </w:tr>
      <w:tr w:rsidR="00FF4628" w:rsidRPr="00586953" w:rsidTr="002116A6">
        <w:trPr>
          <w:jc w:val="center"/>
        </w:trPr>
        <w:tc>
          <w:tcPr>
            <w:tcW w:w="1080" w:type="dxa"/>
            <w:vAlign w:val="center"/>
          </w:tcPr>
          <w:p w:rsidR="00FF4628" w:rsidRPr="00DD04C4" w:rsidRDefault="00F3210F" w:rsidP="00F65F76">
            <w:pPr>
              <w:spacing w:line="240" w:lineRule="auto"/>
              <w:contextualSpacing/>
              <w:jc w:val="center"/>
              <w:rPr>
                <w:rFonts w:ascii="Times New Roman" w:hAnsi="Times New Roman" w:cs="Times New Roman"/>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i</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C,T</w:t>
            </w:r>
          </w:p>
        </w:tc>
        <w:tc>
          <w:tcPr>
            <w:tcW w:w="2005" w:type="dxa"/>
            <w:vAlign w:val="center"/>
          </w:tcPr>
          <w:p w:rsidR="00FF4628" w:rsidRPr="00DD04C4" w:rsidRDefault="00FF4628" w:rsidP="00FF4628">
            <w:pPr>
              <w:spacing w:line="240" w:lineRule="auto"/>
              <w:contextualSpacing/>
              <w:rPr>
                <w:rFonts w:ascii="Times New Roman" w:hAnsi="Times New Roman" w:cs="Times New Roman"/>
                <w:i/>
                <w:sz w:val="24"/>
                <w:szCs w:val="24"/>
              </w:rPr>
            </w:pPr>
            <w:r w:rsidRPr="00DD04C4">
              <w:rPr>
                <w:rFonts w:ascii="Times New Roman" w:hAnsi="Times New Roman" w:cs="Times New Roman"/>
                <w:i/>
                <w:sz w:val="24"/>
                <w:szCs w:val="24"/>
              </w:rPr>
              <w:t>Exponential Shift</w:t>
            </w:r>
          </w:p>
        </w:tc>
        <w:tc>
          <w:tcPr>
            <w:tcW w:w="1055"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1999:04</w:t>
            </w:r>
          </w:p>
        </w:tc>
        <w:tc>
          <w:tcPr>
            <w:tcW w:w="1283"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-2,57</w:t>
            </w:r>
          </w:p>
        </w:tc>
        <w:tc>
          <w:tcPr>
            <w:tcW w:w="0" w:type="auto"/>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w:t>
            </w:r>
          </w:p>
        </w:tc>
      </w:tr>
      <w:tr w:rsidR="00FF4628" w:rsidRPr="00586953" w:rsidTr="002116A6">
        <w:trPr>
          <w:jc w:val="center"/>
        </w:trPr>
        <w:tc>
          <w:tcPr>
            <w:tcW w:w="1080" w:type="dxa"/>
            <w:vAlign w:val="center"/>
          </w:tcPr>
          <w:p w:rsidR="00FF4628" w:rsidRPr="00DD04C4" w:rsidRDefault="00F3210F" w:rsidP="006D1DEA">
            <w:pPr>
              <w:spacing w:line="240" w:lineRule="auto"/>
              <w:contextualSpacing/>
              <w:jc w:val="center"/>
              <w:rPr>
                <w:rFonts w:ascii="Times New Roman" w:hAnsi="Times New Roman" w:cs="Times New Roman"/>
                <w:b/>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s</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C</w:t>
            </w:r>
          </w:p>
        </w:tc>
        <w:tc>
          <w:tcPr>
            <w:tcW w:w="2005" w:type="dxa"/>
            <w:vAlign w:val="center"/>
          </w:tcPr>
          <w:p w:rsidR="00FF4628" w:rsidRPr="00DD04C4" w:rsidRDefault="00FF4628" w:rsidP="00FF4628">
            <w:pPr>
              <w:spacing w:line="240" w:lineRule="auto"/>
              <w:contextualSpacing/>
              <w:rPr>
                <w:rFonts w:ascii="Times New Roman" w:hAnsi="Times New Roman" w:cs="Times New Roman"/>
                <w:i/>
                <w:sz w:val="24"/>
                <w:szCs w:val="24"/>
              </w:rPr>
            </w:pPr>
            <w:r w:rsidRPr="00DD04C4">
              <w:rPr>
                <w:rFonts w:ascii="Times New Roman" w:hAnsi="Times New Roman" w:cs="Times New Roman"/>
                <w:i/>
                <w:sz w:val="24"/>
                <w:szCs w:val="24"/>
              </w:rPr>
              <w:t>Rational Shift</w:t>
            </w:r>
          </w:p>
        </w:tc>
        <w:tc>
          <w:tcPr>
            <w:tcW w:w="1055"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1999:03</w:t>
            </w:r>
          </w:p>
        </w:tc>
        <w:tc>
          <w:tcPr>
            <w:tcW w:w="1283"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-2,62*</w:t>
            </w:r>
          </w:p>
        </w:tc>
        <w:tc>
          <w:tcPr>
            <w:tcW w:w="0" w:type="auto"/>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2</w:t>
            </w:r>
          </w:p>
        </w:tc>
      </w:tr>
      <w:tr w:rsidR="00FF4628" w:rsidRPr="00586953" w:rsidTr="002116A6">
        <w:trPr>
          <w:jc w:val="center"/>
        </w:trPr>
        <w:tc>
          <w:tcPr>
            <w:tcW w:w="1080" w:type="dxa"/>
            <w:vAlign w:val="center"/>
          </w:tcPr>
          <w:p w:rsidR="00FF4628" w:rsidRPr="00DD04C4" w:rsidRDefault="00F3210F" w:rsidP="006D1DEA">
            <w:pPr>
              <w:spacing w:line="240" w:lineRule="auto"/>
              <w:contextualSpacing/>
              <w:jc w:val="center"/>
              <w:rPr>
                <w:rFonts w:ascii="Times New Roman" w:hAnsi="Times New Roman" w:cs="Times New Roman"/>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s</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C,T</w:t>
            </w:r>
          </w:p>
        </w:tc>
        <w:tc>
          <w:tcPr>
            <w:tcW w:w="2005" w:type="dxa"/>
            <w:vAlign w:val="center"/>
          </w:tcPr>
          <w:p w:rsidR="00FF4628" w:rsidRPr="00DD04C4" w:rsidRDefault="00FF4628" w:rsidP="00FF4628">
            <w:pPr>
              <w:spacing w:line="240" w:lineRule="auto"/>
              <w:contextualSpacing/>
              <w:rPr>
                <w:rFonts w:ascii="Times New Roman" w:hAnsi="Times New Roman" w:cs="Times New Roman"/>
                <w:i/>
                <w:sz w:val="24"/>
                <w:szCs w:val="24"/>
              </w:rPr>
            </w:pPr>
            <w:r w:rsidRPr="00DD04C4">
              <w:rPr>
                <w:rFonts w:ascii="Times New Roman" w:hAnsi="Times New Roman" w:cs="Times New Roman"/>
                <w:i/>
                <w:sz w:val="24"/>
                <w:szCs w:val="24"/>
              </w:rPr>
              <w:t>Rational Shift</w:t>
            </w:r>
          </w:p>
        </w:tc>
        <w:tc>
          <w:tcPr>
            <w:tcW w:w="1055"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1999:03</w:t>
            </w:r>
          </w:p>
        </w:tc>
        <w:tc>
          <w:tcPr>
            <w:tcW w:w="1283"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-2,90*</w:t>
            </w:r>
          </w:p>
        </w:tc>
        <w:tc>
          <w:tcPr>
            <w:tcW w:w="0" w:type="auto"/>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w:t>
            </w:r>
          </w:p>
        </w:tc>
      </w:tr>
      <w:tr w:rsidR="00FF4628" w:rsidRPr="00586953" w:rsidTr="002116A6">
        <w:trPr>
          <w:jc w:val="center"/>
        </w:trPr>
        <w:tc>
          <w:tcPr>
            <w:tcW w:w="1080" w:type="dxa"/>
            <w:vAlign w:val="center"/>
          </w:tcPr>
          <w:p w:rsidR="00FF4628" w:rsidRPr="00DD04C4" w:rsidRDefault="00F3210F" w:rsidP="006D1DEA">
            <w:pPr>
              <w:spacing w:line="240" w:lineRule="auto"/>
              <w:contextualSpacing/>
              <w:jc w:val="center"/>
              <w:rPr>
                <w:rFonts w:ascii="Times New Roman" w:hAnsi="Times New Roman" w:cs="Times New Roman"/>
                <w:b/>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s</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C</w:t>
            </w:r>
          </w:p>
        </w:tc>
        <w:tc>
          <w:tcPr>
            <w:tcW w:w="2005" w:type="dxa"/>
            <w:vAlign w:val="center"/>
          </w:tcPr>
          <w:p w:rsidR="00FF4628" w:rsidRPr="00DD04C4" w:rsidRDefault="00FF4628" w:rsidP="00FF4628">
            <w:pPr>
              <w:spacing w:line="240" w:lineRule="auto"/>
              <w:contextualSpacing/>
              <w:rPr>
                <w:rFonts w:ascii="Times New Roman" w:hAnsi="Times New Roman" w:cs="Times New Roman"/>
                <w:i/>
                <w:sz w:val="24"/>
                <w:szCs w:val="24"/>
              </w:rPr>
            </w:pPr>
            <w:r w:rsidRPr="00DD04C4">
              <w:rPr>
                <w:rFonts w:ascii="Times New Roman" w:hAnsi="Times New Roman" w:cs="Times New Roman"/>
                <w:i/>
                <w:sz w:val="24"/>
                <w:szCs w:val="24"/>
              </w:rPr>
              <w:t>Shift Dummy</w:t>
            </w:r>
          </w:p>
        </w:tc>
        <w:tc>
          <w:tcPr>
            <w:tcW w:w="1055"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1999:03</w:t>
            </w:r>
          </w:p>
        </w:tc>
        <w:tc>
          <w:tcPr>
            <w:tcW w:w="1283"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-1,52</w:t>
            </w:r>
          </w:p>
        </w:tc>
        <w:tc>
          <w:tcPr>
            <w:tcW w:w="0" w:type="auto"/>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w:t>
            </w:r>
          </w:p>
        </w:tc>
      </w:tr>
      <w:tr w:rsidR="00FF4628" w:rsidRPr="00586953" w:rsidTr="002116A6">
        <w:trPr>
          <w:jc w:val="center"/>
        </w:trPr>
        <w:tc>
          <w:tcPr>
            <w:tcW w:w="1080" w:type="dxa"/>
            <w:vAlign w:val="center"/>
          </w:tcPr>
          <w:p w:rsidR="00FF4628" w:rsidRPr="00DD04C4" w:rsidRDefault="00F3210F" w:rsidP="006D1DEA">
            <w:pPr>
              <w:spacing w:line="240" w:lineRule="auto"/>
              <w:contextualSpacing/>
              <w:jc w:val="center"/>
              <w:rPr>
                <w:rFonts w:ascii="Times New Roman" w:hAnsi="Times New Roman" w:cs="Times New Roman"/>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s</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C,T</w:t>
            </w:r>
          </w:p>
        </w:tc>
        <w:tc>
          <w:tcPr>
            <w:tcW w:w="2005" w:type="dxa"/>
            <w:vAlign w:val="center"/>
          </w:tcPr>
          <w:p w:rsidR="00FF4628" w:rsidRPr="00DD04C4" w:rsidRDefault="00FF4628" w:rsidP="00FF4628">
            <w:pPr>
              <w:spacing w:line="240" w:lineRule="auto"/>
              <w:contextualSpacing/>
              <w:rPr>
                <w:rFonts w:ascii="Times New Roman" w:hAnsi="Times New Roman" w:cs="Times New Roman"/>
                <w:i/>
                <w:sz w:val="24"/>
                <w:szCs w:val="24"/>
              </w:rPr>
            </w:pPr>
            <w:r w:rsidRPr="00DD04C4">
              <w:rPr>
                <w:rFonts w:ascii="Times New Roman" w:hAnsi="Times New Roman" w:cs="Times New Roman"/>
                <w:i/>
                <w:sz w:val="24"/>
                <w:szCs w:val="24"/>
              </w:rPr>
              <w:t>Shift Dummy</w:t>
            </w:r>
          </w:p>
        </w:tc>
        <w:tc>
          <w:tcPr>
            <w:tcW w:w="1055"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1999:03</w:t>
            </w:r>
          </w:p>
        </w:tc>
        <w:tc>
          <w:tcPr>
            <w:tcW w:w="1283"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-2,09</w:t>
            </w:r>
          </w:p>
        </w:tc>
        <w:tc>
          <w:tcPr>
            <w:tcW w:w="0" w:type="auto"/>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w:t>
            </w:r>
          </w:p>
        </w:tc>
      </w:tr>
      <w:tr w:rsidR="00FF4628" w:rsidRPr="00586953" w:rsidTr="002116A6">
        <w:trPr>
          <w:jc w:val="center"/>
        </w:trPr>
        <w:tc>
          <w:tcPr>
            <w:tcW w:w="1080" w:type="dxa"/>
            <w:vAlign w:val="center"/>
          </w:tcPr>
          <w:p w:rsidR="00FF4628" w:rsidRPr="00DD04C4" w:rsidRDefault="00F3210F" w:rsidP="006D1DEA">
            <w:pPr>
              <w:spacing w:line="240" w:lineRule="auto"/>
              <w:contextualSpacing/>
              <w:jc w:val="center"/>
              <w:rPr>
                <w:rFonts w:ascii="Times New Roman" w:hAnsi="Times New Roman" w:cs="Times New Roman"/>
                <w:b/>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s</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C</w:t>
            </w:r>
          </w:p>
        </w:tc>
        <w:tc>
          <w:tcPr>
            <w:tcW w:w="2005" w:type="dxa"/>
            <w:vAlign w:val="center"/>
          </w:tcPr>
          <w:p w:rsidR="00FF4628" w:rsidRPr="00DD04C4" w:rsidRDefault="00FF4628" w:rsidP="00FF4628">
            <w:pPr>
              <w:spacing w:line="240" w:lineRule="auto"/>
              <w:contextualSpacing/>
              <w:rPr>
                <w:rFonts w:ascii="Times New Roman" w:hAnsi="Times New Roman" w:cs="Times New Roman"/>
                <w:i/>
                <w:sz w:val="24"/>
                <w:szCs w:val="24"/>
              </w:rPr>
            </w:pPr>
            <w:r w:rsidRPr="00DD04C4">
              <w:rPr>
                <w:rFonts w:ascii="Times New Roman" w:hAnsi="Times New Roman" w:cs="Times New Roman"/>
                <w:i/>
                <w:sz w:val="24"/>
                <w:szCs w:val="24"/>
              </w:rPr>
              <w:t>Exponential Shift</w:t>
            </w:r>
          </w:p>
        </w:tc>
        <w:tc>
          <w:tcPr>
            <w:tcW w:w="1055"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1999:03</w:t>
            </w:r>
          </w:p>
        </w:tc>
        <w:tc>
          <w:tcPr>
            <w:tcW w:w="1283"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-1,54</w:t>
            </w:r>
          </w:p>
        </w:tc>
        <w:tc>
          <w:tcPr>
            <w:tcW w:w="0" w:type="auto"/>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w:t>
            </w:r>
          </w:p>
        </w:tc>
      </w:tr>
      <w:tr w:rsidR="00FF4628" w:rsidRPr="00586953" w:rsidTr="002116A6">
        <w:trPr>
          <w:jc w:val="center"/>
        </w:trPr>
        <w:tc>
          <w:tcPr>
            <w:tcW w:w="1080" w:type="dxa"/>
            <w:vAlign w:val="center"/>
          </w:tcPr>
          <w:p w:rsidR="00FF4628" w:rsidRPr="00DD04C4" w:rsidRDefault="00F3210F" w:rsidP="006D1DEA">
            <w:pPr>
              <w:spacing w:line="240" w:lineRule="auto"/>
              <w:contextualSpacing/>
              <w:jc w:val="center"/>
              <w:rPr>
                <w:rFonts w:ascii="Times New Roman" w:hAnsi="Times New Roman" w:cs="Times New Roman"/>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s</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C,T</w:t>
            </w:r>
          </w:p>
        </w:tc>
        <w:tc>
          <w:tcPr>
            <w:tcW w:w="2005" w:type="dxa"/>
            <w:vAlign w:val="center"/>
          </w:tcPr>
          <w:p w:rsidR="00FF4628" w:rsidRPr="00DD04C4" w:rsidRDefault="00FF4628" w:rsidP="00FF4628">
            <w:pPr>
              <w:spacing w:line="240" w:lineRule="auto"/>
              <w:contextualSpacing/>
              <w:rPr>
                <w:rFonts w:ascii="Times New Roman" w:hAnsi="Times New Roman" w:cs="Times New Roman"/>
                <w:i/>
                <w:sz w:val="24"/>
                <w:szCs w:val="24"/>
              </w:rPr>
            </w:pPr>
            <w:r w:rsidRPr="00DD04C4">
              <w:rPr>
                <w:rFonts w:ascii="Times New Roman" w:hAnsi="Times New Roman" w:cs="Times New Roman"/>
                <w:i/>
                <w:sz w:val="24"/>
                <w:szCs w:val="24"/>
              </w:rPr>
              <w:t>Exponential Shift</w:t>
            </w:r>
          </w:p>
        </w:tc>
        <w:tc>
          <w:tcPr>
            <w:tcW w:w="1055"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1999:03</w:t>
            </w:r>
          </w:p>
        </w:tc>
        <w:tc>
          <w:tcPr>
            <w:tcW w:w="1283"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-1,95</w:t>
            </w:r>
          </w:p>
        </w:tc>
        <w:tc>
          <w:tcPr>
            <w:tcW w:w="0" w:type="auto"/>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w:t>
            </w:r>
          </w:p>
        </w:tc>
      </w:tr>
    </w:tbl>
    <w:p w:rsidR="001A3BB2" w:rsidRPr="00586953" w:rsidRDefault="001A3BB2" w:rsidP="00DF3040">
      <w:pPr>
        <w:widowControl w:val="0"/>
        <w:tabs>
          <w:tab w:val="left" w:pos="7655"/>
        </w:tabs>
        <w:spacing w:line="240" w:lineRule="auto"/>
        <w:ind w:left="1134" w:right="1133"/>
        <w:contextualSpacing/>
        <w:jc w:val="both"/>
        <w:rPr>
          <w:rFonts w:ascii="Times New Roman" w:hAnsi="Times New Roman" w:cs="Times New Roman"/>
          <w:sz w:val="20"/>
          <w:szCs w:val="20"/>
        </w:rPr>
      </w:pPr>
      <w:r w:rsidRPr="00586953">
        <w:rPr>
          <w:rFonts w:ascii="Times New Roman" w:hAnsi="Times New Roman" w:cs="Times New Roman"/>
          <w:b/>
          <w:sz w:val="20"/>
          <w:szCs w:val="20"/>
        </w:rPr>
        <w:t xml:space="preserve">Notas: </w:t>
      </w:r>
      <w:r w:rsidR="00B4414D" w:rsidRPr="00586953">
        <w:rPr>
          <w:rFonts w:ascii="Times New Roman" w:hAnsi="Times New Roman" w:cs="Times New Roman"/>
          <w:sz w:val="20"/>
          <w:szCs w:val="20"/>
        </w:rPr>
        <w:t xml:space="preserve">Elaboração </w:t>
      </w:r>
      <w:r w:rsidR="002116A6">
        <w:rPr>
          <w:rFonts w:ascii="Times New Roman" w:hAnsi="Times New Roman" w:cs="Times New Roman"/>
          <w:sz w:val="20"/>
          <w:szCs w:val="20"/>
        </w:rPr>
        <w:t>própria.</w:t>
      </w:r>
    </w:p>
    <w:p w:rsidR="001A3BB2" w:rsidRPr="00586953" w:rsidRDefault="006D1DEA" w:rsidP="00DF3040">
      <w:pPr>
        <w:widowControl w:val="0"/>
        <w:tabs>
          <w:tab w:val="left" w:pos="7655"/>
        </w:tabs>
        <w:spacing w:line="240" w:lineRule="auto"/>
        <w:ind w:left="1134" w:right="1133"/>
        <w:contextualSpacing/>
        <w:jc w:val="both"/>
        <w:rPr>
          <w:rFonts w:ascii="Times New Roman" w:hAnsi="Times New Roman" w:cs="Times New Roman"/>
          <w:sz w:val="20"/>
          <w:szCs w:val="20"/>
        </w:rPr>
      </w:pPr>
      <w:r w:rsidRPr="00586953">
        <w:rPr>
          <w:rFonts w:ascii="Times New Roman" w:hAnsi="Times New Roman" w:cs="Times New Roman"/>
          <w:sz w:val="20"/>
          <w:szCs w:val="20"/>
        </w:rPr>
        <w:t>1</w:t>
      </w:r>
      <w:r w:rsidR="001A3BB2" w:rsidRPr="00586953">
        <w:rPr>
          <w:rFonts w:ascii="Times New Roman" w:hAnsi="Times New Roman" w:cs="Times New Roman"/>
          <w:sz w:val="20"/>
          <w:szCs w:val="20"/>
        </w:rPr>
        <w:t xml:space="preserve"> - “</w:t>
      </w:r>
      <w:r w:rsidR="001A3BB2" w:rsidRPr="00586953">
        <w:rPr>
          <w:rFonts w:ascii="Times New Roman" w:hAnsi="Times New Roman" w:cs="Times New Roman"/>
          <w:i/>
          <w:sz w:val="20"/>
          <w:szCs w:val="20"/>
        </w:rPr>
        <w:t>Lags</w:t>
      </w:r>
      <w:r w:rsidR="001A3BB2" w:rsidRPr="00586953">
        <w:rPr>
          <w:rFonts w:ascii="Times New Roman" w:hAnsi="Times New Roman" w:cs="Times New Roman"/>
          <w:sz w:val="20"/>
          <w:szCs w:val="20"/>
        </w:rPr>
        <w:t xml:space="preserve">” significa defasagens. Variáveis na forma </w:t>
      </w:r>
      <w:r w:rsidR="00EC1CE8" w:rsidRPr="00586953">
        <w:rPr>
          <w:rFonts w:ascii="Times New Roman" w:hAnsi="Times New Roman" w:cs="Times New Roman"/>
          <w:sz w:val="20"/>
          <w:szCs w:val="20"/>
        </w:rPr>
        <w:t>de logaritmos naturais</w:t>
      </w:r>
      <w:r w:rsidR="001A3BB2" w:rsidRPr="00586953">
        <w:rPr>
          <w:rFonts w:ascii="Times New Roman" w:hAnsi="Times New Roman" w:cs="Times New Roman"/>
          <w:sz w:val="20"/>
          <w:szCs w:val="20"/>
        </w:rPr>
        <w:t>. “C” significa constante. “T” significa tendência determinística. (***) significância a 1%; (**) significância a 5%; (*) significância a 10%. Contagem inicial máxima de 1</w:t>
      </w:r>
      <w:r w:rsidR="009D79AF" w:rsidRPr="00586953">
        <w:rPr>
          <w:rFonts w:ascii="Times New Roman" w:hAnsi="Times New Roman" w:cs="Times New Roman"/>
          <w:sz w:val="20"/>
          <w:szCs w:val="20"/>
        </w:rPr>
        <w:t>0</w:t>
      </w:r>
      <w:r w:rsidR="001A3BB2" w:rsidRPr="00586953">
        <w:rPr>
          <w:rFonts w:ascii="Times New Roman" w:hAnsi="Times New Roman" w:cs="Times New Roman"/>
          <w:sz w:val="20"/>
          <w:szCs w:val="20"/>
        </w:rPr>
        <w:t xml:space="preserve"> defasagens. </w:t>
      </w:r>
    </w:p>
    <w:p w:rsidR="001A3BB2" w:rsidRPr="00586953" w:rsidRDefault="006D1DEA" w:rsidP="00DF3040">
      <w:pPr>
        <w:widowControl w:val="0"/>
        <w:tabs>
          <w:tab w:val="left" w:pos="7655"/>
        </w:tabs>
        <w:spacing w:line="240" w:lineRule="auto"/>
        <w:ind w:left="1134" w:right="1133"/>
        <w:contextualSpacing/>
        <w:jc w:val="both"/>
        <w:rPr>
          <w:rFonts w:ascii="Times New Roman" w:hAnsi="Times New Roman" w:cs="Times New Roman"/>
          <w:sz w:val="20"/>
          <w:szCs w:val="20"/>
        </w:rPr>
      </w:pPr>
      <w:r w:rsidRPr="00586953">
        <w:rPr>
          <w:rFonts w:ascii="Times New Roman" w:hAnsi="Times New Roman" w:cs="Times New Roman"/>
          <w:sz w:val="20"/>
          <w:szCs w:val="20"/>
        </w:rPr>
        <w:t>2</w:t>
      </w:r>
      <w:r w:rsidR="001A3BB2" w:rsidRPr="00586953">
        <w:rPr>
          <w:rFonts w:ascii="Times New Roman" w:hAnsi="Times New Roman" w:cs="Times New Roman"/>
          <w:b/>
          <w:sz w:val="20"/>
          <w:szCs w:val="20"/>
        </w:rPr>
        <w:t xml:space="preserve"> - </w:t>
      </w:r>
      <w:r w:rsidR="001A3BB2" w:rsidRPr="00586953">
        <w:rPr>
          <w:rFonts w:ascii="Times New Roman" w:hAnsi="Times New Roman" w:cs="Times New Roman"/>
          <w:sz w:val="20"/>
          <w:szCs w:val="20"/>
        </w:rPr>
        <w:t xml:space="preserve">Os valores críticos do teste de Saikkonen-Lutkepohl são os seguintes (Lanne </w:t>
      </w:r>
      <w:r w:rsidR="001A3BB2" w:rsidRPr="00586953">
        <w:rPr>
          <w:rFonts w:ascii="Times New Roman" w:hAnsi="Times New Roman" w:cs="Times New Roman"/>
          <w:i/>
          <w:sz w:val="20"/>
          <w:szCs w:val="20"/>
        </w:rPr>
        <w:t>et al</w:t>
      </w:r>
      <w:r w:rsidR="001A3BB2" w:rsidRPr="00586953">
        <w:rPr>
          <w:rFonts w:ascii="Times New Roman" w:hAnsi="Times New Roman" w:cs="Times New Roman"/>
          <w:sz w:val="20"/>
          <w:szCs w:val="20"/>
        </w:rPr>
        <w:t>. 2002)</w:t>
      </w:r>
      <w:r w:rsidR="00B4414D" w:rsidRPr="00586953">
        <w:rPr>
          <w:rFonts w:ascii="Times New Roman" w:hAnsi="Times New Roman" w:cs="Times New Roman"/>
          <w:sz w:val="20"/>
          <w:szCs w:val="20"/>
        </w:rPr>
        <w:t xml:space="preserve"> para os três tipos de quebra estrutural</w:t>
      </w:r>
      <w:r w:rsidR="00FF4628" w:rsidRPr="00586953">
        <w:rPr>
          <w:rFonts w:ascii="Times New Roman" w:hAnsi="Times New Roman" w:cs="Times New Roman"/>
          <w:sz w:val="20"/>
          <w:szCs w:val="20"/>
        </w:rPr>
        <w:t xml:space="preserve"> selecionada endogenamente</w:t>
      </w:r>
      <w:r w:rsidR="001A3BB2" w:rsidRPr="00586953">
        <w:rPr>
          <w:rFonts w:ascii="Times New Roman" w:hAnsi="Times New Roman" w:cs="Times New Roman"/>
          <w:sz w:val="20"/>
          <w:szCs w:val="20"/>
        </w:rPr>
        <w:t xml:space="preserve">: (i) modelo com constante: -3,48 (1%); -2,88 (5%) e -2,58 (10%); (ii) modelo com constante e tendência determinística: -3,55 (1%);  -3,03 (5%) e -2,76 (10%). </w:t>
      </w:r>
    </w:p>
    <w:p w:rsidR="001A3BB2" w:rsidRDefault="001A3BB2" w:rsidP="00AD2648">
      <w:pPr>
        <w:spacing w:line="240" w:lineRule="auto"/>
        <w:ind w:firstLine="708"/>
        <w:jc w:val="both"/>
        <w:rPr>
          <w:rFonts w:ascii="Times New Roman" w:hAnsi="Times New Roman" w:cs="Times New Roman"/>
        </w:rPr>
      </w:pPr>
    </w:p>
    <w:p w:rsidR="004B3779" w:rsidRDefault="004B3779" w:rsidP="00230341">
      <w:pPr>
        <w:autoSpaceDE w:val="0"/>
        <w:autoSpaceDN w:val="0"/>
        <w:adjustRightInd w:val="0"/>
        <w:spacing w:after="0" w:line="360" w:lineRule="auto"/>
        <w:ind w:firstLine="708"/>
        <w:jc w:val="both"/>
        <w:rPr>
          <w:rFonts w:ascii="Times New Roman" w:hAnsi="Times New Roman" w:cs="Times New Roman"/>
          <w:sz w:val="24"/>
          <w:szCs w:val="24"/>
        </w:rPr>
      </w:pPr>
      <w:r w:rsidRPr="00586953">
        <w:rPr>
          <w:rFonts w:ascii="Times New Roman" w:hAnsi="Times New Roman" w:cs="Times New Roman"/>
          <w:sz w:val="24"/>
          <w:szCs w:val="24"/>
        </w:rPr>
        <w:t xml:space="preserve">A variável Investimento/PIB se mostra estacionária em nível, ao nível de significância de 5%, considerando-se um modelo com constante apenas, em cada um dos três tipos de quebra estrutural. Já a variável Poupança/PIB é estacionária em nível, ao nível de significância de 10%, considerando-se modelo com constante, assim como modelo com </w:t>
      </w:r>
      <w:r w:rsidRPr="00586953">
        <w:rPr>
          <w:rFonts w:ascii="Times New Roman" w:hAnsi="Times New Roman" w:cs="Times New Roman"/>
          <w:sz w:val="24"/>
          <w:szCs w:val="24"/>
        </w:rPr>
        <w:lastRenderedPageBreak/>
        <w:t xml:space="preserve">constante e tendência, no caso da quebra estrutural sendo definida como sendo uma </w:t>
      </w:r>
      <w:r w:rsidRPr="00586953">
        <w:rPr>
          <w:rFonts w:ascii="Times New Roman" w:hAnsi="Times New Roman" w:cs="Times New Roman"/>
          <w:i/>
          <w:sz w:val="24"/>
          <w:szCs w:val="24"/>
        </w:rPr>
        <w:t>rational shift</w:t>
      </w:r>
      <w:r w:rsidRPr="00586953">
        <w:rPr>
          <w:rFonts w:ascii="Times New Roman" w:hAnsi="Times New Roman" w:cs="Times New Roman"/>
          <w:sz w:val="24"/>
          <w:szCs w:val="24"/>
        </w:rPr>
        <w:t>. Logo, as duas séries são estacionárias em nível, ou seja, trata-se de séries I(0), rejeitando-se a hipótese nula de presença de raiz unitária.</w:t>
      </w:r>
    </w:p>
    <w:p w:rsidR="006C64D0" w:rsidRPr="00586953" w:rsidRDefault="006C64D0" w:rsidP="00230341">
      <w:pPr>
        <w:autoSpaceDE w:val="0"/>
        <w:autoSpaceDN w:val="0"/>
        <w:adjustRightInd w:val="0"/>
        <w:spacing w:after="0" w:line="360" w:lineRule="auto"/>
        <w:ind w:firstLine="708"/>
        <w:jc w:val="both"/>
        <w:rPr>
          <w:rFonts w:ascii="Times New Roman" w:hAnsi="Times New Roman" w:cs="Times New Roman"/>
        </w:rPr>
      </w:pPr>
      <w:r w:rsidRPr="00586953">
        <w:rPr>
          <w:rFonts w:ascii="Times New Roman" w:hAnsi="Times New Roman" w:cs="Times New Roman"/>
          <w:sz w:val="24"/>
          <w:szCs w:val="24"/>
        </w:rPr>
        <w:t xml:space="preserve">Os resultados do modelo VAR podem ser observados na Tabela </w:t>
      </w:r>
      <w:r w:rsidR="00CE4452" w:rsidRPr="00586953">
        <w:rPr>
          <w:rFonts w:ascii="Times New Roman" w:hAnsi="Times New Roman" w:cs="Times New Roman"/>
          <w:sz w:val="24"/>
          <w:szCs w:val="24"/>
        </w:rPr>
        <w:t>2</w:t>
      </w:r>
      <w:r w:rsidRPr="00586953">
        <w:rPr>
          <w:rFonts w:ascii="Times New Roman" w:hAnsi="Times New Roman" w:cs="Times New Roman"/>
          <w:sz w:val="24"/>
          <w:szCs w:val="24"/>
        </w:rPr>
        <w:t xml:space="preserve">. No caso da </w:t>
      </w:r>
      <w:r w:rsidR="006774FF">
        <w:rPr>
          <w:rFonts w:ascii="Times New Roman" w:hAnsi="Times New Roman" w:cs="Times New Roman"/>
          <w:sz w:val="24"/>
          <w:szCs w:val="24"/>
        </w:rPr>
        <w:t>relação</w:t>
      </w:r>
      <w:r w:rsidRPr="00586953">
        <w:rPr>
          <w:rFonts w:ascii="Times New Roman" w:hAnsi="Times New Roman" w:cs="Times New Roman"/>
          <w:sz w:val="24"/>
          <w:szCs w:val="24"/>
        </w:rPr>
        <w:t xml:space="preserve"> investimento</w:t>
      </w:r>
      <w:r w:rsidR="006774FF">
        <w:rPr>
          <w:rFonts w:ascii="Times New Roman" w:hAnsi="Times New Roman" w:cs="Times New Roman"/>
          <w:sz w:val="24"/>
          <w:szCs w:val="24"/>
        </w:rPr>
        <w:t>/</w:t>
      </w:r>
      <w:r w:rsidRPr="00586953">
        <w:rPr>
          <w:rFonts w:ascii="Times New Roman" w:hAnsi="Times New Roman" w:cs="Times New Roman"/>
          <w:sz w:val="24"/>
          <w:szCs w:val="24"/>
        </w:rPr>
        <w:t xml:space="preserve">PIB como variável dependente, observa-se que os coeficientes estimados e diferenciados da </w:t>
      </w:r>
      <w:r w:rsidR="006774FF">
        <w:rPr>
          <w:rFonts w:ascii="Times New Roman" w:hAnsi="Times New Roman" w:cs="Times New Roman"/>
          <w:sz w:val="24"/>
          <w:szCs w:val="24"/>
        </w:rPr>
        <w:t>relação</w:t>
      </w:r>
      <w:r w:rsidRPr="00586953">
        <w:rPr>
          <w:rFonts w:ascii="Times New Roman" w:hAnsi="Times New Roman" w:cs="Times New Roman"/>
          <w:sz w:val="24"/>
          <w:szCs w:val="24"/>
        </w:rPr>
        <w:t xml:space="preserve"> investimento</w:t>
      </w:r>
      <w:r w:rsidR="006774FF">
        <w:rPr>
          <w:rFonts w:ascii="Times New Roman" w:hAnsi="Times New Roman" w:cs="Times New Roman"/>
          <w:sz w:val="24"/>
          <w:szCs w:val="24"/>
        </w:rPr>
        <w:t>/</w:t>
      </w:r>
      <w:r w:rsidRPr="00586953">
        <w:rPr>
          <w:rFonts w:ascii="Times New Roman" w:hAnsi="Times New Roman" w:cs="Times New Roman"/>
          <w:sz w:val="24"/>
          <w:szCs w:val="24"/>
        </w:rPr>
        <w:t xml:space="preserve">PIB e da </w:t>
      </w:r>
      <w:r w:rsidR="006774FF">
        <w:rPr>
          <w:rFonts w:ascii="Times New Roman" w:hAnsi="Times New Roman" w:cs="Times New Roman"/>
          <w:sz w:val="24"/>
          <w:szCs w:val="24"/>
        </w:rPr>
        <w:t>relação</w:t>
      </w:r>
      <w:r w:rsidRPr="00586953">
        <w:rPr>
          <w:rFonts w:ascii="Times New Roman" w:hAnsi="Times New Roman" w:cs="Times New Roman"/>
          <w:sz w:val="24"/>
          <w:szCs w:val="24"/>
        </w:rPr>
        <w:t xml:space="preserve"> poupança</w:t>
      </w:r>
      <w:r w:rsidR="006774FF">
        <w:rPr>
          <w:rFonts w:ascii="Times New Roman" w:hAnsi="Times New Roman" w:cs="Times New Roman"/>
          <w:sz w:val="24"/>
          <w:szCs w:val="24"/>
        </w:rPr>
        <w:t>/</w:t>
      </w:r>
      <w:r w:rsidRPr="00586953">
        <w:rPr>
          <w:rFonts w:ascii="Times New Roman" w:hAnsi="Times New Roman" w:cs="Times New Roman"/>
          <w:sz w:val="24"/>
          <w:szCs w:val="24"/>
        </w:rPr>
        <w:t>PIB - tanto na primeira quanto na segunda defasagem - são, individualmente, estatisticamente significantes a</w:t>
      </w:r>
      <w:r w:rsidR="006774FF">
        <w:rPr>
          <w:rFonts w:ascii="Times New Roman" w:hAnsi="Times New Roman" w:cs="Times New Roman"/>
          <w:sz w:val="24"/>
          <w:szCs w:val="24"/>
        </w:rPr>
        <w:t>o nível de</w:t>
      </w:r>
      <w:r w:rsidRPr="00586953">
        <w:rPr>
          <w:rFonts w:ascii="Times New Roman" w:hAnsi="Times New Roman" w:cs="Times New Roman"/>
          <w:sz w:val="24"/>
          <w:szCs w:val="24"/>
        </w:rPr>
        <w:t xml:space="preserve"> 5%. </w:t>
      </w:r>
    </w:p>
    <w:p w:rsidR="00E869BA" w:rsidRDefault="00E869BA" w:rsidP="001434A3">
      <w:pPr>
        <w:spacing w:after="0"/>
        <w:ind w:left="1416"/>
        <w:rPr>
          <w:rFonts w:ascii="Times New Roman" w:hAnsi="Times New Roman" w:cs="Times New Roman"/>
          <w:b/>
          <w:sz w:val="24"/>
          <w:szCs w:val="24"/>
        </w:rPr>
      </w:pPr>
    </w:p>
    <w:p w:rsidR="006C64D0" w:rsidRPr="002116A6" w:rsidRDefault="006C64D0" w:rsidP="001434A3">
      <w:pPr>
        <w:spacing w:after="0"/>
        <w:ind w:left="1416"/>
        <w:rPr>
          <w:rFonts w:ascii="Times New Roman" w:hAnsi="Times New Roman" w:cs="Times New Roman"/>
          <w:b/>
          <w:sz w:val="24"/>
          <w:szCs w:val="24"/>
        </w:rPr>
      </w:pPr>
      <w:r w:rsidRPr="00586953">
        <w:rPr>
          <w:rFonts w:ascii="Times New Roman" w:hAnsi="Times New Roman" w:cs="Times New Roman"/>
          <w:b/>
          <w:sz w:val="24"/>
          <w:szCs w:val="24"/>
        </w:rPr>
        <w:t xml:space="preserve">Tabela </w:t>
      </w:r>
      <w:r w:rsidR="00213F7C" w:rsidRPr="00586953">
        <w:rPr>
          <w:rFonts w:ascii="Times New Roman" w:hAnsi="Times New Roman" w:cs="Times New Roman"/>
          <w:b/>
          <w:sz w:val="24"/>
          <w:szCs w:val="24"/>
        </w:rPr>
        <w:t>2</w:t>
      </w:r>
      <w:r w:rsidR="002116A6" w:rsidRPr="002116A6">
        <w:rPr>
          <w:rFonts w:ascii="Times New Roman" w:hAnsi="Times New Roman" w:cs="Times New Roman"/>
          <w:b/>
          <w:sz w:val="24"/>
          <w:szCs w:val="24"/>
        </w:rPr>
        <w:t>.</w:t>
      </w:r>
      <w:r w:rsidR="002116A6">
        <w:rPr>
          <w:rFonts w:ascii="Times New Roman" w:hAnsi="Times New Roman" w:cs="Times New Roman"/>
          <w:b/>
          <w:sz w:val="24"/>
          <w:szCs w:val="24"/>
        </w:rPr>
        <w:t xml:space="preserve"> Resultado do m</w:t>
      </w:r>
      <w:r w:rsidRPr="002116A6">
        <w:rPr>
          <w:rFonts w:ascii="Times New Roman" w:hAnsi="Times New Roman" w:cs="Times New Roman"/>
          <w:b/>
          <w:sz w:val="24"/>
          <w:szCs w:val="24"/>
        </w:rPr>
        <w:t>odelo VAR</w:t>
      </w:r>
    </w:p>
    <w:tbl>
      <w:tblPr>
        <w:tblW w:w="0" w:type="auto"/>
        <w:tblInd w:w="1446" w:type="dxa"/>
        <w:tblLayout w:type="fixed"/>
        <w:tblCellMar>
          <w:left w:w="0" w:type="dxa"/>
          <w:right w:w="0" w:type="dxa"/>
        </w:tblCellMar>
        <w:tblLook w:val="0000" w:firstRow="0" w:lastRow="0" w:firstColumn="0" w:lastColumn="0" w:noHBand="0" w:noVBand="0"/>
      </w:tblPr>
      <w:tblGrid>
        <w:gridCol w:w="2805"/>
        <w:gridCol w:w="1313"/>
        <w:gridCol w:w="1312"/>
      </w:tblGrid>
      <w:tr w:rsidR="006C64D0" w:rsidRPr="00586953" w:rsidTr="000D2F90">
        <w:trPr>
          <w:trHeight w:hRule="exact" w:val="80"/>
        </w:trPr>
        <w:tc>
          <w:tcPr>
            <w:tcW w:w="2805" w:type="dxa"/>
            <w:tcBorders>
              <w:top w:val="nil"/>
              <w:left w:val="nil"/>
              <w:bottom w:val="double" w:sz="6" w:space="2" w:color="auto"/>
              <w:right w:val="nil"/>
            </w:tcBorders>
            <w:vAlign w:val="bottom"/>
          </w:tcPr>
          <w:p w:rsidR="006C64D0" w:rsidRPr="00586953" w:rsidRDefault="006C64D0" w:rsidP="006C64D0">
            <w:pPr>
              <w:spacing w:after="0"/>
              <w:rPr>
                <w:rFonts w:ascii="Times New Roman" w:hAnsi="Times New Roman" w:cs="Times New Roman"/>
                <w:sz w:val="24"/>
                <w:szCs w:val="24"/>
              </w:rPr>
            </w:pPr>
          </w:p>
        </w:tc>
        <w:tc>
          <w:tcPr>
            <w:tcW w:w="1313" w:type="dxa"/>
            <w:tcBorders>
              <w:top w:val="nil"/>
              <w:left w:val="nil"/>
              <w:bottom w:val="double" w:sz="6" w:space="2" w:color="auto"/>
              <w:right w:val="nil"/>
            </w:tcBorders>
            <w:vAlign w:val="bottom"/>
          </w:tcPr>
          <w:p w:rsidR="006C64D0" w:rsidRPr="00586953" w:rsidRDefault="006C64D0" w:rsidP="006C64D0">
            <w:pPr>
              <w:autoSpaceDE w:val="0"/>
              <w:autoSpaceDN w:val="0"/>
              <w:adjustRightInd w:val="0"/>
              <w:spacing w:after="0" w:line="240" w:lineRule="auto"/>
              <w:jc w:val="center"/>
              <w:rPr>
                <w:rFonts w:ascii="Times New Roman" w:hAnsi="Times New Roman" w:cs="Times New Roman"/>
                <w:sz w:val="24"/>
                <w:szCs w:val="24"/>
              </w:rPr>
            </w:pPr>
          </w:p>
        </w:tc>
        <w:tc>
          <w:tcPr>
            <w:tcW w:w="1312" w:type="dxa"/>
            <w:tcBorders>
              <w:top w:val="nil"/>
              <w:left w:val="nil"/>
              <w:bottom w:val="double" w:sz="6" w:space="2" w:color="auto"/>
              <w:right w:val="nil"/>
            </w:tcBorders>
            <w:vAlign w:val="bottom"/>
          </w:tcPr>
          <w:p w:rsidR="006C64D0" w:rsidRPr="00586953" w:rsidRDefault="006C64D0" w:rsidP="006C64D0">
            <w:pPr>
              <w:autoSpaceDE w:val="0"/>
              <w:autoSpaceDN w:val="0"/>
              <w:adjustRightInd w:val="0"/>
              <w:spacing w:after="0" w:line="240" w:lineRule="auto"/>
              <w:jc w:val="center"/>
              <w:rPr>
                <w:rFonts w:ascii="Times New Roman" w:hAnsi="Times New Roman" w:cs="Times New Roman"/>
                <w:sz w:val="24"/>
                <w:szCs w:val="24"/>
              </w:rPr>
            </w:pPr>
          </w:p>
        </w:tc>
      </w:tr>
      <w:tr w:rsidR="006C64D0" w:rsidRPr="00586953" w:rsidTr="001434A3">
        <w:trPr>
          <w:trHeight w:hRule="exact" w:val="13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sz w:val="24"/>
                <w:szCs w:val="24"/>
              </w:rPr>
            </w:pP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sz w:val="24"/>
                <w:szCs w:val="24"/>
              </w:rPr>
            </w:pP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sz w:val="24"/>
                <w:szCs w:val="24"/>
              </w:rPr>
            </w:pP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F3210F" w:rsidP="00DB728A">
            <w:pPr>
              <w:autoSpaceDE w:val="0"/>
              <w:autoSpaceDN w:val="0"/>
              <w:adjustRightInd w:val="0"/>
              <w:spacing w:after="0" w:line="240" w:lineRule="auto"/>
              <w:jc w:val="center"/>
              <w:rPr>
                <w:rFonts w:ascii="Times New Roman" w:hAnsi="Times New Roman" w:cs="Times New Roman"/>
              </w:rPr>
            </w:pPr>
            <m:oMathPara>
              <m:oMath>
                <m:sSub>
                  <m:sSubPr>
                    <m:ctrlPr>
                      <w:rPr>
                        <w:rFonts w:ascii="Cambria Math" w:hAnsi="Cambria Math" w:cs="Times New Roman"/>
                        <w:i/>
                      </w:rPr>
                    </m:ctrlPr>
                  </m:sSubPr>
                  <m:e>
                    <m:d>
                      <m:dPr>
                        <m:ctrlPr>
                          <w:rPr>
                            <w:rFonts w:ascii="Cambria Math" w:hAnsi="Cambria Math" w:cs="Times New Roman"/>
                            <w:i/>
                          </w:rPr>
                        </m:ctrlPr>
                      </m:dPr>
                      <m:e>
                        <m:f>
                          <m:fPr>
                            <m:type m:val="lin"/>
                            <m:ctrlPr>
                              <w:rPr>
                                <w:rFonts w:ascii="Cambria Math" w:hAnsi="Cambria Math" w:cs="Times New Roman"/>
                                <w:i/>
                              </w:rPr>
                            </m:ctrlPr>
                          </m:fPr>
                          <m:num>
                            <m:r>
                              <w:rPr>
                                <w:rFonts w:ascii="Cambria Math" w:hAnsi="Cambria Math" w:cs="Times New Roman"/>
                              </w:rPr>
                              <m:t>i</m:t>
                            </m:r>
                          </m:num>
                          <m:den>
                            <m:r>
                              <w:rPr>
                                <w:rFonts w:ascii="Cambria Math" w:hAnsi="Cambria Math" w:cs="Times New Roman"/>
                              </w:rPr>
                              <m:t>y</m:t>
                            </m:r>
                          </m:den>
                        </m:f>
                      </m:e>
                    </m:d>
                  </m:e>
                  <m:sub>
                    <m:r>
                      <w:rPr>
                        <w:rFonts w:ascii="Cambria Math" w:hAnsi="Cambria Math" w:cs="Times New Roman"/>
                      </w:rPr>
                      <m:t>t</m:t>
                    </m:r>
                  </m:sub>
                </m:sSub>
              </m:oMath>
            </m:oMathPara>
          </w:p>
        </w:tc>
        <w:tc>
          <w:tcPr>
            <w:tcW w:w="1312" w:type="dxa"/>
            <w:tcBorders>
              <w:top w:val="nil"/>
              <w:left w:val="nil"/>
              <w:bottom w:val="nil"/>
              <w:right w:val="nil"/>
            </w:tcBorders>
            <w:vAlign w:val="bottom"/>
          </w:tcPr>
          <w:p w:rsidR="006C64D0" w:rsidRPr="00586953" w:rsidRDefault="00F3210F" w:rsidP="00DB728A">
            <w:pPr>
              <w:autoSpaceDE w:val="0"/>
              <w:autoSpaceDN w:val="0"/>
              <w:adjustRightInd w:val="0"/>
              <w:spacing w:after="0" w:line="240" w:lineRule="auto"/>
              <w:jc w:val="center"/>
              <w:rPr>
                <w:rFonts w:ascii="Times New Roman" w:hAnsi="Times New Roman" w:cs="Times New Roman"/>
              </w:rPr>
            </w:pPr>
            <m:oMathPara>
              <m:oMath>
                <m:sSub>
                  <m:sSubPr>
                    <m:ctrlPr>
                      <w:rPr>
                        <w:rFonts w:ascii="Cambria Math" w:hAnsi="Cambria Math" w:cs="Times New Roman"/>
                        <w:i/>
                      </w:rPr>
                    </m:ctrlPr>
                  </m:sSubPr>
                  <m:e>
                    <m:d>
                      <m:dPr>
                        <m:ctrlPr>
                          <w:rPr>
                            <w:rFonts w:ascii="Cambria Math" w:hAnsi="Cambria Math" w:cs="Times New Roman"/>
                            <w:i/>
                          </w:rPr>
                        </m:ctrlPr>
                      </m:dPr>
                      <m:e>
                        <m:f>
                          <m:fPr>
                            <m:type m:val="lin"/>
                            <m:ctrlPr>
                              <w:rPr>
                                <w:rFonts w:ascii="Cambria Math" w:hAnsi="Cambria Math" w:cs="Times New Roman"/>
                                <w:i/>
                              </w:rPr>
                            </m:ctrlPr>
                          </m:fPr>
                          <m:num>
                            <m:r>
                              <w:rPr>
                                <w:rFonts w:ascii="Cambria Math" w:hAnsi="Cambria Math" w:cs="Times New Roman"/>
                              </w:rPr>
                              <m:t>s</m:t>
                            </m:r>
                          </m:num>
                          <m:den>
                            <m:r>
                              <w:rPr>
                                <w:rFonts w:ascii="Cambria Math" w:hAnsi="Cambria Math" w:cs="Times New Roman"/>
                              </w:rPr>
                              <m:t>y</m:t>
                            </m:r>
                          </m:den>
                        </m:f>
                      </m:e>
                    </m:d>
                  </m:e>
                  <m:sub>
                    <m:r>
                      <w:rPr>
                        <w:rFonts w:ascii="Cambria Math" w:hAnsi="Cambria Math" w:cs="Times New Roman"/>
                      </w:rPr>
                      <m:t>t</m:t>
                    </m:r>
                  </m:sub>
                </m:sSub>
              </m:oMath>
            </m:oMathPara>
          </w:p>
        </w:tc>
      </w:tr>
      <w:tr w:rsidR="006C64D0" w:rsidRPr="00586953" w:rsidTr="000D2F90">
        <w:trPr>
          <w:trHeight w:hRule="exact" w:val="80"/>
        </w:trPr>
        <w:tc>
          <w:tcPr>
            <w:tcW w:w="2805" w:type="dxa"/>
            <w:tcBorders>
              <w:top w:val="nil"/>
              <w:left w:val="nil"/>
              <w:bottom w:val="double" w:sz="6" w:space="2" w:color="auto"/>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double" w:sz="6" w:space="2" w:color="auto"/>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2" w:type="dxa"/>
            <w:tcBorders>
              <w:top w:val="nil"/>
              <w:left w:val="nil"/>
              <w:bottom w:val="double" w:sz="6" w:space="2" w:color="auto"/>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r>
      <w:tr w:rsidR="006C64D0" w:rsidRPr="00586953" w:rsidTr="001434A3">
        <w:trPr>
          <w:trHeight w:hRule="exact" w:val="13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F3210F" w:rsidP="00DB728A">
            <w:pPr>
              <w:autoSpaceDE w:val="0"/>
              <w:autoSpaceDN w:val="0"/>
              <w:adjustRightInd w:val="0"/>
              <w:spacing w:after="0" w:line="240" w:lineRule="auto"/>
              <w:jc w:val="center"/>
              <w:rPr>
                <w:rFonts w:ascii="Times New Roman" w:hAnsi="Times New Roman" w:cs="Times New Roman"/>
              </w:rPr>
            </w:pPr>
            <m:oMathPara>
              <m:oMath>
                <m:sSub>
                  <m:sSubPr>
                    <m:ctrlPr>
                      <w:rPr>
                        <w:rFonts w:ascii="Cambria Math" w:hAnsi="Cambria Math" w:cs="Times New Roman"/>
                        <w:i/>
                      </w:rPr>
                    </m:ctrlPr>
                  </m:sSubPr>
                  <m:e>
                    <m:d>
                      <m:dPr>
                        <m:ctrlPr>
                          <w:rPr>
                            <w:rFonts w:ascii="Cambria Math" w:hAnsi="Cambria Math" w:cs="Times New Roman"/>
                            <w:i/>
                          </w:rPr>
                        </m:ctrlPr>
                      </m:dPr>
                      <m:e>
                        <m:f>
                          <m:fPr>
                            <m:type m:val="lin"/>
                            <m:ctrlPr>
                              <w:rPr>
                                <w:rFonts w:ascii="Cambria Math" w:hAnsi="Cambria Math" w:cs="Times New Roman"/>
                                <w:i/>
                              </w:rPr>
                            </m:ctrlPr>
                          </m:fPr>
                          <m:num>
                            <m:r>
                              <w:rPr>
                                <w:rFonts w:ascii="Cambria Math" w:hAnsi="Cambria Math" w:cs="Times New Roman"/>
                              </w:rPr>
                              <m:t>i</m:t>
                            </m:r>
                          </m:num>
                          <m:den>
                            <m:r>
                              <w:rPr>
                                <w:rFonts w:ascii="Cambria Math" w:hAnsi="Cambria Math" w:cs="Times New Roman"/>
                              </w:rPr>
                              <m:t>y</m:t>
                            </m:r>
                          </m:den>
                        </m:f>
                      </m:e>
                    </m:d>
                  </m:e>
                  <m:sub>
                    <m:r>
                      <w:rPr>
                        <w:rFonts w:ascii="Cambria Math" w:hAnsi="Cambria Math" w:cs="Times New Roman"/>
                      </w:rPr>
                      <m:t>t-1</m:t>
                    </m:r>
                  </m:sub>
                </m:sSub>
              </m:oMath>
            </m:oMathPara>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1</w:t>
            </w:r>
            <w:r w:rsidR="00E870E2">
              <w:rPr>
                <w:rFonts w:ascii="Times New Roman" w:hAnsi="Times New Roman" w:cs="Times New Roman"/>
              </w:rPr>
              <w:t>,</w:t>
            </w:r>
            <w:r w:rsidRPr="00586953">
              <w:rPr>
                <w:rFonts w:ascii="Times New Roman" w:hAnsi="Times New Roman" w:cs="Times New Roman"/>
              </w:rPr>
              <w:t>151519**</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316572</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[ 6</w:t>
            </w:r>
            <w:r w:rsidR="00E870E2">
              <w:rPr>
                <w:rFonts w:ascii="Times New Roman" w:hAnsi="Times New Roman" w:cs="Times New Roman"/>
              </w:rPr>
              <w:t>,</w:t>
            </w:r>
            <w:r w:rsidRPr="00586953">
              <w:rPr>
                <w:rFonts w:ascii="Times New Roman" w:hAnsi="Times New Roman" w:cs="Times New Roman"/>
              </w:rPr>
              <w:t>64651]</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[ 1</w:t>
            </w:r>
            <w:r w:rsidR="00E870E2">
              <w:rPr>
                <w:rFonts w:ascii="Times New Roman" w:hAnsi="Times New Roman" w:cs="Times New Roman"/>
              </w:rPr>
              <w:t>,</w:t>
            </w:r>
            <w:r w:rsidRPr="00586953">
              <w:rPr>
                <w:rFonts w:ascii="Times New Roman" w:hAnsi="Times New Roman" w:cs="Times New Roman"/>
              </w:rPr>
              <w:t>73745]</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F3210F" w:rsidP="00DB728A">
            <w:pPr>
              <w:autoSpaceDE w:val="0"/>
              <w:autoSpaceDN w:val="0"/>
              <w:adjustRightInd w:val="0"/>
              <w:spacing w:after="0" w:line="240" w:lineRule="auto"/>
              <w:jc w:val="center"/>
              <w:rPr>
                <w:rFonts w:ascii="Times New Roman" w:hAnsi="Times New Roman" w:cs="Times New Roman"/>
              </w:rPr>
            </w:pPr>
            <m:oMathPara>
              <m:oMath>
                <m:sSub>
                  <m:sSubPr>
                    <m:ctrlPr>
                      <w:rPr>
                        <w:rFonts w:ascii="Cambria Math" w:hAnsi="Cambria Math" w:cs="Times New Roman"/>
                        <w:i/>
                      </w:rPr>
                    </m:ctrlPr>
                  </m:sSubPr>
                  <m:e>
                    <m:d>
                      <m:dPr>
                        <m:ctrlPr>
                          <w:rPr>
                            <w:rFonts w:ascii="Cambria Math" w:hAnsi="Cambria Math" w:cs="Times New Roman"/>
                            <w:i/>
                          </w:rPr>
                        </m:ctrlPr>
                      </m:dPr>
                      <m:e>
                        <m:f>
                          <m:fPr>
                            <m:type m:val="lin"/>
                            <m:ctrlPr>
                              <w:rPr>
                                <w:rFonts w:ascii="Cambria Math" w:hAnsi="Cambria Math" w:cs="Times New Roman"/>
                                <w:i/>
                              </w:rPr>
                            </m:ctrlPr>
                          </m:fPr>
                          <m:num>
                            <m:r>
                              <w:rPr>
                                <w:rFonts w:ascii="Cambria Math" w:hAnsi="Cambria Math" w:cs="Times New Roman"/>
                              </w:rPr>
                              <m:t>i</m:t>
                            </m:r>
                          </m:num>
                          <m:den>
                            <m:r>
                              <w:rPr>
                                <w:rFonts w:ascii="Cambria Math" w:hAnsi="Cambria Math" w:cs="Times New Roman"/>
                              </w:rPr>
                              <m:t>y</m:t>
                            </m:r>
                          </m:den>
                        </m:f>
                      </m:e>
                    </m:d>
                  </m:e>
                  <m:sub>
                    <m:r>
                      <w:rPr>
                        <w:rFonts w:ascii="Cambria Math" w:hAnsi="Cambria Math" w:cs="Times New Roman"/>
                      </w:rPr>
                      <m:t>t-2</m:t>
                    </m:r>
                  </m:sub>
                </m:sSub>
              </m:oMath>
            </m:oMathPara>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-0</w:t>
            </w:r>
            <w:r w:rsidR="00E870E2">
              <w:rPr>
                <w:rFonts w:ascii="Times New Roman" w:hAnsi="Times New Roman" w:cs="Times New Roman"/>
              </w:rPr>
              <w:t>,</w:t>
            </w:r>
            <w:r w:rsidRPr="00586953">
              <w:rPr>
                <w:rFonts w:ascii="Times New Roman" w:hAnsi="Times New Roman" w:cs="Times New Roman"/>
              </w:rPr>
              <w:t>429696**</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-0</w:t>
            </w:r>
            <w:r w:rsidR="00E870E2">
              <w:rPr>
                <w:rFonts w:ascii="Times New Roman" w:hAnsi="Times New Roman" w:cs="Times New Roman"/>
              </w:rPr>
              <w:t>,</w:t>
            </w:r>
            <w:r w:rsidRPr="00586953">
              <w:rPr>
                <w:rFonts w:ascii="Times New Roman" w:hAnsi="Times New Roman" w:cs="Times New Roman"/>
              </w:rPr>
              <w:t>528869**</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[-2</w:t>
            </w:r>
            <w:r w:rsidR="00E870E2">
              <w:rPr>
                <w:rFonts w:ascii="Times New Roman" w:hAnsi="Times New Roman" w:cs="Times New Roman"/>
              </w:rPr>
              <w:t>,</w:t>
            </w:r>
            <w:r w:rsidRPr="00586953">
              <w:rPr>
                <w:rFonts w:ascii="Times New Roman" w:hAnsi="Times New Roman" w:cs="Times New Roman"/>
              </w:rPr>
              <w:t>50260]</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[-2</w:t>
            </w:r>
            <w:r w:rsidR="00E870E2">
              <w:rPr>
                <w:rFonts w:ascii="Times New Roman" w:hAnsi="Times New Roman" w:cs="Times New Roman"/>
              </w:rPr>
              <w:t>,</w:t>
            </w:r>
            <w:r w:rsidRPr="00586953">
              <w:rPr>
                <w:rFonts w:ascii="Times New Roman" w:hAnsi="Times New Roman" w:cs="Times New Roman"/>
              </w:rPr>
              <w:t>92883]</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F3210F" w:rsidP="00DB728A">
            <w:pPr>
              <w:autoSpaceDE w:val="0"/>
              <w:autoSpaceDN w:val="0"/>
              <w:adjustRightInd w:val="0"/>
              <w:spacing w:after="0" w:line="240" w:lineRule="auto"/>
              <w:jc w:val="center"/>
              <w:rPr>
                <w:rFonts w:ascii="Times New Roman" w:hAnsi="Times New Roman" w:cs="Times New Roman"/>
              </w:rPr>
            </w:pPr>
            <m:oMathPara>
              <m:oMath>
                <m:sSub>
                  <m:sSubPr>
                    <m:ctrlPr>
                      <w:rPr>
                        <w:rFonts w:ascii="Cambria Math" w:hAnsi="Cambria Math" w:cs="Times New Roman"/>
                        <w:i/>
                      </w:rPr>
                    </m:ctrlPr>
                  </m:sSubPr>
                  <m:e>
                    <m:d>
                      <m:dPr>
                        <m:ctrlPr>
                          <w:rPr>
                            <w:rFonts w:ascii="Cambria Math" w:hAnsi="Cambria Math" w:cs="Times New Roman"/>
                            <w:i/>
                          </w:rPr>
                        </m:ctrlPr>
                      </m:dPr>
                      <m:e>
                        <m:f>
                          <m:fPr>
                            <m:type m:val="lin"/>
                            <m:ctrlPr>
                              <w:rPr>
                                <w:rFonts w:ascii="Cambria Math" w:hAnsi="Cambria Math" w:cs="Times New Roman"/>
                                <w:i/>
                              </w:rPr>
                            </m:ctrlPr>
                          </m:fPr>
                          <m:num>
                            <m:r>
                              <w:rPr>
                                <w:rFonts w:ascii="Cambria Math" w:hAnsi="Cambria Math" w:cs="Times New Roman"/>
                              </w:rPr>
                              <m:t>s</m:t>
                            </m:r>
                          </m:num>
                          <m:den>
                            <m:r>
                              <w:rPr>
                                <w:rFonts w:ascii="Cambria Math" w:hAnsi="Cambria Math" w:cs="Times New Roman"/>
                              </w:rPr>
                              <m:t>y</m:t>
                            </m:r>
                          </m:den>
                        </m:f>
                      </m:e>
                    </m:d>
                  </m:e>
                  <m:sub>
                    <m:r>
                      <w:rPr>
                        <w:rFonts w:ascii="Cambria Math" w:hAnsi="Cambria Math" w:cs="Times New Roman"/>
                      </w:rPr>
                      <m:t>t-1</m:t>
                    </m:r>
                  </m:sub>
                </m:sSub>
              </m:oMath>
            </m:oMathPara>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-0</w:t>
            </w:r>
            <w:r w:rsidR="00E870E2">
              <w:rPr>
                <w:rFonts w:ascii="Times New Roman" w:hAnsi="Times New Roman" w:cs="Times New Roman"/>
              </w:rPr>
              <w:t>,</w:t>
            </w:r>
            <w:r w:rsidRPr="00586953">
              <w:rPr>
                <w:rFonts w:ascii="Times New Roman" w:hAnsi="Times New Roman" w:cs="Times New Roman"/>
              </w:rPr>
              <w:t>528046**</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383293**</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[-3</w:t>
            </w:r>
            <w:r w:rsidR="00E870E2">
              <w:rPr>
                <w:rFonts w:ascii="Times New Roman" w:hAnsi="Times New Roman" w:cs="Times New Roman"/>
              </w:rPr>
              <w:t>,</w:t>
            </w:r>
            <w:r w:rsidRPr="00586953">
              <w:rPr>
                <w:rFonts w:ascii="Times New Roman" w:hAnsi="Times New Roman" w:cs="Times New Roman"/>
              </w:rPr>
              <w:t>63582]</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[ 2</w:t>
            </w:r>
            <w:r w:rsidR="00E870E2">
              <w:rPr>
                <w:rFonts w:ascii="Times New Roman" w:hAnsi="Times New Roman" w:cs="Times New Roman"/>
              </w:rPr>
              <w:t>,</w:t>
            </w:r>
            <w:r w:rsidRPr="00586953">
              <w:rPr>
                <w:rFonts w:ascii="Times New Roman" w:hAnsi="Times New Roman" w:cs="Times New Roman"/>
              </w:rPr>
              <w:t>50945]</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F3210F" w:rsidP="00DB728A">
            <w:pPr>
              <w:autoSpaceDE w:val="0"/>
              <w:autoSpaceDN w:val="0"/>
              <w:adjustRightInd w:val="0"/>
              <w:spacing w:after="0" w:line="240" w:lineRule="auto"/>
              <w:jc w:val="center"/>
              <w:rPr>
                <w:rFonts w:ascii="Times New Roman" w:hAnsi="Times New Roman" w:cs="Times New Roman"/>
              </w:rPr>
            </w:pPr>
            <m:oMathPara>
              <m:oMath>
                <m:sSub>
                  <m:sSubPr>
                    <m:ctrlPr>
                      <w:rPr>
                        <w:rFonts w:ascii="Cambria Math" w:hAnsi="Cambria Math" w:cs="Times New Roman"/>
                        <w:i/>
                      </w:rPr>
                    </m:ctrlPr>
                  </m:sSubPr>
                  <m:e>
                    <m:d>
                      <m:dPr>
                        <m:ctrlPr>
                          <w:rPr>
                            <w:rFonts w:ascii="Cambria Math" w:hAnsi="Cambria Math" w:cs="Times New Roman"/>
                            <w:i/>
                          </w:rPr>
                        </m:ctrlPr>
                      </m:dPr>
                      <m:e>
                        <m:f>
                          <m:fPr>
                            <m:type m:val="lin"/>
                            <m:ctrlPr>
                              <w:rPr>
                                <w:rFonts w:ascii="Cambria Math" w:hAnsi="Cambria Math" w:cs="Times New Roman"/>
                                <w:i/>
                              </w:rPr>
                            </m:ctrlPr>
                          </m:fPr>
                          <m:num>
                            <m:r>
                              <w:rPr>
                                <w:rFonts w:ascii="Cambria Math" w:hAnsi="Cambria Math" w:cs="Times New Roman"/>
                              </w:rPr>
                              <m:t>s</m:t>
                            </m:r>
                          </m:num>
                          <m:den>
                            <m:r>
                              <w:rPr>
                                <w:rFonts w:ascii="Cambria Math" w:hAnsi="Cambria Math" w:cs="Times New Roman"/>
                              </w:rPr>
                              <m:t>y</m:t>
                            </m:r>
                          </m:den>
                        </m:f>
                      </m:e>
                    </m:d>
                  </m:e>
                  <m:sub>
                    <m:r>
                      <w:rPr>
                        <w:rFonts w:ascii="Cambria Math" w:hAnsi="Cambria Math" w:cs="Times New Roman"/>
                      </w:rPr>
                      <m:t>t-2</m:t>
                    </m:r>
                  </m:sub>
                </m:sSub>
              </m:oMath>
            </m:oMathPara>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469131**</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453869**</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[ 3</w:t>
            </w:r>
            <w:r w:rsidR="00E870E2">
              <w:rPr>
                <w:rFonts w:ascii="Times New Roman" w:hAnsi="Times New Roman" w:cs="Times New Roman"/>
              </w:rPr>
              <w:t>,</w:t>
            </w:r>
            <w:r w:rsidRPr="00586953">
              <w:rPr>
                <w:rFonts w:ascii="Times New Roman" w:hAnsi="Times New Roman" w:cs="Times New Roman"/>
              </w:rPr>
              <w:t>20756]</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[ 2</w:t>
            </w:r>
            <w:r w:rsidR="00E870E2">
              <w:rPr>
                <w:rFonts w:ascii="Times New Roman" w:hAnsi="Times New Roman" w:cs="Times New Roman"/>
              </w:rPr>
              <w:t>,</w:t>
            </w:r>
            <w:r w:rsidRPr="00586953">
              <w:rPr>
                <w:rFonts w:ascii="Times New Roman" w:hAnsi="Times New Roman" w:cs="Times New Roman"/>
              </w:rPr>
              <w:t>95071]</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C</w:t>
            </w: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-0</w:t>
            </w:r>
            <w:r w:rsidR="00E870E2">
              <w:rPr>
                <w:rFonts w:ascii="Times New Roman" w:hAnsi="Times New Roman" w:cs="Times New Roman"/>
              </w:rPr>
              <w:t>,</w:t>
            </w:r>
            <w:r w:rsidRPr="00586953">
              <w:rPr>
                <w:rFonts w:ascii="Times New Roman" w:hAnsi="Times New Roman" w:cs="Times New Roman"/>
              </w:rPr>
              <w:t>603875**</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-0</w:t>
            </w:r>
            <w:r w:rsidR="00E870E2">
              <w:rPr>
                <w:rFonts w:ascii="Times New Roman" w:hAnsi="Times New Roman" w:cs="Times New Roman"/>
              </w:rPr>
              <w:t>,</w:t>
            </w:r>
            <w:r w:rsidRPr="00586953">
              <w:rPr>
                <w:rFonts w:ascii="Times New Roman" w:hAnsi="Times New Roman" w:cs="Times New Roman"/>
              </w:rPr>
              <w:t>673336**</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[-3</w:t>
            </w:r>
            <w:r w:rsidR="00E870E2">
              <w:rPr>
                <w:rFonts w:ascii="Times New Roman" w:hAnsi="Times New Roman" w:cs="Times New Roman"/>
              </w:rPr>
              <w:t>,</w:t>
            </w:r>
            <w:r w:rsidRPr="00586953">
              <w:rPr>
                <w:rFonts w:ascii="Times New Roman" w:hAnsi="Times New Roman" w:cs="Times New Roman"/>
              </w:rPr>
              <w:t>65638]</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[-3</w:t>
            </w:r>
            <w:r w:rsidR="00E870E2">
              <w:rPr>
                <w:rFonts w:ascii="Times New Roman" w:hAnsi="Times New Roman" w:cs="Times New Roman"/>
              </w:rPr>
              <w:t>,</w:t>
            </w:r>
            <w:r w:rsidRPr="00586953">
              <w:rPr>
                <w:rFonts w:ascii="Times New Roman" w:hAnsi="Times New Roman" w:cs="Times New Roman"/>
              </w:rPr>
              <w:t>87661]</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DD04C4" w:rsidP="00DB728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Dummy (</w:t>
            </w:r>
            <w:r w:rsidR="006C64D0" w:rsidRPr="00586953">
              <w:rPr>
                <w:rFonts w:ascii="Times New Roman" w:hAnsi="Times New Roman" w:cs="Times New Roman"/>
              </w:rPr>
              <w:t>1999</w:t>
            </w:r>
            <w:r>
              <w:rPr>
                <w:rFonts w:ascii="Times New Roman" w:hAnsi="Times New Roman" w:cs="Times New Roman"/>
              </w:rPr>
              <w:t>:</w:t>
            </w:r>
            <w:r w:rsidR="006C64D0" w:rsidRPr="00586953">
              <w:rPr>
                <w:rFonts w:ascii="Times New Roman" w:hAnsi="Times New Roman" w:cs="Times New Roman"/>
              </w:rPr>
              <w:t>03</w:t>
            </w:r>
            <w:r>
              <w:rPr>
                <w:rFonts w:ascii="Times New Roman" w:hAnsi="Times New Roman" w:cs="Times New Roman"/>
              </w:rPr>
              <w:t>)</w:t>
            </w: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-0</w:t>
            </w:r>
            <w:r w:rsidR="00E870E2">
              <w:rPr>
                <w:rFonts w:ascii="Times New Roman" w:hAnsi="Times New Roman" w:cs="Times New Roman"/>
              </w:rPr>
              <w:t>,</w:t>
            </w:r>
            <w:r w:rsidRPr="00586953">
              <w:rPr>
                <w:rFonts w:ascii="Times New Roman" w:hAnsi="Times New Roman" w:cs="Times New Roman"/>
              </w:rPr>
              <w:t>181798**</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-0</w:t>
            </w:r>
            <w:r w:rsidR="00E870E2">
              <w:rPr>
                <w:rFonts w:ascii="Times New Roman" w:hAnsi="Times New Roman" w:cs="Times New Roman"/>
              </w:rPr>
              <w:t>,</w:t>
            </w:r>
            <w:r w:rsidRPr="00586953">
              <w:rPr>
                <w:rFonts w:ascii="Times New Roman" w:hAnsi="Times New Roman" w:cs="Times New Roman"/>
              </w:rPr>
              <w:t>378532**</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[-2</w:t>
            </w:r>
            <w:r w:rsidR="00E870E2">
              <w:rPr>
                <w:rFonts w:ascii="Times New Roman" w:hAnsi="Times New Roman" w:cs="Times New Roman"/>
              </w:rPr>
              <w:t>,</w:t>
            </w:r>
            <w:r w:rsidRPr="00586953">
              <w:rPr>
                <w:rFonts w:ascii="Times New Roman" w:hAnsi="Times New Roman" w:cs="Times New Roman"/>
              </w:rPr>
              <w:t>90309]</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[-5</w:t>
            </w:r>
            <w:r w:rsidR="00E870E2">
              <w:rPr>
                <w:rFonts w:ascii="Times New Roman" w:hAnsi="Times New Roman" w:cs="Times New Roman"/>
              </w:rPr>
              <w:t>,</w:t>
            </w:r>
            <w:r w:rsidRPr="00586953">
              <w:rPr>
                <w:rFonts w:ascii="Times New Roman" w:hAnsi="Times New Roman" w:cs="Times New Roman"/>
              </w:rPr>
              <w:t>74763]</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D04C4">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D</w:t>
            </w:r>
            <w:r w:rsidR="00DD04C4">
              <w:rPr>
                <w:rFonts w:ascii="Times New Roman" w:hAnsi="Times New Roman" w:cs="Times New Roman"/>
              </w:rPr>
              <w:t>ummy (</w:t>
            </w:r>
            <w:r w:rsidRPr="00586953">
              <w:rPr>
                <w:rFonts w:ascii="Times New Roman" w:hAnsi="Times New Roman" w:cs="Times New Roman"/>
              </w:rPr>
              <w:t>1999</w:t>
            </w:r>
            <w:r w:rsidR="00DD04C4">
              <w:rPr>
                <w:rFonts w:ascii="Times New Roman" w:hAnsi="Times New Roman" w:cs="Times New Roman"/>
              </w:rPr>
              <w:t>:</w:t>
            </w:r>
            <w:r w:rsidRPr="00586953">
              <w:rPr>
                <w:rFonts w:ascii="Times New Roman" w:hAnsi="Times New Roman" w:cs="Times New Roman"/>
              </w:rPr>
              <w:t>04</w:t>
            </w:r>
            <w:r w:rsidR="00DD04C4">
              <w:rPr>
                <w:rFonts w:ascii="Times New Roman" w:hAnsi="Times New Roman" w:cs="Times New Roman"/>
              </w:rPr>
              <w:t>)</w:t>
            </w: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203488**</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396265**</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[ 3</w:t>
            </w:r>
            <w:r w:rsidR="00E870E2">
              <w:rPr>
                <w:rFonts w:ascii="Times New Roman" w:hAnsi="Times New Roman" w:cs="Times New Roman"/>
              </w:rPr>
              <w:t>,</w:t>
            </w:r>
            <w:r w:rsidRPr="00586953">
              <w:rPr>
                <w:rFonts w:ascii="Times New Roman" w:hAnsi="Times New Roman" w:cs="Times New Roman"/>
              </w:rPr>
              <w:t>31629]</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[ 6</w:t>
            </w:r>
            <w:r w:rsidR="00E870E2">
              <w:rPr>
                <w:rFonts w:ascii="Times New Roman" w:hAnsi="Times New Roman" w:cs="Times New Roman"/>
              </w:rPr>
              <w:t>,</w:t>
            </w:r>
            <w:r w:rsidRPr="00586953">
              <w:rPr>
                <w:rFonts w:ascii="Times New Roman" w:hAnsi="Times New Roman" w:cs="Times New Roman"/>
              </w:rPr>
              <w:t>14065]</w:t>
            </w:r>
          </w:p>
        </w:tc>
      </w:tr>
      <w:tr w:rsidR="006C64D0" w:rsidRPr="00586953" w:rsidTr="000D2F90">
        <w:trPr>
          <w:trHeight w:hRule="exact" w:val="80"/>
        </w:trPr>
        <w:tc>
          <w:tcPr>
            <w:tcW w:w="2805" w:type="dxa"/>
            <w:tcBorders>
              <w:top w:val="nil"/>
              <w:left w:val="nil"/>
              <w:bottom w:val="double" w:sz="6" w:space="2" w:color="auto"/>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double" w:sz="6" w:space="2" w:color="auto"/>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2" w:type="dxa"/>
            <w:tcBorders>
              <w:top w:val="nil"/>
              <w:left w:val="nil"/>
              <w:bottom w:val="double" w:sz="6" w:space="2" w:color="auto"/>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r>
      <w:tr w:rsidR="006C64D0" w:rsidRPr="00586953" w:rsidTr="001434A3">
        <w:trPr>
          <w:trHeight w:hRule="exact" w:val="13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 R</w:t>
            </w:r>
            <w:r w:rsidRPr="00586953">
              <w:rPr>
                <w:rFonts w:ascii="Times New Roman" w:hAnsi="Times New Roman" w:cs="Times New Roman"/>
                <w:vertAlign w:val="superscript"/>
              </w:rPr>
              <w:t>2</w:t>
            </w:r>
            <w:r w:rsidRPr="00586953">
              <w:rPr>
                <w:rFonts w:ascii="Times New Roman" w:hAnsi="Times New Roman" w:cs="Times New Roman"/>
              </w:rPr>
              <w:t xml:space="preserve"> Ajustado</w:t>
            </w: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604956</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708128</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 Estatística F</w:t>
            </w: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18</w:t>
            </w:r>
            <w:r w:rsidR="00E870E2">
              <w:rPr>
                <w:rFonts w:ascii="Times New Roman" w:hAnsi="Times New Roman" w:cs="Times New Roman"/>
              </w:rPr>
              <w:t>,</w:t>
            </w:r>
            <w:r w:rsidRPr="00586953">
              <w:rPr>
                <w:rFonts w:ascii="Times New Roman" w:hAnsi="Times New Roman" w:cs="Times New Roman"/>
              </w:rPr>
              <w:t>10020</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28</w:t>
            </w:r>
            <w:r w:rsidR="00E870E2">
              <w:rPr>
                <w:rFonts w:ascii="Times New Roman" w:hAnsi="Times New Roman" w:cs="Times New Roman"/>
              </w:rPr>
              <w:t>,</w:t>
            </w:r>
            <w:r w:rsidRPr="00586953">
              <w:rPr>
                <w:rFonts w:ascii="Times New Roman" w:hAnsi="Times New Roman" w:cs="Times New Roman"/>
              </w:rPr>
              <w:t>09213</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 Critério de Informação AIC</w:t>
            </w: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-2</w:t>
            </w:r>
            <w:r w:rsidR="00E870E2">
              <w:rPr>
                <w:rFonts w:ascii="Times New Roman" w:hAnsi="Times New Roman" w:cs="Times New Roman"/>
              </w:rPr>
              <w:t>,</w:t>
            </w:r>
            <w:r w:rsidRPr="00586953">
              <w:rPr>
                <w:rFonts w:ascii="Times New Roman" w:hAnsi="Times New Roman" w:cs="Times New Roman"/>
              </w:rPr>
              <w:t>721371</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-2</w:t>
            </w:r>
            <w:r w:rsidR="00E870E2">
              <w:rPr>
                <w:rFonts w:ascii="Times New Roman" w:hAnsi="Times New Roman" w:cs="Times New Roman"/>
              </w:rPr>
              <w:t>,</w:t>
            </w:r>
            <w:r w:rsidRPr="00586953">
              <w:rPr>
                <w:rFonts w:ascii="Times New Roman" w:hAnsi="Times New Roman" w:cs="Times New Roman"/>
              </w:rPr>
              <w:t>620591</w:t>
            </w:r>
          </w:p>
        </w:tc>
      </w:tr>
      <w:tr w:rsidR="006C64D0" w:rsidRPr="00586953" w:rsidTr="000D2F90">
        <w:trPr>
          <w:trHeight w:hRule="exact" w:val="80"/>
        </w:trPr>
        <w:tc>
          <w:tcPr>
            <w:tcW w:w="2805" w:type="dxa"/>
            <w:tcBorders>
              <w:top w:val="nil"/>
              <w:left w:val="nil"/>
              <w:bottom w:val="double" w:sz="6" w:space="2" w:color="auto"/>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double" w:sz="6" w:space="2" w:color="auto"/>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2" w:type="dxa"/>
            <w:tcBorders>
              <w:top w:val="nil"/>
              <w:left w:val="nil"/>
              <w:bottom w:val="double" w:sz="6" w:space="2" w:color="auto"/>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r>
      <w:tr w:rsidR="006C64D0" w:rsidRPr="00586953" w:rsidTr="001434A3">
        <w:trPr>
          <w:trHeight w:hRule="exact" w:val="13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r>
      <w:tr w:rsidR="006C64D0" w:rsidRPr="00586953" w:rsidTr="001434A3">
        <w:trPr>
          <w:trHeight w:val="225"/>
        </w:trPr>
        <w:tc>
          <w:tcPr>
            <w:tcW w:w="4118" w:type="dxa"/>
            <w:gridSpan w:val="2"/>
            <w:tcBorders>
              <w:top w:val="nil"/>
              <w:left w:val="nil"/>
              <w:bottom w:val="nil"/>
              <w:right w:val="nil"/>
            </w:tcBorders>
            <w:vAlign w:val="bottom"/>
          </w:tcPr>
          <w:p w:rsidR="006C64D0" w:rsidRPr="00586953" w:rsidRDefault="006C64D0" w:rsidP="000D2F90">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 Teste de Jarque-Bera</w:t>
            </w:r>
            <w:r w:rsidRPr="00586953">
              <w:rPr>
                <w:rFonts w:ascii="Times New Roman" w:hAnsi="Times New Roman" w:cs="Times New Roman"/>
                <w:vertAlign w:val="superscript"/>
              </w:rPr>
              <w:t>(1)</w:t>
            </w:r>
          </w:p>
        </w:tc>
        <w:tc>
          <w:tcPr>
            <w:tcW w:w="1312" w:type="dxa"/>
            <w:tcBorders>
              <w:top w:val="nil"/>
              <w:left w:val="nil"/>
              <w:bottom w:val="nil"/>
              <w:right w:val="nil"/>
            </w:tcBorders>
            <w:vAlign w:val="bottom"/>
          </w:tcPr>
          <w:p w:rsidR="006C64D0" w:rsidRPr="00586953" w:rsidRDefault="006C64D0" w:rsidP="000D2F90">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1,286583</w:t>
            </w:r>
          </w:p>
        </w:tc>
      </w:tr>
      <w:tr w:rsidR="006C64D0" w:rsidRPr="00586953" w:rsidTr="001434A3">
        <w:trPr>
          <w:trHeight w:val="225"/>
        </w:trPr>
        <w:tc>
          <w:tcPr>
            <w:tcW w:w="4118" w:type="dxa"/>
            <w:gridSpan w:val="2"/>
            <w:tcBorders>
              <w:top w:val="nil"/>
              <w:left w:val="nil"/>
              <w:bottom w:val="nil"/>
              <w:right w:val="nil"/>
            </w:tcBorders>
            <w:vAlign w:val="bottom"/>
          </w:tcPr>
          <w:p w:rsidR="006C64D0" w:rsidRPr="00586953" w:rsidRDefault="006C64D0" w:rsidP="000D2F90">
            <w:pPr>
              <w:autoSpaceDE w:val="0"/>
              <w:autoSpaceDN w:val="0"/>
              <w:adjustRightInd w:val="0"/>
              <w:spacing w:after="0" w:line="240" w:lineRule="auto"/>
              <w:rPr>
                <w:rFonts w:ascii="Times New Roman" w:hAnsi="Times New Roman" w:cs="Times New Roman"/>
              </w:rPr>
            </w:pPr>
          </w:p>
        </w:tc>
        <w:tc>
          <w:tcPr>
            <w:tcW w:w="1312" w:type="dxa"/>
            <w:tcBorders>
              <w:top w:val="nil"/>
              <w:left w:val="nil"/>
              <w:bottom w:val="nil"/>
              <w:right w:val="nil"/>
            </w:tcBorders>
            <w:vAlign w:val="bottom"/>
          </w:tcPr>
          <w:p w:rsidR="006C64D0" w:rsidRPr="00586953" w:rsidRDefault="006C64D0" w:rsidP="000D2F90">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(0,5256)</w:t>
            </w:r>
          </w:p>
          <w:p w:rsidR="006C64D0" w:rsidRPr="00586953" w:rsidRDefault="006C64D0" w:rsidP="000D2F90">
            <w:pPr>
              <w:autoSpaceDE w:val="0"/>
              <w:autoSpaceDN w:val="0"/>
              <w:adjustRightInd w:val="0"/>
              <w:spacing w:after="0" w:line="240" w:lineRule="auto"/>
              <w:jc w:val="center"/>
              <w:rPr>
                <w:rFonts w:ascii="Times New Roman" w:hAnsi="Times New Roman" w:cs="Times New Roman"/>
              </w:rPr>
            </w:pPr>
          </w:p>
        </w:tc>
      </w:tr>
      <w:tr w:rsidR="006C64D0" w:rsidRPr="00586953" w:rsidTr="001434A3">
        <w:trPr>
          <w:trHeight w:val="225"/>
        </w:trPr>
        <w:tc>
          <w:tcPr>
            <w:tcW w:w="4118" w:type="dxa"/>
            <w:gridSpan w:val="2"/>
            <w:tcBorders>
              <w:top w:val="nil"/>
              <w:left w:val="nil"/>
              <w:bottom w:val="nil"/>
              <w:right w:val="nil"/>
            </w:tcBorders>
            <w:vAlign w:val="bottom"/>
          </w:tcPr>
          <w:p w:rsidR="006C64D0" w:rsidRPr="00586953" w:rsidRDefault="006C64D0" w:rsidP="000D2F90">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Teste LM de Autocorrelação</w:t>
            </w:r>
            <w:r w:rsidRPr="00586953">
              <w:rPr>
                <w:rFonts w:ascii="Times New Roman" w:hAnsi="Times New Roman" w:cs="Times New Roman"/>
                <w:vertAlign w:val="superscript"/>
              </w:rPr>
              <w:t>(2)</w:t>
            </w:r>
          </w:p>
        </w:tc>
        <w:tc>
          <w:tcPr>
            <w:tcW w:w="1312" w:type="dxa"/>
            <w:tcBorders>
              <w:top w:val="nil"/>
              <w:left w:val="nil"/>
              <w:bottom w:val="nil"/>
              <w:right w:val="nil"/>
            </w:tcBorders>
            <w:vAlign w:val="bottom"/>
          </w:tcPr>
          <w:p w:rsidR="006C64D0" w:rsidRPr="00586953" w:rsidRDefault="006C64D0" w:rsidP="000D2F90">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0,582623</w:t>
            </w:r>
          </w:p>
        </w:tc>
      </w:tr>
      <w:tr w:rsidR="006C64D0" w:rsidRPr="00586953" w:rsidTr="001434A3">
        <w:trPr>
          <w:trHeight w:val="225"/>
        </w:trPr>
        <w:tc>
          <w:tcPr>
            <w:tcW w:w="4118" w:type="dxa"/>
            <w:gridSpan w:val="2"/>
            <w:tcBorders>
              <w:top w:val="nil"/>
              <w:left w:val="nil"/>
              <w:bottom w:val="nil"/>
              <w:right w:val="nil"/>
            </w:tcBorders>
            <w:vAlign w:val="bottom"/>
          </w:tcPr>
          <w:p w:rsidR="006C64D0" w:rsidRPr="00586953" w:rsidRDefault="006C64D0" w:rsidP="000D2F90">
            <w:pPr>
              <w:autoSpaceDE w:val="0"/>
              <w:autoSpaceDN w:val="0"/>
              <w:adjustRightInd w:val="0"/>
              <w:spacing w:after="0" w:line="240" w:lineRule="auto"/>
              <w:rPr>
                <w:rFonts w:ascii="Times New Roman" w:hAnsi="Times New Roman" w:cs="Times New Roman"/>
              </w:rPr>
            </w:pPr>
          </w:p>
        </w:tc>
        <w:tc>
          <w:tcPr>
            <w:tcW w:w="1312" w:type="dxa"/>
            <w:tcBorders>
              <w:top w:val="nil"/>
              <w:left w:val="nil"/>
              <w:bottom w:val="nil"/>
              <w:right w:val="nil"/>
            </w:tcBorders>
            <w:vAlign w:val="bottom"/>
          </w:tcPr>
          <w:p w:rsidR="006C64D0" w:rsidRPr="00586953" w:rsidRDefault="006C64D0" w:rsidP="000D2F90">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(0,9650)</w:t>
            </w:r>
          </w:p>
          <w:p w:rsidR="006C64D0" w:rsidRPr="00586953" w:rsidRDefault="006C64D0" w:rsidP="000D2F90">
            <w:pPr>
              <w:autoSpaceDE w:val="0"/>
              <w:autoSpaceDN w:val="0"/>
              <w:adjustRightInd w:val="0"/>
              <w:spacing w:after="0" w:line="240" w:lineRule="auto"/>
              <w:jc w:val="center"/>
              <w:rPr>
                <w:rFonts w:ascii="Times New Roman" w:hAnsi="Times New Roman" w:cs="Times New Roman"/>
              </w:rPr>
            </w:pPr>
          </w:p>
        </w:tc>
      </w:tr>
      <w:tr w:rsidR="006C64D0" w:rsidRPr="00586953" w:rsidTr="001434A3">
        <w:trPr>
          <w:trHeight w:val="225"/>
        </w:trPr>
        <w:tc>
          <w:tcPr>
            <w:tcW w:w="4118" w:type="dxa"/>
            <w:gridSpan w:val="2"/>
            <w:tcBorders>
              <w:top w:val="nil"/>
              <w:left w:val="nil"/>
              <w:bottom w:val="nil"/>
              <w:right w:val="nil"/>
            </w:tcBorders>
            <w:vAlign w:val="bottom"/>
          </w:tcPr>
          <w:p w:rsidR="006C64D0" w:rsidRPr="00586953" w:rsidRDefault="006C64D0" w:rsidP="000D2F90">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 Teste de Heterocedasticidade de White</w:t>
            </w:r>
            <w:r w:rsidRPr="00586953">
              <w:rPr>
                <w:rFonts w:ascii="Times New Roman" w:hAnsi="Times New Roman" w:cs="Times New Roman"/>
                <w:vertAlign w:val="superscript"/>
              </w:rPr>
              <w:t>(3)</w:t>
            </w:r>
          </w:p>
        </w:tc>
        <w:tc>
          <w:tcPr>
            <w:tcW w:w="1312" w:type="dxa"/>
            <w:tcBorders>
              <w:top w:val="nil"/>
              <w:left w:val="nil"/>
              <w:bottom w:val="nil"/>
              <w:right w:val="nil"/>
            </w:tcBorders>
            <w:vAlign w:val="bottom"/>
          </w:tcPr>
          <w:p w:rsidR="006C64D0" w:rsidRPr="00586953" w:rsidRDefault="006C64D0" w:rsidP="000D2F90">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32,15520</w:t>
            </w:r>
          </w:p>
        </w:tc>
      </w:tr>
      <w:tr w:rsidR="006C64D0" w:rsidRPr="00586953" w:rsidTr="001434A3">
        <w:trPr>
          <w:trHeight w:val="225"/>
        </w:trPr>
        <w:tc>
          <w:tcPr>
            <w:tcW w:w="4118" w:type="dxa"/>
            <w:gridSpan w:val="2"/>
            <w:tcBorders>
              <w:top w:val="nil"/>
              <w:left w:val="nil"/>
              <w:bottom w:val="nil"/>
              <w:right w:val="nil"/>
            </w:tcBorders>
            <w:vAlign w:val="bottom"/>
          </w:tcPr>
          <w:p w:rsidR="006C64D0" w:rsidRPr="00586953" w:rsidRDefault="006C64D0" w:rsidP="000D2F90">
            <w:pPr>
              <w:autoSpaceDE w:val="0"/>
              <w:autoSpaceDN w:val="0"/>
              <w:adjustRightInd w:val="0"/>
              <w:spacing w:after="0" w:line="240" w:lineRule="auto"/>
              <w:rPr>
                <w:rFonts w:ascii="Times New Roman" w:hAnsi="Times New Roman" w:cs="Times New Roman"/>
              </w:rPr>
            </w:pPr>
          </w:p>
        </w:tc>
        <w:tc>
          <w:tcPr>
            <w:tcW w:w="1312" w:type="dxa"/>
            <w:tcBorders>
              <w:top w:val="nil"/>
              <w:left w:val="nil"/>
              <w:bottom w:val="nil"/>
              <w:right w:val="nil"/>
            </w:tcBorders>
            <w:vAlign w:val="bottom"/>
          </w:tcPr>
          <w:p w:rsidR="006C64D0" w:rsidRPr="00586953" w:rsidRDefault="006C64D0" w:rsidP="000D2F90">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(0,3603)</w:t>
            </w:r>
          </w:p>
        </w:tc>
      </w:tr>
      <w:tr w:rsidR="006C64D0" w:rsidRPr="00586953" w:rsidTr="000D2F90">
        <w:trPr>
          <w:trHeight w:hRule="exact" w:val="80"/>
        </w:trPr>
        <w:tc>
          <w:tcPr>
            <w:tcW w:w="2805" w:type="dxa"/>
            <w:tcBorders>
              <w:top w:val="nil"/>
              <w:left w:val="nil"/>
              <w:bottom w:val="double" w:sz="6" w:space="0" w:color="auto"/>
              <w:right w:val="nil"/>
            </w:tcBorders>
            <w:vAlign w:val="bottom"/>
          </w:tcPr>
          <w:p w:rsidR="006C64D0" w:rsidRPr="00586953" w:rsidRDefault="006C64D0" w:rsidP="006C64D0">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double" w:sz="6" w:space="0" w:color="auto"/>
              <w:right w:val="nil"/>
            </w:tcBorders>
            <w:vAlign w:val="bottom"/>
          </w:tcPr>
          <w:p w:rsidR="006C64D0" w:rsidRPr="00586953" w:rsidRDefault="006C64D0" w:rsidP="006C64D0">
            <w:pPr>
              <w:autoSpaceDE w:val="0"/>
              <w:autoSpaceDN w:val="0"/>
              <w:adjustRightInd w:val="0"/>
              <w:spacing w:after="0" w:line="240" w:lineRule="auto"/>
              <w:jc w:val="center"/>
              <w:rPr>
                <w:rFonts w:ascii="Times New Roman" w:hAnsi="Times New Roman" w:cs="Times New Roman"/>
              </w:rPr>
            </w:pPr>
          </w:p>
        </w:tc>
        <w:tc>
          <w:tcPr>
            <w:tcW w:w="1312" w:type="dxa"/>
            <w:tcBorders>
              <w:top w:val="nil"/>
              <w:left w:val="nil"/>
              <w:bottom w:val="double" w:sz="6" w:space="0" w:color="auto"/>
              <w:right w:val="nil"/>
            </w:tcBorders>
            <w:vAlign w:val="bottom"/>
          </w:tcPr>
          <w:p w:rsidR="006C64D0" w:rsidRPr="00586953" w:rsidRDefault="006C64D0" w:rsidP="006C64D0">
            <w:pPr>
              <w:autoSpaceDE w:val="0"/>
              <w:autoSpaceDN w:val="0"/>
              <w:adjustRightInd w:val="0"/>
              <w:spacing w:after="0" w:line="240" w:lineRule="auto"/>
              <w:jc w:val="center"/>
              <w:rPr>
                <w:rFonts w:ascii="Times New Roman" w:hAnsi="Times New Roman" w:cs="Times New Roman"/>
              </w:rPr>
            </w:pPr>
          </w:p>
        </w:tc>
      </w:tr>
      <w:tr w:rsidR="006C64D0" w:rsidRPr="00586953" w:rsidTr="001434A3">
        <w:trPr>
          <w:trHeight w:hRule="exact" w:val="135"/>
        </w:trPr>
        <w:tc>
          <w:tcPr>
            <w:tcW w:w="2805" w:type="dxa"/>
            <w:tcBorders>
              <w:top w:val="nil"/>
              <w:left w:val="nil"/>
              <w:bottom w:val="nil"/>
              <w:right w:val="nil"/>
            </w:tcBorders>
            <w:vAlign w:val="bottom"/>
          </w:tcPr>
          <w:p w:rsidR="006C64D0" w:rsidRPr="00586953" w:rsidRDefault="006C64D0" w:rsidP="006C64D0">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6C64D0" w:rsidP="006C64D0">
            <w:pPr>
              <w:autoSpaceDE w:val="0"/>
              <w:autoSpaceDN w:val="0"/>
              <w:adjustRightInd w:val="0"/>
              <w:spacing w:after="0" w:line="240" w:lineRule="auto"/>
              <w:jc w:val="center"/>
              <w:rPr>
                <w:rFonts w:ascii="Times New Roman" w:hAnsi="Times New Roman" w:cs="Times New Roman"/>
              </w:rPr>
            </w:pPr>
          </w:p>
        </w:tc>
        <w:tc>
          <w:tcPr>
            <w:tcW w:w="1312" w:type="dxa"/>
            <w:tcBorders>
              <w:top w:val="nil"/>
              <w:left w:val="nil"/>
              <w:bottom w:val="nil"/>
              <w:right w:val="nil"/>
            </w:tcBorders>
            <w:vAlign w:val="bottom"/>
          </w:tcPr>
          <w:p w:rsidR="006C64D0" w:rsidRPr="00586953" w:rsidRDefault="006C64D0" w:rsidP="006C64D0">
            <w:pPr>
              <w:autoSpaceDE w:val="0"/>
              <w:autoSpaceDN w:val="0"/>
              <w:adjustRightInd w:val="0"/>
              <w:spacing w:after="0" w:line="240" w:lineRule="auto"/>
              <w:jc w:val="center"/>
              <w:rPr>
                <w:rFonts w:ascii="Times New Roman" w:hAnsi="Times New Roman" w:cs="Times New Roman"/>
              </w:rPr>
            </w:pPr>
          </w:p>
        </w:tc>
      </w:tr>
    </w:tbl>
    <w:p w:rsidR="006C64D0" w:rsidRPr="00586953" w:rsidRDefault="006C64D0" w:rsidP="00DF3040">
      <w:pPr>
        <w:tabs>
          <w:tab w:val="left" w:pos="6804"/>
        </w:tabs>
        <w:spacing w:after="0" w:line="240" w:lineRule="auto"/>
        <w:ind w:left="1416" w:right="1700"/>
        <w:contextualSpacing/>
        <w:jc w:val="both"/>
        <w:rPr>
          <w:rFonts w:ascii="Times New Roman" w:hAnsi="Times New Roman" w:cs="Times New Roman"/>
          <w:sz w:val="20"/>
          <w:szCs w:val="20"/>
        </w:rPr>
      </w:pPr>
      <w:r w:rsidRPr="00586953">
        <w:rPr>
          <w:rFonts w:ascii="Times New Roman" w:hAnsi="Times New Roman" w:cs="Times New Roman"/>
          <w:b/>
          <w:sz w:val="20"/>
          <w:szCs w:val="20"/>
        </w:rPr>
        <w:t>Nota:</w:t>
      </w:r>
      <w:r w:rsidRPr="00586953">
        <w:rPr>
          <w:rFonts w:ascii="Times New Roman" w:hAnsi="Times New Roman" w:cs="Times New Roman"/>
          <w:sz w:val="20"/>
          <w:szCs w:val="20"/>
        </w:rPr>
        <w:t xml:space="preserve"> Séries na forma de logaritmo natural. Estatísticas-</w:t>
      </w:r>
      <w:r w:rsidRPr="00586953">
        <w:rPr>
          <w:rFonts w:ascii="Times New Roman" w:hAnsi="Times New Roman" w:cs="Times New Roman"/>
          <w:i/>
          <w:sz w:val="20"/>
          <w:szCs w:val="20"/>
        </w:rPr>
        <w:t>t</w:t>
      </w:r>
      <w:r w:rsidRPr="00586953">
        <w:rPr>
          <w:rFonts w:ascii="Times New Roman" w:hAnsi="Times New Roman" w:cs="Times New Roman"/>
          <w:sz w:val="20"/>
          <w:szCs w:val="20"/>
        </w:rPr>
        <w:t xml:space="preserve"> entre colchetes. (**) significância a 5%. Número de observações incluídas após ajustamento: 68.</w:t>
      </w:r>
    </w:p>
    <w:p w:rsidR="006C64D0" w:rsidRPr="00586953" w:rsidRDefault="006C64D0" w:rsidP="00DF3040">
      <w:pPr>
        <w:tabs>
          <w:tab w:val="left" w:pos="6804"/>
        </w:tabs>
        <w:spacing w:line="240" w:lineRule="auto"/>
        <w:ind w:left="1416" w:right="1700"/>
        <w:contextualSpacing/>
        <w:jc w:val="both"/>
        <w:rPr>
          <w:rFonts w:ascii="Times New Roman" w:hAnsi="Times New Roman" w:cs="Times New Roman"/>
          <w:sz w:val="20"/>
          <w:szCs w:val="20"/>
        </w:rPr>
      </w:pPr>
      <w:r w:rsidRPr="00586953">
        <w:rPr>
          <w:rFonts w:ascii="Times New Roman" w:hAnsi="Times New Roman" w:cs="Times New Roman"/>
          <w:sz w:val="20"/>
          <w:szCs w:val="20"/>
        </w:rPr>
        <w:t xml:space="preserve">1 </w:t>
      </w:r>
      <w:r w:rsidRPr="00586953">
        <w:rPr>
          <w:rFonts w:ascii="Times New Roman" w:hAnsi="Times New Roman" w:cs="Times New Roman"/>
          <w:b/>
          <w:sz w:val="20"/>
          <w:szCs w:val="20"/>
        </w:rPr>
        <w:t>–</w:t>
      </w:r>
      <w:r w:rsidRPr="00586953">
        <w:rPr>
          <w:rFonts w:ascii="Times New Roman" w:hAnsi="Times New Roman" w:cs="Times New Roman"/>
          <w:sz w:val="20"/>
          <w:szCs w:val="20"/>
        </w:rPr>
        <w:t xml:space="preserve"> Método de Ortogonalização: Cholesky (Lutkepohl). Valor obtido para o primeiro componente.</w:t>
      </w:r>
    </w:p>
    <w:p w:rsidR="006C64D0" w:rsidRPr="00586953" w:rsidRDefault="006C64D0" w:rsidP="00DF3040">
      <w:pPr>
        <w:tabs>
          <w:tab w:val="left" w:pos="6804"/>
        </w:tabs>
        <w:spacing w:line="240" w:lineRule="auto"/>
        <w:ind w:left="1416" w:right="1700"/>
        <w:contextualSpacing/>
        <w:jc w:val="both"/>
        <w:rPr>
          <w:rFonts w:ascii="Times New Roman" w:hAnsi="Times New Roman" w:cs="Times New Roman"/>
          <w:sz w:val="20"/>
          <w:szCs w:val="20"/>
        </w:rPr>
      </w:pPr>
      <w:r w:rsidRPr="00586953">
        <w:rPr>
          <w:rFonts w:ascii="Times New Roman" w:hAnsi="Times New Roman" w:cs="Times New Roman"/>
          <w:sz w:val="20"/>
          <w:szCs w:val="20"/>
        </w:rPr>
        <w:t>2 – Valor obtido para a segunda defasagem.</w:t>
      </w:r>
    </w:p>
    <w:p w:rsidR="006C64D0" w:rsidRPr="00586953" w:rsidRDefault="006C64D0" w:rsidP="00DF3040">
      <w:pPr>
        <w:tabs>
          <w:tab w:val="left" w:pos="6804"/>
        </w:tabs>
        <w:spacing w:line="240" w:lineRule="auto"/>
        <w:ind w:left="1416" w:right="1700"/>
        <w:contextualSpacing/>
        <w:jc w:val="both"/>
        <w:rPr>
          <w:rFonts w:ascii="Times New Roman" w:hAnsi="Times New Roman" w:cs="Times New Roman"/>
          <w:sz w:val="20"/>
          <w:szCs w:val="20"/>
        </w:rPr>
      </w:pPr>
      <w:r w:rsidRPr="00586953">
        <w:rPr>
          <w:rFonts w:ascii="Times New Roman" w:hAnsi="Times New Roman" w:cs="Times New Roman"/>
          <w:sz w:val="20"/>
          <w:szCs w:val="20"/>
        </w:rPr>
        <w:t>3 – Teste de Heterocedasticidade de White sem termos cruzados.</w:t>
      </w:r>
    </w:p>
    <w:p w:rsidR="00B70856" w:rsidRDefault="00B70856" w:rsidP="001B6CC1">
      <w:pPr>
        <w:tabs>
          <w:tab w:val="left" w:pos="6804"/>
        </w:tabs>
        <w:spacing w:line="240" w:lineRule="auto"/>
        <w:ind w:right="1700"/>
        <w:contextualSpacing/>
        <w:jc w:val="both"/>
        <w:rPr>
          <w:rFonts w:ascii="Times New Roman" w:hAnsi="Times New Roman" w:cs="Times New Roman"/>
          <w:sz w:val="20"/>
          <w:szCs w:val="20"/>
        </w:rPr>
      </w:pPr>
    </w:p>
    <w:p w:rsidR="0053101C" w:rsidRDefault="0053101C" w:rsidP="001B6CC1">
      <w:pPr>
        <w:tabs>
          <w:tab w:val="left" w:pos="6804"/>
        </w:tabs>
        <w:spacing w:line="240" w:lineRule="auto"/>
        <w:ind w:right="1700"/>
        <w:contextualSpacing/>
        <w:jc w:val="both"/>
        <w:rPr>
          <w:rFonts w:ascii="Times New Roman" w:hAnsi="Times New Roman" w:cs="Times New Roman"/>
          <w:sz w:val="20"/>
          <w:szCs w:val="20"/>
        </w:rPr>
      </w:pPr>
    </w:p>
    <w:p w:rsidR="00F02817" w:rsidRPr="00586953" w:rsidRDefault="00F02817" w:rsidP="00F02817">
      <w:pPr>
        <w:spacing w:after="0" w:line="360" w:lineRule="auto"/>
        <w:ind w:firstLine="709"/>
        <w:contextualSpacing/>
        <w:jc w:val="both"/>
        <w:rPr>
          <w:rFonts w:ascii="Times New Roman" w:hAnsi="Times New Roman" w:cs="Times New Roman"/>
          <w:sz w:val="24"/>
          <w:szCs w:val="24"/>
        </w:rPr>
      </w:pPr>
      <w:r w:rsidRPr="00586953">
        <w:rPr>
          <w:rFonts w:ascii="Times New Roman" w:hAnsi="Times New Roman" w:cs="Times New Roman"/>
          <w:sz w:val="24"/>
          <w:szCs w:val="24"/>
        </w:rPr>
        <w:lastRenderedPageBreak/>
        <w:t xml:space="preserve">Já no caso da </w:t>
      </w:r>
      <w:r>
        <w:rPr>
          <w:rFonts w:ascii="Times New Roman" w:hAnsi="Times New Roman" w:cs="Times New Roman"/>
          <w:sz w:val="24"/>
          <w:szCs w:val="24"/>
        </w:rPr>
        <w:t>relação</w:t>
      </w:r>
      <w:r w:rsidRPr="00586953">
        <w:rPr>
          <w:rFonts w:ascii="Times New Roman" w:hAnsi="Times New Roman" w:cs="Times New Roman"/>
          <w:sz w:val="24"/>
          <w:szCs w:val="24"/>
        </w:rPr>
        <w:t xml:space="preserve"> poupança</w:t>
      </w:r>
      <w:r>
        <w:rPr>
          <w:rFonts w:ascii="Times New Roman" w:hAnsi="Times New Roman" w:cs="Times New Roman"/>
          <w:sz w:val="24"/>
          <w:szCs w:val="24"/>
        </w:rPr>
        <w:t>/</w:t>
      </w:r>
      <w:r w:rsidRPr="00586953">
        <w:rPr>
          <w:rFonts w:ascii="Times New Roman" w:hAnsi="Times New Roman" w:cs="Times New Roman"/>
          <w:sz w:val="24"/>
          <w:szCs w:val="24"/>
        </w:rPr>
        <w:t xml:space="preserve">PIB como variável dependente, pode-se notar também um impacto estatisticamente significante das defasagens da </w:t>
      </w:r>
      <w:r>
        <w:rPr>
          <w:rFonts w:ascii="Times New Roman" w:hAnsi="Times New Roman" w:cs="Times New Roman"/>
          <w:sz w:val="24"/>
          <w:szCs w:val="24"/>
        </w:rPr>
        <w:t>relação</w:t>
      </w:r>
      <w:r w:rsidRPr="00586953">
        <w:rPr>
          <w:rFonts w:ascii="Times New Roman" w:hAnsi="Times New Roman" w:cs="Times New Roman"/>
          <w:sz w:val="24"/>
          <w:szCs w:val="24"/>
        </w:rPr>
        <w:t xml:space="preserve"> investimento</w:t>
      </w:r>
      <w:r>
        <w:rPr>
          <w:rFonts w:ascii="Times New Roman" w:hAnsi="Times New Roman" w:cs="Times New Roman"/>
          <w:sz w:val="24"/>
          <w:szCs w:val="24"/>
        </w:rPr>
        <w:t>/</w:t>
      </w:r>
      <w:r w:rsidRPr="00586953">
        <w:rPr>
          <w:rFonts w:ascii="Times New Roman" w:hAnsi="Times New Roman" w:cs="Times New Roman"/>
          <w:sz w:val="24"/>
          <w:szCs w:val="24"/>
        </w:rPr>
        <w:t xml:space="preserve">PIB e </w:t>
      </w:r>
      <w:r>
        <w:rPr>
          <w:rFonts w:ascii="Times New Roman" w:hAnsi="Times New Roman" w:cs="Times New Roman"/>
          <w:sz w:val="24"/>
          <w:szCs w:val="24"/>
        </w:rPr>
        <w:t xml:space="preserve">da relação </w:t>
      </w:r>
      <w:r w:rsidRPr="00586953">
        <w:rPr>
          <w:rFonts w:ascii="Times New Roman" w:hAnsi="Times New Roman" w:cs="Times New Roman"/>
          <w:sz w:val="24"/>
          <w:szCs w:val="24"/>
        </w:rPr>
        <w:t>poupança</w:t>
      </w:r>
      <w:r>
        <w:rPr>
          <w:rFonts w:ascii="Times New Roman" w:hAnsi="Times New Roman" w:cs="Times New Roman"/>
          <w:sz w:val="24"/>
          <w:szCs w:val="24"/>
        </w:rPr>
        <w:t>/</w:t>
      </w:r>
      <w:r w:rsidRPr="00586953">
        <w:rPr>
          <w:rFonts w:ascii="Times New Roman" w:hAnsi="Times New Roman" w:cs="Times New Roman"/>
          <w:sz w:val="24"/>
          <w:szCs w:val="24"/>
        </w:rPr>
        <w:t xml:space="preserve">PIB sobre a variável dependente, com a exceção da primeira defasagem da </w:t>
      </w:r>
      <w:r>
        <w:rPr>
          <w:rFonts w:ascii="Times New Roman" w:hAnsi="Times New Roman" w:cs="Times New Roman"/>
          <w:sz w:val="24"/>
          <w:szCs w:val="24"/>
        </w:rPr>
        <w:t>relação</w:t>
      </w:r>
      <w:r w:rsidRPr="00586953">
        <w:rPr>
          <w:rFonts w:ascii="Times New Roman" w:hAnsi="Times New Roman" w:cs="Times New Roman"/>
          <w:sz w:val="24"/>
          <w:szCs w:val="24"/>
        </w:rPr>
        <w:t xml:space="preserve"> investimento</w:t>
      </w:r>
      <w:r>
        <w:rPr>
          <w:rFonts w:ascii="Times New Roman" w:hAnsi="Times New Roman" w:cs="Times New Roman"/>
          <w:sz w:val="24"/>
          <w:szCs w:val="24"/>
        </w:rPr>
        <w:t>/</w:t>
      </w:r>
      <w:r w:rsidRPr="00586953">
        <w:rPr>
          <w:rFonts w:ascii="Times New Roman" w:hAnsi="Times New Roman" w:cs="Times New Roman"/>
          <w:sz w:val="24"/>
          <w:szCs w:val="24"/>
        </w:rPr>
        <w:t>PIB.</w:t>
      </w:r>
      <w:r w:rsidR="005E5C38">
        <w:rPr>
          <w:rFonts w:ascii="Times New Roman" w:hAnsi="Times New Roman" w:cs="Times New Roman"/>
          <w:sz w:val="24"/>
          <w:szCs w:val="24"/>
        </w:rPr>
        <w:t xml:space="preserve"> </w:t>
      </w:r>
      <w:r w:rsidRPr="00586953">
        <w:rPr>
          <w:rFonts w:ascii="Times New Roman" w:hAnsi="Times New Roman" w:cs="Times New Roman"/>
          <w:sz w:val="24"/>
          <w:szCs w:val="24"/>
        </w:rPr>
        <w:t xml:space="preserve">Ademais, as variáveis </w:t>
      </w:r>
      <w:r w:rsidRPr="00586953">
        <w:rPr>
          <w:rFonts w:ascii="Times New Roman" w:hAnsi="Times New Roman" w:cs="Times New Roman"/>
          <w:i/>
          <w:sz w:val="24"/>
          <w:szCs w:val="24"/>
        </w:rPr>
        <w:t>dummies</w:t>
      </w:r>
      <w:r w:rsidRPr="00586953">
        <w:rPr>
          <w:rFonts w:ascii="Times New Roman" w:hAnsi="Times New Roman" w:cs="Times New Roman"/>
          <w:sz w:val="24"/>
          <w:szCs w:val="24"/>
        </w:rPr>
        <w:t xml:space="preserve"> que representam a mudança do regime cambial na economia brasileira também </w:t>
      </w:r>
      <w:r>
        <w:rPr>
          <w:rFonts w:ascii="Times New Roman" w:hAnsi="Times New Roman" w:cs="Times New Roman"/>
          <w:sz w:val="24"/>
          <w:szCs w:val="24"/>
        </w:rPr>
        <w:t>são, individualmente, estatisticamente significantes ao nível de 5%</w:t>
      </w:r>
      <w:r w:rsidRPr="00586953">
        <w:rPr>
          <w:rFonts w:ascii="Times New Roman" w:hAnsi="Times New Roman" w:cs="Times New Roman"/>
          <w:sz w:val="24"/>
          <w:szCs w:val="24"/>
        </w:rPr>
        <w:t>.</w:t>
      </w:r>
    </w:p>
    <w:p w:rsidR="0053101C" w:rsidRDefault="00F02817" w:rsidP="005E5C38">
      <w:pPr>
        <w:spacing w:after="0" w:line="360" w:lineRule="auto"/>
        <w:ind w:firstLine="709"/>
        <w:contextualSpacing/>
        <w:jc w:val="both"/>
        <w:rPr>
          <w:rFonts w:ascii="Times New Roman" w:hAnsi="Times New Roman" w:cs="Times New Roman"/>
          <w:sz w:val="20"/>
          <w:szCs w:val="20"/>
        </w:rPr>
      </w:pPr>
      <w:r>
        <w:rPr>
          <w:rFonts w:ascii="Times New Roman" w:hAnsi="Times New Roman" w:cs="Times New Roman"/>
          <w:sz w:val="24"/>
          <w:szCs w:val="24"/>
        </w:rPr>
        <w:t>O</w:t>
      </w:r>
      <w:r w:rsidRPr="00586953">
        <w:rPr>
          <w:rFonts w:ascii="Times New Roman" w:hAnsi="Times New Roman" w:cs="Times New Roman"/>
          <w:sz w:val="24"/>
          <w:szCs w:val="24"/>
        </w:rPr>
        <w:t xml:space="preserve"> resultado da estatística Jarque-Bera no primeiro componente é de 1,28 (valor-p = 0,5256), de modo que não se pode rejeitar a hipótese nula de normalidade dos resíduos </w:t>
      </w:r>
      <w:r>
        <w:rPr>
          <w:rFonts w:ascii="Times New Roman" w:hAnsi="Times New Roman" w:cs="Times New Roman"/>
          <w:sz w:val="24"/>
          <w:szCs w:val="24"/>
        </w:rPr>
        <w:t>do modelo VAR estimado</w:t>
      </w:r>
      <w:r w:rsidRPr="00586953">
        <w:rPr>
          <w:rFonts w:ascii="Times New Roman" w:hAnsi="Times New Roman" w:cs="Times New Roman"/>
          <w:sz w:val="24"/>
          <w:szCs w:val="24"/>
        </w:rPr>
        <w:t>.</w:t>
      </w:r>
      <w:r w:rsidR="005E5C38">
        <w:rPr>
          <w:rFonts w:ascii="Times New Roman" w:hAnsi="Times New Roman" w:cs="Times New Roman"/>
          <w:sz w:val="24"/>
          <w:szCs w:val="24"/>
        </w:rPr>
        <w:t xml:space="preserve"> </w:t>
      </w:r>
      <w:r w:rsidRPr="00586953">
        <w:rPr>
          <w:rFonts w:ascii="Times New Roman" w:hAnsi="Times New Roman" w:cs="Times New Roman"/>
          <w:sz w:val="24"/>
          <w:szCs w:val="24"/>
        </w:rPr>
        <w:t xml:space="preserve">No tocante à hipótese nula de ausência de autocorrelação (Teste LM) de ordem </w:t>
      </w:r>
      <w:r w:rsidRPr="00586953">
        <w:rPr>
          <w:rFonts w:ascii="Times New Roman" w:hAnsi="Times New Roman" w:cs="Times New Roman"/>
          <w:i/>
          <w:sz w:val="24"/>
          <w:szCs w:val="24"/>
        </w:rPr>
        <w:t>k</w:t>
      </w:r>
      <w:r w:rsidRPr="00586953">
        <w:rPr>
          <w:rFonts w:ascii="Times New Roman" w:hAnsi="Times New Roman" w:cs="Times New Roman"/>
          <w:sz w:val="24"/>
          <w:szCs w:val="24"/>
        </w:rPr>
        <w:t xml:space="preserve">, em que </w:t>
      </w:r>
      <w:r w:rsidRPr="00586953">
        <w:rPr>
          <w:rFonts w:ascii="Times New Roman" w:hAnsi="Times New Roman" w:cs="Times New Roman"/>
          <w:i/>
          <w:sz w:val="24"/>
          <w:szCs w:val="24"/>
        </w:rPr>
        <w:t>k</w:t>
      </w:r>
      <w:r w:rsidRPr="00586953">
        <w:rPr>
          <w:rFonts w:ascii="Times New Roman" w:hAnsi="Times New Roman" w:cs="Times New Roman"/>
          <w:sz w:val="24"/>
          <w:szCs w:val="24"/>
        </w:rPr>
        <w:t xml:space="preserve"> é o número de defasagens, é possível verificar por meio dos resultados apresentados na Tabela 2 que não se pode rejeitar a referida hipótese nula, considerando duas defasagens. </w:t>
      </w:r>
      <w:r w:rsidR="005E5C38">
        <w:rPr>
          <w:rFonts w:ascii="Times New Roman" w:hAnsi="Times New Roman" w:cs="Times New Roman"/>
          <w:sz w:val="24"/>
          <w:szCs w:val="24"/>
        </w:rPr>
        <w:t xml:space="preserve"> </w:t>
      </w:r>
      <w:r w:rsidRPr="00586953">
        <w:rPr>
          <w:rFonts w:ascii="Times New Roman" w:hAnsi="Times New Roman" w:cs="Times New Roman"/>
          <w:sz w:val="24"/>
          <w:szCs w:val="24"/>
        </w:rPr>
        <w:t>No que se refere à hipótese nula de ausência de heterocedasticidade nos resíduos (Teste de White), tem-se que não se pode rejeitar a hipótese nula, isto é, a homocedasticidade da variância dos resíduos está presente na estimação econométrica.</w:t>
      </w:r>
    </w:p>
    <w:p w:rsidR="003F0E5C" w:rsidRDefault="003F0E5C" w:rsidP="003F0E5C">
      <w:pPr>
        <w:spacing w:after="0" w:line="360" w:lineRule="auto"/>
        <w:ind w:firstLine="709"/>
        <w:jc w:val="both"/>
        <w:rPr>
          <w:rFonts w:ascii="Times New Roman" w:hAnsi="Times New Roman" w:cs="Times New Roman"/>
          <w:sz w:val="24"/>
          <w:szCs w:val="24"/>
        </w:rPr>
      </w:pPr>
      <w:r w:rsidRPr="00586953">
        <w:rPr>
          <w:rFonts w:ascii="Times New Roman" w:hAnsi="Times New Roman" w:cs="Times New Roman"/>
          <w:sz w:val="24"/>
          <w:szCs w:val="24"/>
        </w:rPr>
        <w:t xml:space="preserve">Ainda, em termos de estabilidade do modelo VAR, a Figura </w:t>
      </w:r>
      <w:r>
        <w:rPr>
          <w:rFonts w:ascii="Times New Roman" w:hAnsi="Times New Roman" w:cs="Times New Roman"/>
          <w:sz w:val="24"/>
          <w:szCs w:val="24"/>
        </w:rPr>
        <w:t>2</w:t>
      </w:r>
      <w:r w:rsidRPr="00586953">
        <w:rPr>
          <w:rFonts w:ascii="Times New Roman" w:hAnsi="Times New Roman" w:cs="Times New Roman"/>
          <w:sz w:val="24"/>
          <w:szCs w:val="24"/>
        </w:rPr>
        <w:t xml:space="preserve"> </w:t>
      </w:r>
      <w:r>
        <w:rPr>
          <w:rFonts w:ascii="Times New Roman" w:hAnsi="Times New Roman" w:cs="Times New Roman"/>
          <w:sz w:val="24"/>
          <w:szCs w:val="24"/>
        </w:rPr>
        <w:t xml:space="preserve">e a Tabela 3 </w:t>
      </w:r>
      <w:r w:rsidRPr="00586953">
        <w:rPr>
          <w:rFonts w:ascii="Times New Roman" w:hAnsi="Times New Roman" w:cs="Times New Roman"/>
          <w:sz w:val="24"/>
          <w:szCs w:val="24"/>
        </w:rPr>
        <w:t>a seguir mostra</w:t>
      </w:r>
      <w:r>
        <w:rPr>
          <w:rFonts w:ascii="Times New Roman" w:hAnsi="Times New Roman" w:cs="Times New Roman"/>
          <w:sz w:val="24"/>
          <w:szCs w:val="24"/>
        </w:rPr>
        <w:t>m</w:t>
      </w:r>
      <w:r w:rsidRPr="00586953">
        <w:rPr>
          <w:rFonts w:ascii="Times New Roman" w:hAnsi="Times New Roman" w:cs="Times New Roman"/>
          <w:sz w:val="24"/>
          <w:szCs w:val="24"/>
        </w:rPr>
        <w:t xml:space="preserve"> que não há raiz fora do círculo unitário, o que significa que se trata de um modelo VAR que satisfaz a condição de estabilidade. </w:t>
      </w:r>
    </w:p>
    <w:p w:rsidR="005E5C38" w:rsidRDefault="005E5C38" w:rsidP="005E5C38">
      <w:pPr>
        <w:autoSpaceDE w:val="0"/>
        <w:autoSpaceDN w:val="0"/>
        <w:adjustRightInd w:val="0"/>
        <w:spacing w:after="0" w:line="240" w:lineRule="auto"/>
        <w:ind w:left="1418" w:firstLine="709"/>
        <w:contextualSpacing/>
        <w:jc w:val="both"/>
        <w:rPr>
          <w:rFonts w:ascii="Times New Roman" w:hAnsi="Times New Roman" w:cs="Times New Roman"/>
          <w:b/>
          <w:sz w:val="24"/>
          <w:szCs w:val="24"/>
        </w:rPr>
      </w:pPr>
    </w:p>
    <w:p w:rsidR="00911CE6" w:rsidRDefault="00DF3040" w:rsidP="005E5C38">
      <w:pPr>
        <w:autoSpaceDE w:val="0"/>
        <w:autoSpaceDN w:val="0"/>
        <w:adjustRightInd w:val="0"/>
        <w:spacing w:after="0" w:line="240" w:lineRule="auto"/>
        <w:ind w:left="1418" w:firstLine="709"/>
        <w:contextualSpacing/>
        <w:jc w:val="both"/>
        <w:rPr>
          <w:rFonts w:ascii="Times New Roman" w:hAnsi="Times New Roman" w:cs="Times New Roman"/>
          <w:sz w:val="24"/>
          <w:szCs w:val="24"/>
        </w:rPr>
      </w:pPr>
      <w:r w:rsidRPr="00586953">
        <w:rPr>
          <w:rFonts w:ascii="Times New Roman" w:hAnsi="Times New Roman" w:cs="Times New Roman"/>
          <w:b/>
          <w:sz w:val="24"/>
          <w:szCs w:val="24"/>
        </w:rPr>
        <w:t xml:space="preserve">Figura </w:t>
      </w:r>
      <w:r w:rsidR="00F36789" w:rsidRPr="002116A6">
        <w:rPr>
          <w:rFonts w:ascii="Times New Roman" w:hAnsi="Times New Roman" w:cs="Times New Roman"/>
          <w:b/>
          <w:sz w:val="24"/>
          <w:szCs w:val="24"/>
        </w:rPr>
        <w:t>2</w:t>
      </w:r>
      <w:r w:rsidR="002116A6">
        <w:rPr>
          <w:rFonts w:ascii="Times New Roman" w:hAnsi="Times New Roman" w:cs="Times New Roman"/>
          <w:b/>
          <w:sz w:val="24"/>
          <w:szCs w:val="24"/>
        </w:rPr>
        <w:t xml:space="preserve">. </w:t>
      </w:r>
      <w:r w:rsidR="002116A6" w:rsidRPr="002116A6">
        <w:rPr>
          <w:rFonts w:ascii="Times New Roman" w:hAnsi="Times New Roman" w:cs="Times New Roman"/>
          <w:b/>
          <w:sz w:val="24"/>
          <w:szCs w:val="24"/>
        </w:rPr>
        <w:t>Raízes inversas do p</w:t>
      </w:r>
      <w:r w:rsidRPr="002116A6">
        <w:rPr>
          <w:rFonts w:ascii="Times New Roman" w:hAnsi="Times New Roman" w:cs="Times New Roman"/>
          <w:b/>
          <w:sz w:val="24"/>
          <w:szCs w:val="24"/>
        </w:rPr>
        <w:t>oli</w:t>
      </w:r>
      <w:r w:rsidR="002116A6" w:rsidRPr="002116A6">
        <w:rPr>
          <w:rFonts w:ascii="Times New Roman" w:hAnsi="Times New Roman" w:cs="Times New Roman"/>
          <w:b/>
          <w:sz w:val="24"/>
          <w:szCs w:val="24"/>
        </w:rPr>
        <w:t>nômio c</w:t>
      </w:r>
      <w:r w:rsidRPr="002116A6">
        <w:rPr>
          <w:rFonts w:ascii="Times New Roman" w:hAnsi="Times New Roman" w:cs="Times New Roman"/>
          <w:b/>
          <w:sz w:val="24"/>
          <w:szCs w:val="24"/>
        </w:rPr>
        <w:t>aracterístico</w:t>
      </w:r>
    </w:p>
    <w:p w:rsidR="00DF3040" w:rsidRDefault="002374DF" w:rsidP="00B70856">
      <w:pPr>
        <w:autoSpaceDE w:val="0"/>
        <w:autoSpaceDN w:val="0"/>
        <w:adjustRightInd w:val="0"/>
        <w:spacing w:after="0" w:line="360" w:lineRule="auto"/>
        <w:ind w:firstLine="709"/>
        <w:jc w:val="center"/>
        <w:rPr>
          <w:rFonts w:ascii="Times New Roman" w:hAnsi="Times New Roman" w:cs="Times New Roman"/>
          <w:sz w:val="24"/>
          <w:szCs w:val="24"/>
        </w:rPr>
      </w:pPr>
      <w:r w:rsidRPr="00586953">
        <w:rPr>
          <w:rFonts w:ascii="Times New Roman" w:hAnsi="Times New Roman" w:cs="Times New Roman"/>
          <w:noProof/>
          <w:sz w:val="24"/>
          <w:szCs w:val="24"/>
        </w:rPr>
        <w:drawing>
          <wp:inline distT="0" distB="0" distL="0" distR="0">
            <wp:extent cx="2923922" cy="2880000"/>
            <wp:effectExtent l="19050" t="0" r="0" b="0"/>
            <wp:docPr id="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t="6274"/>
                    <a:stretch>
                      <a:fillRect/>
                    </a:stretch>
                  </pic:blipFill>
                  <pic:spPr bwMode="auto">
                    <a:xfrm>
                      <a:off x="0" y="0"/>
                      <a:ext cx="2923922" cy="2880000"/>
                    </a:xfrm>
                    <a:prstGeom prst="rect">
                      <a:avLst/>
                    </a:prstGeom>
                    <a:noFill/>
                    <a:ln w="9525">
                      <a:noFill/>
                      <a:miter lim="800000"/>
                      <a:headEnd/>
                      <a:tailEnd/>
                    </a:ln>
                  </pic:spPr>
                </pic:pic>
              </a:graphicData>
            </a:graphic>
          </wp:inline>
        </w:drawing>
      </w:r>
    </w:p>
    <w:p w:rsidR="00CD0001" w:rsidRPr="00CD0001" w:rsidRDefault="00CD0001" w:rsidP="00CD0001">
      <w:pPr>
        <w:autoSpaceDE w:val="0"/>
        <w:autoSpaceDN w:val="0"/>
        <w:adjustRightInd w:val="0"/>
        <w:spacing w:after="0" w:line="240" w:lineRule="auto"/>
        <w:ind w:left="2552" w:right="1985"/>
        <w:rPr>
          <w:rFonts w:ascii="Times New Roman" w:hAnsi="Times New Roman" w:cs="Times New Roman"/>
          <w:sz w:val="20"/>
          <w:szCs w:val="20"/>
        </w:rPr>
      </w:pPr>
      <w:r w:rsidRPr="00CD0001">
        <w:rPr>
          <w:rFonts w:ascii="Times New Roman" w:hAnsi="Times New Roman" w:cs="Times New Roman"/>
          <w:sz w:val="20"/>
          <w:szCs w:val="20"/>
        </w:rPr>
        <w:t xml:space="preserve">Nota: </w:t>
      </w:r>
      <w:r w:rsidRPr="00586953">
        <w:rPr>
          <w:rFonts w:ascii="Times New Roman" w:hAnsi="Times New Roman" w:cs="Times New Roman"/>
          <w:sz w:val="20"/>
          <w:szCs w:val="20"/>
        </w:rPr>
        <w:t xml:space="preserve">Não há raiz fora do círculo unitário, de modo que </w:t>
      </w:r>
      <w:r w:rsidRPr="00CD0001">
        <w:rPr>
          <w:rFonts w:ascii="Times New Roman" w:hAnsi="Times New Roman" w:cs="Times New Roman"/>
          <w:sz w:val="20"/>
          <w:szCs w:val="20"/>
        </w:rPr>
        <w:t>VAR satisfaz a condição de estabilidade</w:t>
      </w:r>
      <w:r>
        <w:rPr>
          <w:rFonts w:ascii="Times New Roman" w:hAnsi="Times New Roman" w:cs="Times New Roman"/>
          <w:sz w:val="20"/>
          <w:szCs w:val="20"/>
        </w:rPr>
        <w:t>.</w:t>
      </w:r>
    </w:p>
    <w:p w:rsidR="00F02817" w:rsidRDefault="00F02817" w:rsidP="00D72417">
      <w:pPr>
        <w:autoSpaceDE w:val="0"/>
        <w:autoSpaceDN w:val="0"/>
        <w:adjustRightInd w:val="0"/>
        <w:spacing w:before="240" w:after="0" w:line="360" w:lineRule="auto"/>
        <w:ind w:firstLine="709"/>
        <w:contextualSpacing/>
        <w:jc w:val="both"/>
        <w:rPr>
          <w:rFonts w:ascii="Times New Roman" w:hAnsi="Times New Roman" w:cs="Times New Roman"/>
          <w:sz w:val="24"/>
          <w:szCs w:val="24"/>
        </w:rPr>
      </w:pPr>
    </w:p>
    <w:p w:rsidR="005E5C38" w:rsidRDefault="005E5C38" w:rsidP="005E5C38">
      <w:pPr>
        <w:tabs>
          <w:tab w:val="left" w:pos="6804"/>
        </w:tabs>
        <w:spacing w:line="240" w:lineRule="auto"/>
        <w:ind w:right="1700"/>
        <w:contextualSpacing/>
        <w:jc w:val="both"/>
        <w:rPr>
          <w:rFonts w:ascii="Times New Roman" w:hAnsi="Times New Roman" w:cs="Times New Roman"/>
          <w:sz w:val="20"/>
          <w:szCs w:val="20"/>
        </w:rPr>
      </w:pPr>
    </w:p>
    <w:p w:rsidR="00A3720D" w:rsidRDefault="00A3720D" w:rsidP="005E5C38">
      <w:pPr>
        <w:tabs>
          <w:tab w:val="left" w:pos="6804"/>
        </w:tabs>
        <w:spacing w:line="240" w:lineRule="auto"/>
        <w:ind w:right="1700"/>
        <w:contextualSpacing/>
        <w:jc w:val="both"/>
        <w:rPr>
          <w:rFonts w:ascii="Times New Roman" w:hAnsi="Times New Roman" w:cs="Times New Roman"/>
          <w:sz w:val="20"/>
          <w:szCs w:val="20"/>
        </w:rPr>
      </w:pPr>
    </w:p>
    <w:p w:rsidR="00D7028A" w:rsidRDefault="00D7028A" w:rsidP="005E5C38">
      <w:pPr>
        <w:tabs>
          <w:tab w:val="left" w:pos="6804"/>
        </w:tabs>
        <w:spacing w:line="240" w:lineRule="auto"/>
        <w:ind w:right="1700"/>
        <w:contextualSpacing/>
        <w:jc w:val="both"/>
        <w:rPr>
          <w:rFonts w:ascii="Times New Roman" w:hAnsi="Times New Roman" w:cs="Times New Roman"/>
          <w:sz w:val="20"/>
          <w:szCs w:val="20"/>
        </w:rPr>
      </w:pPr>
    </w:p>
    <w:p w:rsidR="00D7028A" w:rsidRPr="00586953" w:rsidRDefault="00D7028A" w:rsidP="005E5C38">
      <w:pPr>
        <w:tabs>
          <w:tab w:val="left" w:pos="6804"/>
        </w:tabs>
        <w:spacing w:line="240" w:lineRule="auto"/>
        <w:ind w:right="1700"/>
        <w:contextualSpacing/>
        <w:jc w:val="both"/>
        <w:rPr>
          <w:rFonts w:ascii="Times New Roman" w:hAnsi="Times New Roman" w:cs="Times New Roman"/>
          <w:sz w:val="20"/>
          <w:szCs w:val="20"/>
        </w:rPr>
      </w:pPr>
    </w:p>
    <w:tbl>
      <w:tblPr>
        <w:tblpPr w:leftFromText="141" w:rightFromText="141" w:vertAnchor="text" w:horzAnchor="page" w:tblpXSpec="center" w:tblpY="185"/>
        <w:tblW w:w="0" w:type="auto"/>
        <w:tblLayout w:type="fixed"/>
        <w:tblCellMar>
          <w:left w:w="0" w:type="dxa"/>
          <w:right w:w="0" w:type="dxa"/>
        </w:tblCellMar>
        <w:tblLook w:val="0000" w:firstRow="0" w:lastRow="0" w:firstColumn="0" w:lastColumn="0" w:noHBand="0" w:noVBand="0"/>
      </w:tblPr>
      <w:tblGrid>
        <w:gridCol w:w="2647"/>
        <w:gridCol w:w="1943"/>
      </w:tblGrid>
      <w:tr w:rsidR="005E5C38" w:rsidRPr="00586953" w:rsidTr="005E5C38">
        <w:trPr>
          <w:trHeight w:val="225"/>
        </w:trPr>
        <w:tc>
          <w:tcPr>
            <w:tcW w:w="4590" w:type="dxa"/>
            <w:gridSpan w:val="2"/>
            <w:tcBorders>
              <w:top w:val="nil"/>
              <w:left w:val="nil"/>
              <w:bottom w:val="nil"/>
              <w:right w:val="nil"/>
            </w:tcBorders>
            <w:vAlign w:val="bottom"/>
          </w:tcPr>
          <w:p w:rsidR="005E5C38" w:rsidRPr="00F02817" w:rsidRDefault="005E5C38" w:rsidP="005E5C38">
            <w:pPr>
              <w:autoSpaceDE w:val="0"/>
              <w:autoSpaceDN w:val="0"/>
              <w:adjustRightInd w:val="0"/>
              <w:spacing w:after="0" w:line="240" w:lineRule="auto"/>
              <w:rPr>
                <w:rFonts w:ascii="Times New Roman" w:hAnsi="Times New Roman" w:cs="Times New Roman"/>
                <w:sz w:val="24"/>
                <w:szCs w:val="24"/>
              </w:rPr>
            </w:pPr>
            <w:r w:rsidRPr="00F02817">
              <w:rPr>
                <w:rFonts w:ascii="Times New Roman" w:hAnsi="Times New Roman" w:cs="Times New Roman"/>
                <w:b/>
                <w:sz w:val="24"/>
                <w:szCs w:val="24"/>
              </w:rPr>
              <w:t>Tabela 3</w:t>
            </w:r>
            <w:r w:rsidR="002116A6">
              <w:rPr>
                <w:rFonts w:ascii="Times New Roman" w:hAnsi="Times New Roman" w:cs="Times New Roman"/>
                <w:sz w:val="24"/>
                <w:szCs w:val="24"/>
              </w:rPr>
              <w:t>.</w:t>
            </w:r>
            <w:r w:rsidR="00E869BA">
              <w:rPr>
                <w:rFonts w:ascii="Times New Roman" w:hAnsi="Times New Roman" w:cs="Times New Roman"/>
                <w:sz w:val="24"/>
                <w:szCs w:val="24"/>
              </w:rPr>
              <w:t xml:space="preserve"> </w:t>
            </w:r>
            <w:r w:rsidR="002116A6">
              <w:rPr>
                <w:rFonts w:ascii="Times New Roman" w:hAnsi="Times New Roman" w:cs="Times New Roman"/>
                <w:b/>
                <w:sz w:val="24"/>
                <w:szCs w:val="24"/>
              </w:rPr>
              <w:t>Raízes do polinômio c</w:t>
            </w:r>
            <w:r w:rsidRPr="002116A6">
              <w:rPr>
                <w:rFonts w:ascii="Times New Roman" w:hAnsi="Times New Roman" w:cs="Times New Roman"/>
                <w:b/>
                <w:sz w:val="24"/>
                <w:szCs w:val="24"/>
              </w:rPr>
              <w:t>aracterístico</w:t>
            </w:r>
          </w:p>
          <w:p w:rsidR="005E5C38" w:rsidRPr="00586953" w:rsidRDefault="003867CA" w:rsidP="005E5C38">
            <w:pPr>
              <w:autoSpaceDE w:val="0"/>
              <w:autoSpaceDN w:val="0"/>
              <w:adjustRightInd w:val="0"/>
              <w:spacing w:after="0" w:line="240" w:lineRule="auto"/>
              <w:rPr>
                <w:rFonts w:ascii="Times New Roman" w:hAnsi="Times New Roman" w:cs="Times New Roman"/>
              </w:rPr>
            </w:pPr>
            <w:r>
              <w:rPr>
                <w:rFonts w:ascii="Times New Roman" w:hAnsi="Times New Roman" w:cs="Times New Roman"/>
                <w:noProof/>
              </w:rPr>
              <mc:AlternateContent>
                <mc:Choice Requires="wps">
                  <w:drawing>
                    <wp:anchor distT="4294967292" distB="4294967292" distL="114300" distR="114300" simplePos="0" relativeHeight="251661312" behindDoc="0" locked="0" layoutInCell="1" allowOverlap="1">
                      <wp:simplePos x="0" y="0"/>
                      <wp:positionH relativeFrom="column">
                        <wp:posOffset>5080</wp:posOffset>
                      </wp:positionH>
                      <wp:positionV relativeFrom="paragraph">
                        <wp:posOffset>43814</wp:posOffset>
                      </wp:positionV>
                      <wp:extent cx="2897505" cy="0"/>
                      <wp:effectExtent l="0" t="0" r="17145" b="19050"/>
                      <wp:wrapNone/>
                      <wp:docPr id="8" name="AutoShape 8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7505" cy="0"/>
                              </a:xfrm>
                              <a:prstGeom prst="straightConnector1">
                                <a:avLst/>
                              </a:prstGeom>
                              <a:noFill/>
                              <a:ln w="63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77CB09D" id="_x0000_t32" coordsize="21600,21600" o:spt="32" o:oned="t" path="m,l21600,21600e" filled="f">
                      <v:path arrowok="t" fillok="f" o:connecttype="none"/>
                      <o:lock v:ext="edit" shapetype="t"/>
                    </v:shapetype>
                    <v:shape id="AutoShape 884" o:spid="_x0000_s1026" type="#_x0000_t32" style="position:absolute;margin-left:.4pt;margin-top:3.45pt;width:228.15pt;height:0;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sKnPAIAAIQEAAAOAAAAZHJzL2Uyb0RvYy54bWysVMuO2yAU3VfqPyD2ie2Mk0msOKORnXQz&#10;bSPN9AMIYBsVAwISJ6r6772QR2fazaiqFxjMfZ1zz/Xy4dhLdODWCa1KnI1TjLiimgnVlvjby2Y0&#10;x8h5ohiRWvESn7jDD6uPH5aDKfhEd1oybhEEUa4YTIk7702RJI52vCdurA1XcNlo2xMPR9smzJIB&#10;ovcymaTpLBm0ZcZqyp2Dr/X5Eq9i/Kbh1H9tGsc9kiWG2nxcbVx3YU1WS1K0lphO0EsZ5B+q6IlQ&#10;kPQWqiaeoL0Vf4XqBbXa6caPqe4T3TSC8ogB0GTpH2ieO2J4xALkOHOjyf2/sPTLYWuRYCWGRinS&#10;Q4se917HzGg+zwNBg3EF2FVqawNEelTP5knT7w4pXXVEtTyav5wMeGfBI3njEg7OQJrd8FkzsCGQ&#10;IbJ1bGwfQgIP6Bibcro1hR89ovBxMl/cT9MpRvR6l5Di6mis85+47lHYlNh5S0Tb+UorBa3XNotp&#10;yOHJ+VAWKa4OIavSGyFlVIBUaCjx7G4KGqG9ATqcaqOv01KwYBc8nG13lbToQIKc4hPhws1rM6v3&#10;isW4HSdsrRjykRsFI4BDop4zjCSHiQm7aOmJkO+xBAxShVqAH0B12Z219mORLtbz9Twf5ZPZepSn&#10;dT163FT5aLbJ7qf1XV1VdfYzwMryohOMcRWQXXWf5e/T1WUCz4q9Kf/GZvI2eqQdir2+Y9FRIEET&#10;Z3XtNDttbehQ0ApIPRpfxjLM0utztPr981j9AgAA//8DAFBLAwQUAAYACAAAACEAQjWZhdoAAAAE&#10;AQAADwAAAGRycy9kb3ducmV2LnhtbEzOzU7DMBAE4DsS72AtEjfqtIK2hDhVVUDiVLWlAnHbxksc&#10;NV5HsfPD22O4wHE0q9kvW422Fj21vnKsYDpJQBAXTldcKji+Pt8sQfiArLF2TAq+yMMqv7zIMNVu&#10;4D31h1CKOMI+RQUmhCaV0heGLPqJa4hj9+laiyHGtpS6xSGO21rOkmQuLVYcPxhsaGOoOB86q8Di&#10;i+tmZtNv38bHnR4+uNg+vSt1fTWuH0AEGsPfMfzwIx3yaDq5jrUXtYLoDgrm9yBieXu3mII4/WaZ&#10;Z/I/Pv8GAAD//wMAUEsBAi0AFAAGAAgAAAAhALaDOJL+AAAA4QEAABMAAAAAAAAAAAAAAAAAAAAA&#10;AFtDb250ZW50X1R5cGVzXS54bWxQSwECLQAUAAYACAAAACEAOP0h/9YAAACUAQAACwAAAAAAAAAA&#10;AAAAAAAvAQAAX3JlbHMvLnJlbHNQSwECLQAUAAYACAAAACEAuKrCpzwCAACEBAAADgAAAAAAAAAA&#10;AAAAAAAuAgAAZHJzL2Uyb0RvYy54bWxQSwECLQAUAAYACAAAACEAQjWZhdoAAAAEAQAADwAAAAAA&#10;AAAAAAAAAACWBAAAZHJzL2Rvd25yZXYueG1sUEsFBgAAAAAEAAQA8wAAAJ0FAAAAAA==&#10;" strokeweight=".5pt"/>
                  </w:pict>
                </mc:Fallback>
              </mc:AlternateContent>
            </w:r>
            <w:r>
              <w:rPr>
                <w:rFonts w:ascii="Times New Roman" w:hAnsi="Times New Roman" w:cs="Times New Roman"/>
                <w:noProof/>
              </w:rPr>
              <mc:AlternateContent>
                <mc:Choice Requires="wps">
                  <w:drawing>
                    <wp:anchor distT="4294967292" distB="4294967292" distL="114300" distR="114300" simplePos="0" relativeHeight="251660288" behindDoc="0" locked="0" layoutInCell="1" allowOverlap="1">
                      <wp:simplePos x="0" y="0"/>
                      <wp:positionH relativeFrom="column">
                        <wp:posOffset>5080</wp:posOffset>
                      </wp:positionH>
                      <wp:positionV relativeFrom="paragraph">
                        <wp:posOffset>13969</wp:posOffset>
                      </wp:positionV>
                      <wp:extent cx="2897505" cy="0"/>
                      <wp:effectExtent l="0" t="0" r="17145" b="19050"/>
                      <wp:wrapNone/>
                      <wp:docPr id="7" name="AutoShape 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7505" cy="0"/>
                              </a:xfrm>
                              <a:prstGeom prst="straightConnector1">
                                <a:avLst/>
                              </a:prstGeom>
                              <a:noFill/>
                              <a:ln w="9525"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BC9961" id="AutoShape 883" o:spid="_x0000_s1026" type="#_x0000_t32" style="position:absolute;margin-left:.4pt;margin-top:1.1pt;width:228.15pt;height:0;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5CVPAIAAIQEAAAOAAAAZHJzL2Uyb0RvYy54bWysVMuO2yAU3VfqPyD2ie1MknGsOKORnXQz&#10;bSPN9AMIYBsVAwISJ6r6772QR2fazaiqFxjMfZ1zz/Xy4dhLdODWCa1KnI1TjLiimgnVlvjby2aU&#10;Y+Q8UYxIrXiJT9zhh9XHD8vBFHyiOy0ZtwiCKFcMpsSd96ZIEkc73hM31oYruGy07YmHo20TZskA&#10;0XuZTNJ0ngzaMmM15c7B1/p8iVcxftNw6r82jeMeyRJDbT6uNq67sCarJSlaS0wn6KUM8g9V9EQo&#10;SHoLVRNP0N6Kv0L1glrtdOPHVPeJbhpBecQAaLL0DzTPHTE8YgFynLnR5P5fWPrlsLVIsBLfY6RI&#10;Dy163HsdM6M8vwsEDcYVYFeprQ0Q6VE9mydNvzukdNUR1fJo/nIy4J0Fj+SNSzg4A2l2w2fNwIZA&#10;hsjWsbF9CAk8oGNsyunWFH70iMLHSb64n6UzjOj1LiHF1dFY5z9x3aOwKbHzloi285VWClqvbRbT&#10;kMOT86EsUlwdQlalN0LKqACp0FDixWwS8vQG6HCqjb5OS8GCXfBwtt1V0qIDCXKKT4QLN6/NrN4r&#10;FuN2nLC1YshHbhSMAA6Jes4wkhwmJuyipSdCvscSMEgVagF+ANVld9baj0W6WOfrfDqaTubr0TSt&#10;69HjppqO5pvsflbf1VVVZz8DrGxadIIxrgKyq+6z6ft0dZnAs2Jvyr+xmbyNHmmHYq/vWHQUSNDE&#10;WV07zU5bGzoUtAJSj8aXsQyz9PocrX7/PFa/AAAA//8DAFBLAwQUAAYACAAAACEApBuBKNkAAAAE&#10;AQAADwAAAGRycy9kb3ducmV2LnhtbEzOQU+DQBAF4LuJ/2EzJl5Mu0CsVmRoGhMPHm2beN2yI6Ds&#10;LGGXgv31jl70+PImb75iM7tOnWgIrWeEdJmAIq68bblGOOyfF2tQIRq2pvNMCF8UYFNeXhQmt37i&#10;VzrtYq1khENuEJoY+1zrUDXkTFj6nli6dz84EyUOtbaDmWTcdTpLkjvtTMvyoTE9PTVUfe5Gh0Bh&#10;XKXJ9sHVh5fzdPOWnT+mfo94fTVvH0FFmuPfMfzwhQ6lmI5+ZBtUhyDuiJBloKS8Xd2noI6/WZeF&#10;/o8vvwEAAP//AwBQSwECLQAUAAYACAAAACEAtoM4kv4AAADhAQAAEwAAAAAAAAAAAAAAAAAAAAAA&#10;W0NvbnRlbnRfVHlwZXNdLnhtbFBLAQItABQABgAIAAAAIQA4/SH/1gAAAJQBAAALAAAAAAAAAAAA&#10;AAAAAC8BAABfcmVscy8ucmVsc1BLAQItABQABgAIAAAAIQD6q5CVPAIAAIQEAAAOAAAAAAAAAAAA&#10;AAAAAC4CAABkcnMvZTJvRG9jLnhtbFBLAQItABQABgAIAAAAIQCkG4Eo2QAAAAQBAAAPAAAAAAAA&#10;AAAAAAAAAJYEAABkcnMvZG93bnJldi54bWxQSwUGAAAAAAQABADzAAAAnAUAAAAA&#10;"/>
                  </w:pict>
                </mc:Fallback>
              </mc:AlternateContent>
            </w:r>
          </w:p>
        </w:tc>
      </w:tr>
      <w:tr w:rsidR="005E5C38" w:rsidRPr="00586953" w:rsidTr="005E5C38">
        <w:trPr>
          <w:trHeight w:val="225"/>
        </w:trPr>
        <w:tc>
          <w:tcPr>
            <w:tcW w:w="4590" w:type="dxa"/>
            <w:gridSpan w:val="2"/>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Variáveis endógenas: i/y  s/y </w:t>
            </w:r>
          </w:p>
        </w:tc>
      </w:tr>
      <w:tr w:rsidR="005E5C38" w:rsidRPr="00586953" w:rsidTr="005E5C38">
        <w:trPr>
          <w:trHeight w:val="225"/>
        </w:trPr>
        <w:tc>
          <w:tcPr>
            <w:tcW w:w="4590" w:type="dxa"/>
            <w:gridSpan w:val="2"/>
            <w:tcBorders>
              <w:top w:val="nil"/>
              <w:left w:val="nil"/>
              <w:bottom w:val="nil"/>
              <w:right w:val="nil"/>
            </w:tcBorders>
            <w:vAlign w:val="bottom"/>
          </w:tcPr>
          <w:p w:rsidR="005E5C38" w:rsidRPr="00586953" w:rsidRDefault="00A3720D" w:rsidP="005E5C38">
            <w:pPr>
              <w:autoSpaceDE w:val="0"/>
              <w:autoSpaceDN w:val="0"/>
              <w:adjustRightInd w:val="0"/>
              <w:spacing w:after="0" w:line="240" w:lineRule="auto"/>
              <w:rPr>
                <w:rFonts w:ascii="Times New Roman" w:hAnsi="Times New Roman" w:cs="Times New Roman"/>
              </w:rPr>
            </w:pPr>
            <w:r>
              <w:rPr>
                <w:rFonts w:ascii="Times New Roman" w:hAnsi="Times New Roman" w:cs="Times New Roman"/>
              </w:rPr>
              <w:t>Variáveis exógenas</w:t>
            </w:r>
            <w:r w:rsidR="005E5C38" w:rsidRPr="00586953">
              <w:rPr>
                <w:rFonts w:ascii="Times New Roman" w:hAnsi="Times New Roman" w:cs="Times New Roman"/>
              </w:rPr>
              <w:t xml:space="preserve">: C </w:t>
            </w:r>
            <w:r w:rsidR="005E5C38">
              <w:rPr>
                <w:rFonts w:ascii="Times New Roman" w:hAnsi="Times New Roman" w:cs="Times New Roman"/>
              </w:rPr>
              <w:t xml:space="preserve"> Dummy (</w:t>
            </w:r>
            <w:r w:rsidR="005E5C38" w:rsidRPr="00586953">
              <w:rPr>
                <w:rFonts w:ascii="Times New Roman" w:hAnsi="Times New Roman" w:cs="Times New Roman"/>
              </w:rPr>
              <w:t>1999</w:t>
            </w:r>
            <w:r w:rsidR="005E5C38">
              <w:rPr>
                <w:rFonts w:ascii="Times New Roman" w:hAnsi="Times New Roman" w:cs="Times New Roman"/>
              </w:rPr>
              <w:t>:</w:t>
            </w:r>
            <w:r w:rsidR="005E5C38" w:rsidRPr="00586953">
              <w:rPr>
                <w:rFonts w:ascii="Times New Roman" w:hAnsi="Times New Roman" w:cs="Times New Roman"/>
              </w:rPr>
              <w:t>03</w:t>
            </w:r>
            <w:r w:rsidR="005E5C38">
              <w:rPr>
                <w:rFonts w:ascii="Times New Roman" w:hAnsi="Times New Roman" w:cs="Times New Roman"/>
              </w:rPr>
              <w:t>)</w:t>
            </w:r>
            <w:r w:rsidR="005E5C38" w:rsidRPr="00586953">
              <w:rPr>
                <w:rFonts w:ascii="Times New Roman" w:hAnsi="Times New Roman" w:cs="Times New Roman"/>
              </w:rPr>
              <w:t xml:space="preserve">  D</w:t>
            </w:r>
            <w:r w:rsidR="005E5C38">
              <w:rPr>
                <w:rFonts w:ascii="Times New Roman" w:hAnsi="Times New Roman" w:cs="Times New Roman"/>
              </w:rPr>
              <w:t>ummy (</w:t>
            </w:r>
            <w:r w:rsidR="005E5C38" w:rsidRPr="00586953">
              <w:rPr>
                <w:rFonts w:ascii="Times New Roman" w:hAnsi="Times New Roman" w:cs="Times New Roman"/>
              </w:rPr>
              <w:t>1999</w:t>
            </w:r>
            <w:r w:rsidR="005E5C38">
              <w:rPr>
                <w:rFonts w:ascii="Times New Roman" w:hAnsi="Times New Roman" w:cs="Times New Roman"/>
              </w:rPr>
              <w:t>:</w:t>
            </w:r>
            <w:r w:rsidR="005E5C38" w:rsidRPr="00586953">
              <w:rPr>
                <w:rFonts w:ascii="Times New Roman" w:hAnsi="Times New Roman" w:cs="Times New Roman"/>
              </w:rPr>
              <w:t>04</w:t>
            </w:r>
            <w:r w:rsidR="005E5C38">
              <w:rPr>
                <w:rFonts w:ascii="Times New Roman" w:hAnsi="Times New Roman" w:cs="Times New Roman"/>
              </w:rPr>
              <w:t>)</w:t>
            </w:r>
            <w:r w:rsidR="005E5C38" w:rsidRPr="00586953">
              <w:rPr>
                <w:rFonts w:ascii="Times New Roman" w:hAnsi="Times New Roman" w:cs="Times New Roman"/>
              </w:rPr>
              <w:t> </w:t>
            </w:r>
          </w:p>
        </w:tc>
      </w:tr>
      <w:tr w:rsidR="005E5C38" w:rsidRPr="00586953" w:rsidTr="005E5C38">
        <w:trPr>
          <w:trHeight w:val="225"/>
        </w:trPr>
        <w:tc>
          <w:tcPr>
            <w:tcW w:w="4590" w:type="dxa"/>
            <w:gridSpan w:val="2"/>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 xml:space="preserve">Especificação do </w:t>
            </w:r>
            <w:r w:rsidRPr="00A3720D">
              <w:rPr>
                <w:rFonts w:ascii="Times New Roman" w:hAnsi="Times New Roman" w:cs="Times New Roman"/>
                <w:i/>
              </w:rPr>
              <w:t>lag</w:t>
            </w:r>
            <w:r w:rsidRPr="00586953">
              <w:rPr>
                <w:rFonts w:ascii="Times New Roman" w:hAnsi="Times New Roman" w:cs="Times New Roman"/>
              </w:rPr>
              <w:t>: 1 2</w:t>
            </w:r>
          </w:p>
        </w:tc>
      </w:tr>
      <w:tr w:rsidR="005E5C38" w:rsidRPr="00586953" w:rsidTr="005E5C38">
        <w:trPr>
          <w:trHeight w:val="225"/>
        </w:trPr>
        <w:tc>
          <w:tcPr>
            <w:tcW w:w="4590" w:type="dxa"/>
            <w:gridSpan w:val="2"/>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rPr>
                <w:rFonts w:ascii="Times New Roman" w:hAnsi="Times New Roman" w:cs="Times New Roman"/>
              </w:rPr>
            </w:pPr>
          </w:p>
        </w:tc>
      </w:tr>
      <w:tr w:rsidR="005E5C38" w:rsidRPr="00586953" w:rsidTr="005E5C38">
        <w:trPr>
          <w:trHeight w:hRule="exact" w:val="90"/>
        </w:trPr>
        <w:tc>
          <w:tcPr>
            <w:tcW w:w="2647" w:type="dxa"/>
            <w:tcBorders>
              <w:top w:val="nil"/>
              <w:left w:val="nil"/>
              <w:bottom w:val="double" w:sz="6" w:space="2" w:color="auto"/>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c>
          <w:tcPr>
            <w:tcW w:w="1943" w:type="dxa"/>
            <w:tcBorders>
              <w:top w:val="nil"/>
              <w:left w:val="nil"/>
              <w:bottom w:val="double" w:sz="6" w:space="2" w:color="auto"/>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r>
      <w:tr w:rsidR="005E5C38" w:rsidRPr="00586953" w:rsidTr="005E5C38">
        <w:trPr>
          <w:trHeight w:hRule="exact" w:val="135"/>
        </w:trPr>
        <w:tc>
          <w:tcPr>
            <w:tcW w:w="2647"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c>
          <w:tcPr>
            <w:tcW w:w="1943"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r>
      <w:tr w:rsidR="005E5C38" w:rsidRPr="00586953" w:rsidTr="005E5C38">
        <w:trPr>
          <w:trHeight w:val="225"/>
        </w:trPr>
        <w:tc>
          <w:tcPr>
            <w:tcW w:w="2647"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     Raíz</w:t>
            </w:r>
          </w:p>
        </w:tc>
        <w:tc>
          <w:tcPr>
            <w:tcW w:w="1943"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Módulos</w:t>
            </w:r>
          </w:p>
        </w:tc>
      </w:tr>
      <w:tr w:rsidR="005E5C38" w:rsidRPr="00586953" w:rsidTr="005E5C38">
        <w:trPr>
          <w:trHeight w:hRule="exact" w:val="90"/>
        </w:trPr>
        <w:tc>
          <w:tcPr>
            <w:tcW w:w="2647" w:type="dxa"/>
            <w:tcBorders>
              <w:top w:val="nil"/>
              <w:left w:val="nil"/>
              <w:bottom w:val="double" w:sz="6" w:space="2" w:color="auto"/>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c>
          <w:tcPr>
            <w:tcW w:w="1943" w:type="dxa"/>
            <w:tcBorders>
              <w:top w:val="nil"/>
              <w:left w:val="nil"/>
              <w:bottom w:val="double" w:sz="6" w:space="2" w:color="auto"/>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r>
      <w:tr w:rsidR="005E5C38" w:rsidRPr="00586953" w:rsidTr="005E5C38">
        <w:trPr>
          <w:trHeight w:hRule="exact" w:val="135"/>
        </w:trPr>
        <w:tc>
          <w:tcPr>
            <w:tcW w:w="2647"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c>
          <w:tcPr>
            <w:tcW w:w="1943"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r>
      <w:tr w:rsidR="005E5C38" w:rsidRPr="00586953" w:rsidTr="005E5C38">
        <w:trPr>
          <w:trHeight w:val="225"/>
        </w:trPr>
        <w:tc>
          <w:tcPr>
            <w:tcW w:w="2647"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 0</w:t>
            </w:r>
            <w:r>
              <w:rPr>
                <w:rFonts w:ascii="Times New Roman" w:hAnsi="Times New Roman" w:cs="Times New Roman"/>
              </w:rPr>
              <w:t>,</w:t>
            </w:r>
            <w:r w:rsidRPr="00586953">
              <w:rPr>
                <w:rFonts w:ascii="Times New Roman" w:hAnsi="Times New Roman" w:cs="Times New Roman"/>
              </w:rPr>
              <w:t>895191</w:t>
            </w:r>
          </w:p>
        </w:tc>
        <w:tc>
          <w:tcPr>
            <w:tcW w:w="1943"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Pr>
                <w:rFonts w:ascii="Times New Roman" w:hAnsi="Times New Roman" w:cs="Times New Roman"/>
              </w:rPr>
              <w:t>,</w:t>
            </w:r>
            <w:r w:rsidRPr="00586953">
              <w:rPr>
                <w:rFonts w:ascii="Times New Roman" w:hAnsi="Times New Roman" w:cs="Times New Roman"/>
              </w:rPr>
              <w:t>895191</w:t>
            </w:r>
          </w:p>
        </w:tc>
      </w:tr>
      <w:tr w:rsidR="005E5C38" w:rsidRPr="00586953" w:rsidTr="005E5C38">
        <w:trPr>
          <w:trHeight w:val="225"/>
        </w:trPr>
        <w:tc>
          <w:tcPr>
            <w:tcW w:w="2647"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 0</w:t>
            </w:r>
            <w:r>
              <w:rPr>
                <w:rFonts w:ascii="Times New Roman" w:hAnsi="Times New Roman" w:cs="Times New Roman"/>
              </w:rPr>
              <w:t>,</w:t>
            </w:r>
            <w:r w:rsidRPr="00586953">
              <w:rPr>
                <w:rFonts w:ascii="Times New Roman" w:hAnsi="Times New Roman" w:cs="Times New Roman"/>
              </w:rPr>
              <w:t>733717</w:t>
            </w:r>
          </w:p>
        </w:tc>
        <w:tc>
          <w:tcPr>
            <w:tcW w:w="1943"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Pr>
                <w:rFonts w:ascii="Times New Roman" w:hAnsi="Times New Roman" w:cs="Times New Roman"/>
              </w:rPr>
              <w:t>,</w:t>
            </w:r>
            <w:r w:rsidRPr="00586953">
              <w:rPr>
                <w:rFonts w:ascii="Times New Roman" w:hAnsi="Times New Roman" w:cs="Times New Roman"/>
              </w:rPr>
              <w:t>733717</w:t>
            </w:r>
          </w:p>
        </w:tc>
      </w:tr>
      <w:tr w:rsidR="005E5C38" w:rsidRPr="00586953" w:rsidTr="005E5C38">
        <w:trPr>
          <w:trHeight w:val="225"/>
        </w:trPr>
        <w:tc>
          <w:tcPr>
            <w:tcW w:w="2647"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-0</w:t>
            </w:r>
            <w:r>
              <w:rPr>
                <w:rFonts w:ascii="Times New Roman" w:hAnsi="Times New Roman" w:cs="Times New Roman"/>
              </w:rPr>
              <w:t>,</w:t>
            </w:r>
            <w:r w:rsidRPr="00586953">
              <w:rPr>
                <w:rFonts w:ascii="Times New Roman" w:hAnsi="Times New Roman" w:cs="Times New Roman"/>
              </w:rPr>
              <w:t>047048 - 0</w:t>
            </w:r>
            <w:r>
              <w:rPr>
                <w:rFonts w:ascii="Times New Roman" w:hAnsi="Times New Roman" w:cs="Times New Roman"/>
              </w:rPr>
              <w:t>,</w:t>
            </w:r>
            <w:r w:rsidRPr="00586953">
              <w:rPr>
                <w:rFonts w:ascii="Times New Roman" w:hAnsi="Times New Roman" w:cs="Times New Roman"/>
              </w:rPr>
              <w:t>280366i</w:t>
            </w:r>
          </w:p>
        </w:tc>
        <w:tc>
          <w:tcPr>
            <w:tcW w:w="1943"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Pr>
                <w:rFonts w:ascii="Times New Roman" w:hAnsi="Times New Roman" w:cs="Times New Roman"/>
              </w:rPr>
              <w:t>,</w:t>
            </w:r>
            <w:r w:rsidRPr="00586953">
              <w:rPr>
                <w:rFonts w:ascii="Times New Roman" w:hAnsi="Times New Roman" w:cs="Times New Roman"/>
              </w:rPr>
              <w:t>284286</w:t>
            </w:r>
          </w:p>
        </w:tc>
      </w:tr>
      <w:tr w:rsidR="005E5C38" w:rsidRPr="00586953" w:rsidTr="005E5C38">
        <w:trPr>
          <w:trHeight w:val="225"/>
        </w:trPr>
        <w:tc>
          <w:tcPr>
            <w:tcW w:w="2647"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-0</w:t>
            </w:r>
            <w:r>
              <w:rPr>
                <w:rFonts w:ascii="Times New Roman" w:hAnsi="Times New Roman" w:cs="Times New Roman"/>
              </w:rPr>
              <w:t>,</w:t>
            </w:r>
            <w:r w:rsidRPr="00586953">
              <w:rPr>
                <w:rFonts w:ascii="Times New Roman" w:hAnsi="Times New Roman" w:cs="Times New Roman"/>
              </w:rPr>
              <w:t>047048 + 0</w:t>
            </w:r>
            <w:r>
              <w:rPr>
                <w:rFonts w:ascii="Times New Roman" w:hAnsi="Times New Roman" w:cs="Times New Roman"/>
              </w:rPr>
              <w:t>,</w:t>
            </w:r>
            <w:r w:rsidRPr="00586953">
              <w:rPr>
                <w:rFonts w:ascii="Times New Roman" w:hAnsi="Times New Roman" w:cs="Times New Roman"/>
              </w:rPr>
              <w:t>280366i</w:t>
            </w:r>
          </w:p>
        </w:tc>
        <w:tc>
          <w:tcPr>
            <w:tcW w:w="1943"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Pr>
                <w:rFonts w:ascii="Times New Roman" w:hAnsi="Times New Roman" w:cs="Times New Roman"/>
              </w:rPr>
              <w:t>,</w:t>
            </w:r>
            <w:r w:rsidRPr="00586953">
              <w:rPr>
                <w:rFonts w:ascii="Times New Roman" w:hAnsi="Times New Roman" w:cs="Times New Roman"/>
              </w:rPr>
              <w:t>284286</w:t>
            </w:r>
          </w:p>
        </w:tc>
      </w:tr>
      <w:tr w:rsidR="005E5C38" w:rsidRPr="00586953" w:rsidTr="005E5C38">
        <w:trPr>
          <w:trHeight w:hRule="exact" w:val="90"/>
        </w:trPr>
        <w:tc>
          <w:tcPr>
            <w:tcW w:w="2647" w:type="dxa"/>
            <w:tcBorders>
              <w:top w:val="nil"/>
              <w:left w:val="nil"/>
              <w:bottom w:val="double" w:sz="6" w:space="2" w:color="auto"/>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c>
          <w:tcPr>
            <w:tcW w:w="1943" w:type="dxa"/>
            <w:tcBorders>
              <w:top w:val="nil"/>
              <w:left w:val="nil"/>
              <w:bottom w:val="double" w:sz="6" w:space="2" w:color="auto"/>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r>
      <w:tr w:rsidR="005E5C38" w:rsidRPr="00586953" w:rsidTr="005E5C38">
        <w:trPr>
          <w:trHeight w:hRule="exact" w:val="135"/>
        </w:trPr>
        <w:tc>
          <w:tcPr>
            <w:tcW w:w="2647"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c>
          <w:tcPr>
            <w:tcW w:w="1943"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r>
      <w:tr w:rsidR="005E5C38" w:rsidRPr="00586953" w:rsidTr="005E5C38">
        <w:trPr>
          <w:trHeight w:val="225"/>
        </w:trPr>
        <w:tc>
          <w:tcPr>
            <w:tcW w:w="4590" w:type="dxa"/>
            <w:gridSpan w:val="2"/>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rPr>
                <w:rFonts w:ascii="Times New Roman" w:hAnsi="Times New Roman" w:cs="Times New Roman"/>
                <w:sz w:val="20"/>
                <w:szCs w:val="20"/>
              </w:rPr>
            </w:pPr>
            <w:r w:rsidRPr="00586953">
              <w:rPr>
                <w:rFonts w:ascii="Times New Roman" w:hAnsi="Times New Roman" w:cs="Times New Roman"/>
                <w:sz w:val="20"/>
                <w:szCs w:val="20"/>
              </w:rPr>
              <w:t xml:space="preserve"> Nota: Não há raiz fora do círculo unitário, de modo que </w:t>
            </w:r>
          </w:p>
        </w:tc>
      </w:tr>
      <w:tr w:rsidR="005E5C38" w:rsidRPr="00586953" w:rsidTr="005E5C38">
        <w:trPr>
          <w:trHeight w:val="225"/>
        </w:trPr>
        <w:tc>
          <w:tcPr>
            <w:tcW w:w="4590" w:type="dxa"/>
            <w:gridSpan w:val="2"/>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rPr>
                <w:rFonts w:ascii="Times New Roman" w:hAnsi="Times New Roman" w:cs="Times New Roman"/>
                <w:sz w:val="20"/>
                <w:szCs w:val="20"/>
              </w:rPr>
            </w:pPr>
            <w:r w:rsidRPr="00586953">
              <w:rPr>
                <w:rFonts w:ascii="Times New Roman" w:hAnsi="Times New Roman" w:cs="Times New Roman"/>
                <w:sz w:val="20"/>
                <w:szCs w:val="20"/>
              </w:rPr>
              <w:t> VAR satisfaz a condição de estabilidade.</w:t>
            </w:r>
          </w:p>
        </w:tc>
      </w:tr>
    </w:tbl>
    <w:p w:rsidR="005E5C38" w:rsidRPr="00586953" w:rsidRDefault="005E5C38" w:rsidP="005E5C38">
      <w:pPr>
        <w:autoSpaceDE w:val="0"/>
        <w:autoSpaceDN w:val="0"/>
        <w:adjustRightInd w:val="0"/>
        <w:spacing w:after="0" w:line="360" w:lineRule="auto"/>
        <w:ind w:firstLine="709"/>
        <w:jc w:val="both"/>
        <w:rPr>
          <w:rFonts w:ascii="Times New Roman" w:hAnsi="Times New Roman" w:cs="Times New Roman"/>
          <w:sz w:val="24"/>
          <w:szCs w:val="24"/>
        </w:rPr>
      </w:pPr>
    </w:p>
    <w:p w:rsidR="005E5C38" w:rsidRPr="00586953" w:rsidRDefault="005E5C38" w:rsidP="005E5C38">
      <w:pPr>
        <w:autoSpaceDE w:val="0"/>
        <w:autoSpaceDN w:val="0"/>
        <w:adjustRightInd w:val="0"/>
        <w:spacing w:after="0" w:line="360" w:lineRule="auto"/>
        <w:ind w:firstLine="709"/>
        <w:jc w:val="both"/>
        <w:rPr>
          <w:rFonts w:ascii="Times New Roman" w:hAnsi="Times New Roman" w:cs="Times New Roman"/>
          <w:sz w:val="24"/>
          <w:szCs w:val="24"/>
        </w:rPr>
      </w:pPr>
    </w:p>
    <w:p w:rsidR="005E5C38" w:rsidRPr="00586953" w:rsidRDefault="005E5C38" w:rsidP="005E5C38">
      <w:pPr>
        <w:autoSpaceDE w:val="0"/>
        <w:autoSpaceDN w:val="0"/>
        <w:adjustRightInd w:val="0"/>
        <w:spacing w:after="0" w:line="360" w:lineRule="auto"/>
        <w:ind w:firstLine="709"/>
        <w:jc w:val="both"/>
        <w:rPr>
          <w:rFonts w:ascii="Times New Roman" w:hAnsi="Times New Roman" w:cs="Times New Roman"/>
          <w:sz w:val="24"/>
          <w:szCs w:val="24"/>
        </w:rPr>
      </w:pPr>
    </w:p>
    <w:p w:rsidR="005E5C38" w:rsidRPr="00586953" w:rsidRDefault="005E5C38" w:rsidP="005E5C38">
      <w:pPr>
        <w:autoSpaceDE w:val="0"/>
        <w:autoSpaceDN w:val="0"/>
        <w:adjustRightInd w:val="0"/>
        <w:spacing w:after="0" w:line="360" w:lineRule="auto"/>
        <w:ind w:firstLine="709"/>
        <w:jc w:val="both"/>
        <w:rPr>
          <w:rFonts w:ascii="Times New Roman" w:hAnsi="Times New Roman" w:cs="Times New Roman"/>
          <w:sz w:val="24"/>
          <w:szCs w:val="24"/>
        </w:rPr>
      </w:pPr>
    </w:p>
    <w:p w:rsidR="005E5C38" w:rsidRPr="00586953" w:rsidRDefault="005E5C38" w:rsidP="005E5C38">
      <w:pPr>
        <w:autoSpaceDE w:val="0"/>
        <w:autoSpaceDN w:val="0"/>
        <w:adjustRightInd w:val="0"/>
        <w:spacing w:after="0" w:line="360" w:lineRule="auto"/>
        <w:ind w:firstLine="709"/>
        <w:jc w:val="both"/>
        <w:rPr>
          <w:rFonts w:ascii="Times New Roman" w:hAnsi="Times New Roman" w:cs="Times New Roman"/>
          <w:sz w:val="24"/>
          <w:szCs w:val="24"/>
        </w:rPr>
      </w:pPr>
    </w:p>
    <w:p w:rsidR="005E5C38" w:rsidRPr="00586953" w:rsidRDefault="005E5C38" w:rsidP="005E5C38">
      <w:pPr>
        <w:autoSpaceDE w:val="0"/>
        <w:autoSpaceDN w:val="0"/>
        <w:adjustRightInd w:val="0"/>
        <w:spacing w:after="0" w:line="360" w:lineRule="auto"/>
        <w:ind w:firstLine="709"/>
        <w:jc w:val="both"/>
        <w:rPr>
          <w:rFonts w:ascii="Times New Roman" w:hAnsi="Times New Roman" w:cs="Times New Roman"/>
          <w:sz w:val="24"/>
          <w:szCs w:val="24"/>
        </w:rPr>
      </w:pPr>
    </w:p>
    <w:p w:rsidR="005E5C38" w:rsidRPr="00586953" w:rsidRDefault="005E5C38" w:rsidP="005E5C38">
      <w:pPr>
        <w:autoSpaceDE w:val="0"/>
        <w:autoSpaceDN w:val="0"/>
        <w:adjustRightInd w:val="0"/>
        <w:spacing w:after="0" w:line="360" w:lineRule="auto"/>
        <w:ind w:firstLine="709"/>
        <w:jc w:val="both"/>
        <w:rPr>
          <w:rFonts w:ascii="Times New Roman" w:hAnsi="Times New Roman" w:cs="Times New Roman"/>
          <w:sz w:val="24"/>
          <w:szCs w:val="24"/>
        </w:rPr>
      </w:pPr>
    </w:p>
    <w:p w:rsidR="005E5C38" w:rsidRPr="00586953" w:rsidRDefault="005E5C38" w:rsidP="005E5C38">
      <w:pPr>
        <w:autoSpaceDE w:val="0"/>
        <w:autoSpaceDN w:val="0"/>
        <w:adjustRightInd w:val="0"/>
        <w:spacing w:after="0" w:line="360" w:lineRule="auto"/>
        <w:ind w:firstLine="709"/>
        <w:jc w:val="both"/>
        <w:rPr>
          <w:rFonts w:ascii="Times New Roman" w:hAnsi="Times New Roman" w:cs="Times New Roman"/>
          <w:sz w:val="24"/>
          <w:szCs w:val="24"/>
        </w:rPr>
      </w:pPr>
    </w:p>
    <w:p w:rsidR="005E5C38" w:rsidRPr="00586953" w:rsidRDefault="005E5C38" w:rsidP="005E5C38">
      <w:pPr>
        <w:autoSpaceDE w:val="0"/>
        <w:autoSpaceDN w:val="0"/>
        <w:adjustRightInd w:val="0"/>
        <w:spacing w:after="0" w:line="360" w:lineRule="auto"/>
        <w:ind w:firstLine="709"/>
        <w:jc w:val="both"/>
        <w:rPr>
          <w:rFonts w:ascii="Times New Roman" w:hAnsi="Times New Roman" w:cs="Times New Roman"/>
          <w:sz w:val="24"/>
          <w:szCs w:val="24"/>
        </w:rPr>
      </w:pPr>
    </w:p>
    <w:p w:rsidR="005E5C38" w:rsidRDefault="005E5C38" w:rsidP="005E5C38">
      <w:pPr>
        <w:autoSpaceDE w:val="0"/>
        <w:autoSpaceDN w:val="0"/>
        <w:adjustRightInd w:val="0"/>
        <w:spacing w:after="0" w:line="360" w:lineRule="auto"/>
        <w:jc w:val="both"/>
        <w:rPr>
          <w:rFonts w:ascii="Times New Roman" w:hAnsi="Times New Roman" w:cs="Times New Roman"/>
          <w:b/>
          <w:sz w:val="24"/>
          <w:szCs w:val="24"/>
        </w:rPr>
      </w:pPr>
      <w:r w:rsidRPr="00586953">
        <w:rPr>
          <w:rFonts w:ascii="Times New Roman" w:hAnsi="Times New Roman" w:cs="Times New Roman"/>
          <w:b/>
          <w:sz w:val="24"/>
          <w:szCs w:val="24"/>
        </w:rPr>
        <w:t xml:space="preserve">                          </w:t>
      </w:r>
      <w:r w:rsidRPr="00586953">
        <w:rPr>
          <w:rFonts w:ascii="Times New Roman" w:hAnsi="Times New Roman" w:cs="Times New Roman"/>
          <w:b/>
          <w:sz w:val="24"/>
          <w:szCs w:val="24"/>
        </w:rPr>
        <w:tab/>
        <w:t xml:space="preserve">        </w:t>
      </w:r>
    </w:p>
    <w:p w:rsidR="005E5C38" w:rsidRDefault="005E5C38" w:rsidP="005E5C38">
      <w:pPr>
        <w:autoSpaceDE w:val="0"/>
        <w:autoSpaceDN w:val="0"/>
        <w:adjustRightInd w:val="0"/>
        <w:spacing w:after="0" w:line="360" w:lineRule="auto"/>
        <w:ind w:left="1416" w:firstLine="708"/>
        <w:jc w:val="both"/>
        <w:rPr>
          <w:rFonts w:ascii="Times New Roman" w:hAnsi="Times New Roman" w:cs="Times New Roman"/>
          <w:b/>
          <w:sz w:val="24"/>
          <w:szCs w:val="24"/>
        </w:rPr>
      </w:pPr>
    </w:p>
    <w:p w:rsidR="005E5C38" w:rsidRDefault="005E5C38" w:rsidP="005E5C38">
      <w:pPr>
        <w:autoSpaceDE w:val="0"/>
        <w:autoSpaceDN w:val="0"/>
        <w:adjustRightInd w:val="0"/>
        <w:spacing w:after="0" w:line="240" w:lineRule="auto"/>
        <w:ind w:left="1418" w:firstLine="709"/>
        <w:contextualSpacing/>
        <w:jc w:val="both"/>
        <w:rPr>
          <w:rFonts w:ascii="Times New Roman" w:hAnsi="Times New Roman" w:cs="Times New Roman"/>
          <w:b/>
          <w:sz w:val="24"/>
          <w:szCs w:val="24"/>
        </w:rPr>
      </w:pPr>
    </w:p>
    <w:p w:rsidR="005E5C38" w:rsidRDefault="005E5C38" w:rsidP="005E5C38">
      <w:pPr>
        <w:autoSpaceDE w:val="0"/>
        <w:autoSpaceDN w:val="0"/>
        <w:adjustRightInd w:val="0"/>
        <w:spacing w:before="240" w:after="0" w:line="360" w:lineRule="auto"/>
        <w:ind w:firstLine="709"/>
        <w:contextualSpacing/>
        <w:jc w:val="both"/>
        <w:rPr>
          <w:rFonts w:ascii="Times New Roman" w:hAnsi="Times New Roman" w:cs="Times New Roman"/>
          <w:sz w:val="24"/>
          <w:szCs w:val="24"/>
        </w:rPr>
      </w:pPr>
      <w:r w:rsidRPr="00586953">
        <w:rPr>
          <w:rFonts w:ascii="Times New Roman" w:hAnsi="Times New Roman" w:cs="Times New Roman"/>
          <w:sz w:val="24"/>
          <w:szCs w:val="24"/>
        </w:rPr>
        <w:t xml:space="preserve">Por fim, a Tabela 4 </w:t>
      </w:r>
      <w:r>
        <w:rPr>
          <w:rFonts w:ascii="Times New Roman" w:hAnsi="Times New Roman" w:cs="Times New Roman"/>
          <w:sz w:val="24"/>
          <w:szCs w:val="24"/>
        </w:rPr>
        <w:t>reporta</w:t>
      </w:r>
      <w:r w:rsidRPr="00586953">
        <w:rPr>
          <w:rFonts w:ascii="Times New Roman" w:hAnsi="Times New Roman" w:cs="Times New Roman"/>
          <w:sz w:val="24"/>
          <w:szCs w:val="24"/>
        </w:rPr>
        <w:t xml:space="preserve"> os resultados da análise obtidos através do </w:t>
      </w:r>
      <w:r>
        <w:rPr>
          <w:rFonts w:ascii="Times New Roman" w:hAnsi="Times New Roman" w:cs="Times New Roman"/>
          <w:sz w:val="24"/>
          <w:szCs w:val="24"/>
        </w:rPr>
        <w:t>T</w:t>
      </w:r>
      <w:r w:rsidRPr="00586953">
        <w:rPr>
          <w:rFonts w:ascii="Times New Roman" w:hAnsi="Times New Roman" w:cs="Times New Roman"/>
          <w:sz w:val="24"/>
          <w:szCs w:val="24"/>
        </w:rPr>
        <w:t xml:space="preserve">este de </w:t>
      </w:r>
      <w:r>
        <w:rPr>
          <w:rFonts w:ascii="Times New Roman" w:hAnsi="Times New Roman" w:cs="Times New Roman"/>
          <w:sz w:val="24"/>
          <w:szCs w:val="24"/>
        </w:rPr>
        <w:t>C</w:t>
      </w:r>
      <w:r w:rsidRPr="00586953">
        <w:rPr>
          <w:rFonts w:ascii="Times New Roman" w:hAnsi="Times New Roman" w:cs="Times New Roman"/>
          <w:sz w:val="24"/>
          <w:szCs w:val="24"/>
        </w:rPr>
        <w:t>ausalidade de Granger</w:t>
      </w:r>
      <w:r>
        <w:rPr>
          <w:rFonts w:ascii="Times New Roman" w:hAnsi="Times New Roman" w:cs="Times New Roman"/>
          <w:sz w:val="24"/>
          <w:szCs w:val="24"/>
        </w:rPr>
        <w:t>/Teste de Wald para Exogeneidade por Blocos</w:t>
      </w:r>
      <w:r w:rsidRPr="00586953">
        <w:rPr>
          <w:rFonts w:ascii="Times New Roman" w:hAnsi="Times New Roman" w:cs="Times New Roman"/>
          <w:sz w:val="24"/>
          <w:szCs w:val="24"/>
        </w:rPr>
        <w:t xml:space="preserve"> aplicado aos dados brasileiros</w:t>
      </w:r>
      <w:r>
        <w:rPr>
          <w:rFonts w:ascii="Times New Roman" w:hAnsi="Times New Roman" w:cs="Times New Roman"/>
          <w:sz w:val="24"/>
          <w:szCs w:val="24"/>
        </w:rPr>
        <w:t>, permitindo identificar quais as variáveis que são fortemente exógenas</w:t>
      </w:r>
      <w:r w:rsidRPr="00586953">
        <w:rPr>
          <w:rFonts w:ascii="Times New Roman" w:hAnsi="Times New Roman" w:cs="Times New Roman"/>
          <w:sz w:val="24"/>
          <w:szCs w:val="24"/>
        </w:rPr>
        <w:t xml:space="preserve">. </w:t>
      </w:r>
      <w:r>
        <w:rPr>
          <w:rFonts w:ascii="Times New Roman" w:hAnsi="Times New Roman" w:cs="Times New Roman"/>
          <w:sz w:val="24"/>
          <w:szCs w:val="24"/>
        </w:rPr>
        <w:t xml:space="preserve"> Assim como no Teste de Causalidade de Granger a hipótese nula é de não causalidade, a hipótese nula do Teste de Wald para Exogeneidade por Blocos é que a variável excluída não influencia o </w:t>
      </w:r>
      <w:r w:rsidRPr="003424B1">
        <w:rPr>
          <w:rFonts w:ascii="Times New Roman" w:hAnsi="Times New Roman" w:cs="Times New Roman"/>
          <w:sz w:val="24"/>
          <w:szCs w:val="24"/>
        </w:rPr>
        <w:t>modelo (ENDERS, 2010).</w:t>
      </w:r>
      <w:r>
        <w:rPr>
          <w:rFonts w:ascii="Times New Roman" w:hAnsi="Times New Roman" w:cs="Times New Roman"/>
          <w:sz w:val="24"/>
          <w:szCs w:val="24"/>
        </w:rPr>
        <w:t xml:space="preserve"> Em outras palavras, esse teste permite verificar também se algumas das variáveis incluídas no modelo como endógenas poderiam ser consideradas exógenas.</w:t>
      </w:r>
    </w:p>
    <w:p w:rsidR="005E5C38" w:rsidRDefault="005E5C38" w:rsidP="005E5C38">
      <w:pPr>
        <w:autoSpaceDE w:val="0"/>
        <w:autoSpaceDN w:val="0"/>
        <w:adjustRightInd w:val="0"/>
        <w:spacing w:before="240" w:after="0" w:line="360" w:lineRule="auto"/>
        <w:ind w:firstLine="709"/>
        <w:contextualSpacing/>
        <w:jc w:val="both"/>
        <w:rPr>
          <w:rFonts w:ascii="Times New Roman" w:hAnsi="Times New Roman" w:cs="Times New Roman"/>
          <w:sz w:val="24"/>
          <w:szCs w:val="24"/>
        </w:rPr>
      </w:pPr>
    </w:p>
    <w:p w:rsidR="001A3BB2" w:rsidRPr="002116A6" w:rsidRDefault="00911CE6" w:rsidP="00E25FF3">
      <w:pPr>
        <w:pStyle w:val="minhaLegenda"/>
        <w:spacing w:line="240" w:lineRule="auto"/>
        <w:ind w:left="993" w:right="990"/>
        <w:contextualSpacing/>
        <w:jc w:val="both"/>
        <w:rPr>
          <w:b/>
        </w:rPr>
      </w:pPr>
      <w:r w:rsidRPr="00586953">
        <w:rPr>
          <w:b/>
          <w:szCs w:val="24"/>
        </w:rPr>
        <w:t xml:space="preserve">Tabela </w:t>
      </w:r>
      <w:r w:rsidR="00213F7C" w:rsidRPr="00586953">
        <w:rPr>
          <w:b/>
          <w:szCs w:val="24"/>
        </w:rPr>
        <w:t>4</w:t>
      </w:r>
      <w:r w:rsidR="002116A6">
        <w:rPr>
          <w:b/>
          <w:szCs w:val="24"/>
        </w:rPr>
        <w:t xml:space="preserve">. </w:t>
      </w:r>
      <w:r w:rsidR="001A3BB2" w:rsidRPr="002116A6">
        <w:rPr>
          <w:b/>
          <w:szCs w:val="24"/>
        </w:rPr>
        <w:t xml:space="preserve">Resultados do </w:t>
      </w:r>
      <w:r w:rsidR="002116A6">
        <w:rPr>
          <w:b/>
          <w:szCs w:val="24"/>
        </w:rPr>
        <w:t>t</w:t>
      </w:r>
      <w:r w:rsidR="001A3BB2" w:rsidRPr="002116A6">
        <w:rPr>
          <w:b/>
          <w:szCs w:val="24"/>
        </w:rPr>
        <w:t xml:space="preserve">este de </w:t>
      </w:r>
      <w:r w:rsidR="002116A6">
        <w:rPr>
          <w:b/>
          <w:szCs w:val="24"/>
        </w:rPr>
        <w:t>c</w:t>
      </w:r>
      <w:r w:rsidR="001A3BB2" w:rsidRPr="002116A6">
        <w:rPr>
          <w:b/>
          <w:szCs w:val="24"/>
        </w:rPr>
        <w:t>ausalidade de Granger</w:t>
      </w:r>
      <w:r w:rsidR="00E25FF3" w:rsidRPr="002116A6">
        <w:rPr>
          <w:b/>
          <w:szCs w:val="24"/>
        </w:rPr>
        <w:t xml:space="preserve">/Teste de Wald para </w:t>
      </w:r>
      <w:r w:rsidR="002116A6">
        <w:rPr>
          <w:b/>
          <w:szCs w:val="24"/>
        </w:rPr>
        <w:t>e</w:t>
      </w:r>
      <w:r w:rsidR="00E25FF3" w:rsidRPr="002116A6">
        <w:rPr>
          <w:b/>
          <w:szCs w:val="24"/>
        </w:rPr>
        <w:t xml:space="preserve">xogeneidade por </w:t>
      </w:r>
      <w:r w:rsidR="002116A6">
        <w:rPr>
          <w:b/>
          <w:szCs w:val="24"/>
        </w:rPr>
        <w:t>b</w:t>
      </w:r>
      <w:r w:rsidR="00E25FF3" w:rsidRPr="002116A6">
        <w:rPr>
          <w:b/>
          <w:szCs w:val="24"/>
        </w:rPr>
        <w:t>loco</w:t>
      </w:r>
      <w:r w:rsidR="001A3BB2" w:rsidRPr="002116A6">
        <w:rPr>
          <w:b/>
          <w:szCs w:val="24"/>
        </w:rPr>
        <w:t xml:space="preserve"> </w:t>
      </w:r>
      <w:r w:rsidR="002116A6">
        <w:rPr>
          <w:b/>
          <w:szCs w:val="24"/>
        </w:rPr>
        <w:t>a</w:t>
      </w:r>
      <w:r w:rsidR="001A3BB2" w:rsidRPr="002116A6">
        <w:rPr>
          <w:b/>
          <w:szCs w:val="24"/>
        </w:rPr>
        <w:t>plicado ao VAR</w:t>
      </w:r>
    </w:p>
    <w:tbl>
      <w:tblPr>
        <w:tblW w:w="7144" w:type="dxa"/>
        <w:jc w:val="center"/>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4135"/>
        <w:gridCol w:w="1592"/>
        <w:gridCol w:w="1417"/>
      </w:tblGrid>
      <w:tr w:rsidR="001A3BB2" w:rsidRPr="00586953" w:rsidTr="00127DC3">
        <w:trPr>
          <w:jc w:val="center"/>
        </w:trPr>
        <w:tc>
          <w:tcPr>
            <w:tcW w:w="4135" w:type="dxa"/>
            <w:vMerge w:val="restart"/>
            <w:tcBorders>
              <w:top w:val="single" w:sz="12" w:space="0" w:color="auto"/>
            </w:tcBorders>
            <w:vAlign w:val="center"/>
          </w:tcPr>
          <w:p w:rsidR="001A3BB2" w:rsidRPr="00586953" w:rsidRDefault="001A3BB2" w:rsidP="00DF3040">
            <w:pPr>
              <w:spacing w:line="240" w:lineRule="auto"/>
              <w:contextualSpacing/>
              <w:jc w:val="both"/>
              <w:rPr>
                <w:rFonts w:ascii="Times New Roman" w:hAnsi="Times New Roman" w:cs="Times New Roman"/>
              </w:rPr>
            </w:pPr>
            <w:r w:rsidRPr="00586953">
              <w:rPr>
                <w:rFonts w:ascii="Times New Roman" w:hAnsi="Times New Roman" w:cs="Times New Roman"/>
                <w:b/>
              </w:rPr>
              <w:t>Variáveis Independentes</w:t>
            </w:r>
          </w:p>
        </w:tc>
        <w:tc>
          <w:tcPr>
            <w:tcW w:w="3009" w:type="dxa"/>
            <w:gridSpan w:val="2"/>
            <w:tcBorders>
              <w:top w:val="single" w:sz="12" w:space="0" w:color="auto"/>
            </w:tcBorders>
            <w:vAlign w:val="center"/>
          </w:tcPr>
          <w:p w:rsidR="001A3BB2" w:rsidRPr="00586953" w:rsidRDefault="001A3BB2" w:rsidP="00DF3040">
            <w:pPr>
              <w:spacing w:line="240" w:lineRule="auto"/>
              <w:contextualSpacing/>
              <w:jc w:val="both"/>
              <w:rPr>
                <w:rFonts w:ascii="Times New Roman" w:hAnsi="Times New Roman" w:cs="Times New Roman"/>
                <w:b/>
              </w:rPr>
            </w:pPr>
            <w:r w:rsidRPr="00586953">
              <w:rPr>
                <w:rFonts w:ascii="Times New Roman" w:hAnsi="Times New Roman" w:cs="Times New Roman"/>
                <w:b/>
              </w:rPr>
              <w:t>Variáveis Dependentes</w:t>
            </w:r>
          </w:p>
        </w:tc>
      </w:tr>
      <w:tr w:rsidR="001A3BB2" w:rsidRPr="00586953" w:rsidTr="00127DC3">
        <w:trPr>
          <w:jc w:val="center"/>
        </w:trPr>
        <w:tc>
          <w:tcPr>
            <w:tcW w:w="4135" w:type="dxa"/>
            <w:vMerge/>
            <w:tcBorders>
              <w:bottom w:val="single" w:sz="12" w:space="0" w:color="auto"/>
            </w:tcBorders>
            <w:vAlign w:val="center"/>
          </w:tcPr>
          <w:p w:rsidR="001A3BB2" w:rsidRPr="00586953" w:rsidRDefault="001A3BB2" w:rsidP="00DF3040">
            <w:pPr>
              <w:spacing w:line="240" w:lineRule="auto"/>
              <w:contextualSpacing/>
              <w:jc w:val="both"/>
              <w:rPr>
                <w:rFonts w:ascii="Times New Roman" w:hAnsi="Times New Roman" w:cs="Times New Roman"/>
              </w:rPr>
            </w:pPr>
          </w:p>
        </w:tc>
        <w:tc>
          <w:tcPr>
            <w:tcW w:w="1592" w:type="dxa"/>
            <w:tcBorders>
              <w:bottom w:val="single" w:sz="12" w:space="0" w:color="auto"/>
            </w:tcBorders>
            <w:vAlign w:val="center"/>
          </w:tcPr>
          <w:p w:rsidR="001A3BB2" w:rsidRPr="00586953" w:rsidRDefault="00F3210F" w:rsidP="00DF3040">
            <w:pPr>
              <w:spacing w:line="240" w:lineRule="auto"/>
              <w:contextualSpacing/>
              <w:jc w:val="both"/>
              <w:rPr>
                <w:rFonts w:ascii="Times New Roman" w:hAnsi="Times New Roman" w:cs="Times New Roman"/>
              </w:rPr>
            </w:pPr>
            <m:oMathPara>
              <m:oMath>
                <m:sSub>
                  <m:sSubPr>
                    <m:ctrlPr>
                      <w:rPr>
                        <w:rFonts w:ascii="Cambria Math" w:hAnsi="Times New Roman" w:cs="Times New Roman"/>
                        <w:i/>
                      </w:rPr>
                    </m:ctrlPr>
                  </m:sSubPr>
                  <m:e>
                    <m:d>
                      <m:dPr>
                        <m:ctrlPr>
                          <w:rPr>
                            <w:rFonts w:ascii="Cambria Math" w:hAnsi="Times New Roman" w:cs="Times New Roman"/>
                            <w:i/>
                          </w:rPr>
                        </m:ctrlPr>
                      </m:dPr>
                      <m:e>
                        <m:f>
                          <m:fPr>
                            <m:type m:val="lin"/>
                            <m:ctrlPr>
                              <w:rPr>
                                <w:rFonts w:ascii="Cambria Math" w:hAnsi="Times New Roman" w:cs="Times New Roman"/>
                                <w:i/>
                              </w:rPr>
                            </m:ctrlPr>
                          </m:fPr>
                          <m:num>
                            <m:r>
                              <w:rPr>
                                <w:rFonts w:ascii="Cambria Math" w:hAnsi="Times New Roman" w:cs="Times New Roman"/>
                              </w:rPr>
                              <m:t>i</m:t>
                            </m:r>
                          </m:num>
                          <m:den>
                            <m:r>
                              <w:rPr>
                                <w:rFonts w:ascii="Cambria Math" w:hAnsi="Times New Roman" w:cs="Times New Roman"/>
                              </w:rPr>
                              <m:t>y</m:t>
                            </m:r>
                          </m:den>
                        </m:f>
                      </m:e>
                    </m:d>
                  </m:e>
                  <m:sub>
                    <m:r>
                      <w:rPr>
                        <w:rFonts w:ascii="Cambria Math" w:hAnsi="Times New Roman" w:cs="Times New Roman"/>
                      </w:rPr>
                      <m:t>t</m:t>
                    </m:r>
                  </m:sub>
                </m:sSub>
              </m:oMath>
            </m:oMathPara>
          </w:p>
        </w:tc>
        <w:tc>
          <w:tcPr>
            <w:tcW w:w="1417" w:type="dxa"/>
            <w:tcBorders>
              <w:bottom w:val="single" w:sz="12" w:space="0" w:color="auto"/>
            </w:tcBorders>
            <w:vAlign w:val="center"/>
          </w:tcPr>
          <w:p w:rsidR="001A3BB2" w:rsidRPr="00586953" w:rsidRDefault="00F3210F" w:rsidP="00DF3040">
            <w:pPr>
              <w:spacing w:line="240" w:lineRule="auto"/>
              <w:contextualSpacing/>
              <w:jc w:val="both"/>
              <w:rPr>
                <w:rFonts w:ascii="Times New Roman" w:hAnsi="Times New Roman" w:cs="Times New Roman"/>
              </w:rPr>
            </w:pPr>
            <m:oMathPara>
              <m:oMath>
                <m:sSub>
                  <m:sSubPr>
                    <m:ctrlPr>
                      <w:rPr>
                        <w:rFonts w:ascii="Cambria Math" w:hAnsi="Times New Roman" w:cs="Times New Roman"/>
                        <w:i/>
                      </w:rPr>
                    </m:ctrlPr>
                  </m:sSubPr>
                  <m:e>
                    <m:d>
                      <m:dPr>
                        <m:ctrlPr>
                          <w:rPr>
                            <w:rFonts w:ascii="Cambria Math" w:hAnsi="Times New Roman" w:cs="Times New Roman"/>
                            <w:i/>
                          </w:rPr>
                        </m:ctrlPr>
                      </m:dPr>
                      <m:e>
                        <m:f>
                          <m:fPr>
                            <m:type m:val="lin"/>
                            <m:ctrlPr>
                              <w:rPr>
                                <w:rFonts w:ascii="Cambria Math" w:hAnsi="Times New Roman" w:cs="Times New Roman"/>
                                <w:i/>
                              </w:rPr>
                            </m:ctrlPr>
                          </m:fPr>
                          <m:num>
                            <m:r>
                              <w:rPr>
                                <w:rFonts w:ascii="Cambria Math" w:hAnsi="Times New Roman" w:cs="Times New Roman"/>
                              </w:rPr>
                              <m:t>s</m:t>
                            </m:r>
                          </m:num>
                          <m:den>
                            <m:r>
                              <w:rPr>
                                <w:rFonts w:ascii="Cambria Math" w:hAnsi="Times New Roman" w:cs="Times New Roman"/>
                              </w:rPr>
                              <m:t>y</m:t>
                            </m:r>
                          </m:den>
                        </m:f>
                      </m:e>
                    </m:d>
                  </m:e>
                  <m:sub>
                    <m:r>
                      <w:rPr>
                        <w:rFonts w:ascii="Cambria Math" w:hAnsi="Times New Roman" w:cs="Times New Roman"/>
                      </w:rPr>
                      <m:t>t</m:t>
                    </m:r>
                  </m:sub>
                </m:sSub>
              </m:oMath>
            </m:oMathPara>
          </w:p>
        </w:tc>
      </w:tr>
      <w:tr w:rsidR="001A3BB2" w:rsidRPr="00586953" w:rsidTr="00127DC3">
        <w:trPr>
          <w:jc w:val="center"/>
        </w:trPr>
        <w:tc>
          <w:tcPr>
            <w:tcW w:w="4135" w:type="dxa"/>
            <w:tcBorders>
              <w:top w:val="single" w:sz="12" w:space="0" w:color="auto"/>
            </w:tcBorders>
            <w:vAlign w:val="center"/>
          </w:tcPr>
          <w:p w:rsidR="001A3BB2" w:rsidRPr="00586953" w:rsidRDefault="00F3210F" w:rsidP="00DF3040">
            <w:pPr>
              <w:spacing w:line="240" w:lineRule="auto"/>
              <w:contextualSpacing/>
              <w:jc w:val="both"/>
              <w:rPr>
                <w:rFonts w:ascii="Times New Roman" w:hAnsi="Times New Roman" w:cs="Times New Roman"/>
              </w:rPr>
            </w:pPr>
            <m:oMathPara>
              <m:oMath>
                <m:sSub>
                  <m:sSubPr>
                    <m:ctrlPr>
                      <w:rPr>
                        <w:rFonts w:ascii="Cambria Math" w:hAnsi="Times New Roman" w:cs="Times New Roman"/>
                        <w:i/>
                      </w:rPr>
                    </m:ctrlPr>
                  </m:sSubPr>
                  <m:e>
                    <m:d>
                      <m:dPr>
                        <m:ctrlPr>
                          <w:rPr>
                            <w:rFonts w:ascii="Cambria Math" w:hAnsi="Times New Roman" w:cs="Times New Roman"/>
                            <w:i/>
                          </w:rPr>
                        </m:ctrlPr>
                      </m:dPr>
                      <m:e>
                        <m:f>
                          <m:fPr>
                            <m:type m:val="lin"/>
                            <m:ctrlPr>
                              <w:rPr>
                                <w:rFonts w:ascii="Cambria Math" w:hAnsi="Times New Roman" w:cs="Times New Roman"/>
                                <w:i/>
                              </w:rPr>
                            </m:ctrlPr>
                          </m:fPr>
                          <m:num>
                            <m:r>
                              <w:rPr>
                                <w:rFonts w:ascii="Cambria Math" w:hAnsi="Times New Roman" w:cs="Times New Roman"/>
                              </w:rPr>
                              <m:t>i</m:t>
                            </m:r>
                          </m:num>
                          <m:den>
                            <m:r>
                              <w:rPr>
                                <w:rFonts w:ascii="Cambria Math" w:hAnsi="Times New Roman" w:cs="Times New Roman"/>
                              </w:rPr>
                              <m:t>y</m:t>
                            </m:r>
                          </m:den>
                        </m:f>
                      </m:e>
                    </m:d>
                  </m:e>
                  <m:sub>
                    <m:r>
                      <w:rPr>
                        <w:rFonts w:ascii="Cambria Math" w:hAnsi="Times New Roman" w:cs="Times New Roman"/>
                      </w:rPr>
                      <m:t>t</m:t>
                    </m:r>
                  </m:sub>
                </m:sSub>
              </m:oMath>
            </m:oMathPara>
          </w:p>
        </w:tc>
        <w:tc>
          <w:tcPr>
            <w:tcW w:w="1592" w:type="dxa"/>
            <w:tcBorders>
              <w:top w:val="single" w:sz="12" w:space="0" w:color="auto"/>
            </w:tcBorders>
            <w:vAlign w:val="center"/>
          </w:tcPr>
          <w:p w:rsidR="001A3BB2" w:rsidRPr="00586953" w:rsidRDefault="001A3BB2" w:rsidP="00CE4452">
            <w:pPr>
              <w:spacing w:line="240" w:lineRule="auto"/>
              <w:contextualSpacing/>
              <w:jc w:val="center"/>
              <w:rPr>
                <w:rFonts w:ascii="Times New Roman" w:hAnsi="Times New Roman" w:cs="Times New Roman"/>
              </w:rPr>
            </w:pPr>
            <w:r w:rsidRPr="00586953">
              <w:rPr>
                <w:rFonts w:ascii="Times New Roman" w:hAnsi="Times New Roman" w:cs="Times New Roman"/>
              </w:rPr>
              <w:t>-</w:t>
            </w:r>
          </w:p>
        </w:tc>
        <w:tc>
          <w:tcPr>
            <w:tcW w:w="1417" w:type="dxa"/>
            <w:tcBorders>
              <w:top w:val="single" w:sz="12" w:space="0" w:color="auto"/>
            </w:tcBorders>
            <w:vAlign w:val="center"/>
          </w:tcPr>
          <w:p w:rsidR="001A3BB2" w:rsidRPr="00586953" w:rsidRDefault="001A3BB2" w:rsidP="00DF3040">
            <w:pPr>
              <w:spacing w:line="240" w:lineRule="auto"/>
              <w:contextualSpacing/>
              <w:jc w:val="both"/>
              <w:rPr>
                <w:rFonts w:ascii="Times New Roman" w:hAnsi="Times New Roman" w:cs="Times New Roman"/>
              </w:rPr>
            </w:pPr>
            <w:r w:rsidRPr="00586953">
              <w:rPr>
                <w:rFonts w:ascii="Times New Roman" w:hAnsi="Times New Roman" w:cs="Times New Roman"/>
              </w:rPr>
              <w:t>10,8313***</w:t>
            </w:r>
          </w:p>
          <w:p w:rsidR="001A3BB2" w:rsidRPr="00586953" w:rsidRDefault="001A3BB2" w:rsidP="00DF3040">
            <w:pPr>
              <w:spacing w:line="240" w:lineRule="auto"/>
              <w:contextualSpacing/>
              <w:jc w:val="both"/>
              <w:rPr>
                <w:rFonts w:ascii="Times New Roman" w:hAnsi="Times New Roman" w:cs="Times New Roman"/>
              </w:rPr>
            </w:pPr>
            <w:r w:rsidRPr="00586953">
              <w:rPr>
                <w:rFonts w:ascii="Times New Roman" w:hAnsi="Times New Roman" w:cs="Times New Roman"/>
              </w:rPr>
              <w:t>(0,0044)</w:t>
            </w:r>
          </w:p>
        </w:tc>
      </w:tr>
      <w:tr w:rsidR="001A3BB2" w:rsidRPr="00586953" w:rsidTr="00127DC3">
        <w:trPr>
          <w:jc w:val="center"/>
        </w:trPr>
        <w:tc>
          <w:tcPr>
            <w:tcW w:w="4135" w:type="dxa"/>
            <w:vAlign w:val="center"/>
          </w:tcPr>
          <w:p w:rsidR="001A3BB2" w:rsidRPr="00586953" w:rsidRDefault="00F3210F" w:rsidP="00DF3040">
            <w:pPr>
              <w:spacing w:line="240" w:lineRule="auto"/>
              <w:contextualSpacing/>
              <w:jc w:val="both"/>
              <w:rPr>
                <w:rFonts w:ascii="Times New Roman" w:hAnsi="Times New Roman" w:cs="Times New Roman"/>
              </w:rPr>
            </w:pPr>
            <m:oMathPara>
              <m:oMath>
                <m:sSub>
                  <m:sSubPr>
                    <m:ctrlPr>
                      <w:rPr>
                        <w:rFonts w:ascii="Cambria Math" w:hAnsi="Times New Roman" w:cs="Times New Roman"/>
                        <w:i/>
                      </w:rPr>
                    </m:ctrlPr>
                  </m:sSubPr>
                  <m:e>
                    <m:d>
                      <m:dPr>
                        <m:ctrlPr>
                          <w:rPr>
                            <w:rFonts w:ascii="Cambria Math" w:hAnsi="Times New Roman" w:cs="Times New Roman"/>
                            <w:i/>
                          </w:rPr>
                        </m:ctrlPr>
                      </m:dPr>
                      <m:e>
                        <m:f>
                          <m:fPr>
                            <m:type m:val="lin"/>
                            <m:ctrlPr>
                              <w:rPr>
                                <w:rFonts w:ascii="Cambria Math" w:hAnsi="Times New Roman" w:cs="Times New Roman"/>
                                <w:i/>
                              </w:rPr>
                            </m:ctrlPr>
                          </m:fPr>
                          <m:num>
                            <m:r>
                              <w:rPr>
                                <w:rFonts w:ascii="Cambria Math" w:hAnsi="Times New Roman" w:cs="Times New Roman"/>
                              </w:rPr>
                              <m:t>s</m:t>
                            </m:r>
                          </m:num>
                          <m:den>
                            <m:r>
                              <w:rPr>
                                <w:rFonts w:ascii="Cambria Math" w:hAnsi="Times New Roman" w:cs="Times New Roman"/>
                              </w:rPr>
                              <m:t>y</m:t>
                            </m:r>
                          </m:den>
                        </m:f>
                      </m:e>
                    </m:d>
                  </m:e>
                  <m:sub>
                    <m:r>
                      <w:rPr>
                        <w:rFonts w:ascii="Cambria Math" w:hAnsi="Times New Roman" w:cs="Times New Roman"/>
                      </w:rPr>
                      <m:t>t</m:t>
                    </m:r>
                  </m:sub>
                </m:sSub>
              </m:oMath>
            </m:oMathPara>
          </w:p>
        </w:tc>
        <w:tc>
          <w:tcPr>
            <w:tcW w:w="1592" w:type="dxa"/>
            <w:vAlign w:val="center"/>
          </w:tcPr>
          <w:p w:rsidR="001A3BB2" w:rsidRPr="00586953" w:rsidRDefault="001A3BB2" w:rsidP="00DF3040">
            <w:pPr>
              <w:spacing w:line="240" w:lineRule="auto"/>
              <w:contextualSpacing/>
              <w:jc w:val="both"/>
              <w:rPr>
                <w:rFonts w:ascii="Times New Roman" w:hAnsi="Times New Roman" w:cs="Times New Roman"/>
              </w:rPr>
            </w:pPr>
            <w:r w:rsidRPr="00586953">
              <w:rPr>
                <w:rFonts w:ascii="Times New Roman" w:hAnsi="Times New Roman" w:cs="Times New Roman"/>
              </w:rPr>
              <w:t>13,2233***</w:t>
            </w:r>
          </w:p>
          <w:p w:rsidR="001A3BB2" w:rsidRPr="00586953" w:rsidRDefault="001A3BB2" w:rsidP="00DF3040">
            <w:pPr>
              <w:spacing w:line="240" w:lineRule="auto"/>
              <w:contextualSpacing/>
              <w:jc w:val="both"/>
              <w:rPr>
                <w:rFonts w:ascii="Times New Roman" w:hAnsi="Times New Roman" w:cs="Times New Roman"/>
              </w:rPr>
            </w:pPr>
            <w:r w:rsidRPr="00586953">
              <w:rPr>
                <w:rFonts w:ascii="Times New Roman" w:hAnsi="Times New Roman" w:cs="Times New Roman"/>
              </w:rPr>
              <w:t>(0,0013)</w:t>
            </w:r>
          </w:p>
        </w:tc>
        <w:tc>
          <w:tcPr>
            <w:tcW w:w="1417" w:type="dxa"/>
            <w:vAlign w:val="center"/>
          </w:tcPr>
          <w:p w:rsidR="001A3BB2" w:rsidRPr="00586953" w:rsidRDefault="001A3BB2" w:rsidP="00CE4452">
            <w:pPr>
              <w:spacing w:line="240" w:lineRule="auto"/>
              <w:contextualSpacing/>
              <w:jc w:val="center"/>
              <w:rPr>
                <w:rFonts w:ascii="Times New Roman" w:hAnsi="Times New Roman" w:cs="Times New Roman"/>
              </w:rPr>
            </w:pPr>
            <w:r w:rsidRPr="00586953">
              <w:rPr>
                <w:rFonts w:ascii="Times New Roman" w:hAnsi="Times New Roman" w:cs="Times New Roman"/>
              </w:rPr>
              <w:t>-</w:t>
            </w:r>
          </w:p>
        </w:tc>
      </w:tr>
    </w:tbl>
    <w:p w:rsidR="001A3BB2" w:rsidRPr="00586953" w:rsidRDefault="001A3BB2" w:rsidP="00DF3040">
      <w:pPr>
        <w:tabs>
          <w:tab w:val="left" w:pos="8080"/>
        </w:tabs>
        <w:spacing w:line="240" w:lineRule="auto"/>
        <w:ind w:left="993" w:right="991"/>
        <w:contextualSpacing/>
        <w:jc w:val="both"/>
        <w:rPr>
          <w:rFonts w:ascii="Times New Roman" w:hAnsi="Times New Roman" w:cs="Times New Roman"/>
          <w:sz w:val="20"/>
          <w:szCs w:val="20"/>
        </w:rPr>
      </w:pPr>
      <w:r w:rsidRPr="00586953">
        <w:rPr>
          <w:rFonts w:ascii="Times New Roman" w:hAnsi="Times New Roman" w:cs="Times New Roman"/>
          <w:b/>
          <w:sz w:val="20"/>
          <w:szCs w:val="20"/>
          <w:lang w:val="en-US"/>
        </w:rPr>
        <w:t xml:space="preserve">Nota: </w:t>
      </w:r>
      <w:r w:rsidRPr="00586953">
        <w:rPr>
          <w:rFonts w:ascii="Times New Roman" w:hAnsi="Times New Roman" w:cs="Times New Roman"/>
          <w:i/>
          <w:sz w:val="20"/>
          <w:szCs w:val="20"/>
          <w:lang w:val="en-US"/>
        </w:rPr>
        <w:t>VAR</w:t>
      </w:r>
      <w:r w:rsidRPr="00586953">
        <w:rPr>
          <w:rFonts w:ascii="Times New Roman" w:hAnsi="Times New Roman" w:cs="Times New Roman"/>
          <w:b/>
          <w:i/>
          <w:sz w:val="20"/>
          <w:szCs w:val="20"/>
          <w:lang w:val="en-US"/>
        </w:rPr>
        <w:t xml:space="preserve"> </w:t>
      </w:r>
      <w:r w:rsidRPr="00586953">
        <w:rPr>
          <w:rFonts w:ascii="Times New Roman" w:hAnsi="Times New Roman" w:cs="Times New Roman"/>
          <w:i/>
          <w:sz w:val="20"/>
          <w:szCs w:val="20"/>
          <w:lang w:val="en-US"/>
        </w:rPr>
        <w:t>Granger Causality/Block Exogeneity Wald Tests</w:t>
      </w:r>
      <w:r w:rsidRPr="00586953">
        <w:rPr>
          <w:rFonts w:ascii="Times New Roman" w:hAnsi="Times New Roman" w:cs="Times New Roman"/>
          <w:b/>
          <w:sz w:val="20"/>
          <w:szCs w:val="20"/>
          <w:lang w:val="en-US"/>
        </w:rPr>
        <w:t xml:space="preserve">. </w:t>
      </w:r>
      <w:r w:rsidRPr="00586953">
        <w:rPr>
          <w:rFonts w:ascii="Times New Roman" w:hAnsi="Times New Roman" w:cs="Times New Roman"/>
          <w:sz w:val="20"/>
          <w:szCs w:val="20"/>
        </w:rPr>
        <w:t>Observações incluídas: 68</w:t>
      </w:r>
      <w:r w:rsidRPr="00586953">
        <w:rPr>
          <w:rFonts w:ascii="Times New Roman" w:hAnsi="Times New Roman" w:cs="Times New Roman"/>
          <w:b/>
          <w:sz w:val="20"/>
          <w:szCs w:val="20"/>
        </w:rPr>
        <w:t xml:space="preserve">. </w:t>
      </w:r>
      <w:r w:rsidRPr="00586953">
        <w:rPr>
          <w:rFonts w:ascii="Times New Roman" w:hAnsi="Times New Roman" w:cs="Times New Roman"/>
          <w:sz w:val="20"/>
          <w:szCs w:val="20"/>
        </w:rPr>
        <w:t xml:space="preserve">Os valores em parênteses são os valores-p. Todos os outros valores são testes </w:t>
      </w:r>
      <m:oMath>
        <m:sSup>
          <m:sSupPr>
            <m:ctrlPr>
              <w:rPr>
                <w:rFonts w:ascii="Cambria Math" w:hAnsi="Times New Roman" w:cs="Times New Roman"/>
                <w:i/>
                <w:sz w:val="20"/>
                <w:szCs w:val="20"/>
              </w:rPr>
            </m:ctrlPr>
          </m:sSupPr>
          <m:e>
            <m:r>
              <w:rPr>
                <w:rFonts w:ascii="Cambria Math" w:hAnsi="Cambria Math" w:cs="Times New Roman"/>
                <w:sz w:val="20"/>
                <w:szCs w:val="20"/>
              </w:rPr>
              <m:t>χ</m:t>
            </m:r>
          </m:e>
          <m:sup>
            <m:r>
              <w:rPr>
                <w:rFonts w:ascii="Cambria Math" w:hAnsi="Times New Roman" w:cs="Times New Roman"/>
                <w:sz w:val="20"/>
                <w:szCs w:val="20"/>
              </w:rPr>
              <m:t>2</m:t>
            </m:r>
          </m:sup>
        </m:sSup>
      </m:oMath>
      <w:r w:rsidRPr="00586953">
        <w:rPr>
          <w:rFonts w:ascii="Times New Roman" w:hAnsi="Times New Roman" w:cs="Times New Roman"/>
          <w:sz w:val="20"/>
          <w:szCs w:val="20"/>
        </w:rPr>
        <w:t xml:space="preserve"> da Causalidade de Granger. (***) significância a 1%. </w:t>
      </w:r>
      <w:r w:rsidRPr="00586953">
        <w:rPr>
          <w:rFonts w:ascii="Times New Roman" w:hAnsi="Times New Roman" w:cs="Times New Roman"/>
          <w:sz w:val="20"/>
        </w:rPr>
        <w:t xml:space="preserve"> </w:t>
      </w:r>
      <w:r w:rsidRPr="00586953">
        <w:rPr>
          <w:rFonts w:ascii="Times New Roman" w:hAnsi="Times New Roman" w:cs="Times New Roman"/>
          <w:sz w:val="20"/>
          <w:szCs w:val="20"/>
        </w:rPr>
        <w:t>Selecionaram-se duas defasagens ótimas no VAR estimado pelos critérios: estatística teste LR modificada sequencial (LR); erro de previsão final (FPE); critério de informação de Akaike (AIC) e critério de informação de Hannan-Quinn (HQ</w:t>
      </w:r>
      <w:r w:rsidR="00A3720D" w:rsidRPr="00586953">
        <w:rPr>
          <w:rFonts w:ascii="Times New Roman" w:hAnsi="Times New Roman" w:cs="Times New Roman"/>
          <w:sz w:val="20"/>
          <w:szCs w:val="20"/>
        </w:rPr>
        <w:t>).</w:t>
      </w:r>
      <w:r w:rsidRPr="00586953">
        <w:rPr>
          <w:rFonts w:ascii="Times New Roman" w:hAnsi="Times New Roman" w:cs="Times New Roman"/>
          <w:sz w:val="20"/>
          <w:szCs w:val="20"/>
        </w:rPr>
        <w:t xml:space="preserve"> Inclusão de variáveis </w:t>
      </w:r>
      <w:r w:rsidRPr="00586953">
        <w:rPr>
          <w:rFonts w:ascii="Times New Roman" w:hAnsi="Times New Roman" w:cs="Times New Roman"/>
          <w:i/>
          <w:sz w:val="20"/>
          <w:szCs w:val="20"/>
        </w:rPr>
        <w:t>dummies</w:t>
      </w:r>
      <w:r w:rsidRPr="00586953">
        <w:rPr>
          <w:rFonts w:ascii="Times New Roman" w:hAnsi="Times New Roman" w:cs="Times New Roman"/>
          <w:sz w:val="20"/>
          <w:szCs w:val="20"/>
        </w:rPr>
        <w:t xml:space="preserve"> de nível para o período 1999:03 e 1999:04. </w:t>
      </w:r>
    </w:p>
    <w:p w:rsidR="002836DE" w:rsidRPr="00586953" w:rsidRDefault="002836DE" w:rsidP="00AD2648">
      <w:pPr>
        <w:tabs>
          <w:tab w:val="left" w:pos="8080"/>
        </w:tabs>
        <w:ind w:right="991"/>
        <w:jc w:val="both"/>
        <w:rPr>
          <w:rFonts w:ascii="Times New Roman" w:hAnsi="Times New Roman" w:cs="Times New Roman"/>
          <w:b/>
          <w:sz w:val="20"/>
          <w:szCs w:val="20"/>
        </w:rPr>
      </w:pPr>
    </w:p>
    <w:p w:rsidR="005E5C38" w:rsidRDefault="005E5C38" w:rsidP="005E5C38">
      <w:pPr>
        <w:autoSpaceDE w:val="0"/>
        <w:autoSpaceDN w:val="0"/>
        <w:adjustRightInd w:val="0"/>
        <w:spacing w:before="240" w:after="0" w:line="36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sz w:val="24"/>
          <w:szCs w:val="24"/>
        </w:rPr>
        <w:t>Observa-se</w:t>
      </w:r>
      <w:r w:rsidRPr="00586953">
        <w:rPr>
          <w:rFonts w:ascii="Times New Roman" w:hAnsi="Times New Roman" w:cs="Times New Roman"/>
          <w:sz w:val="24"/>
          <w:szCs w:val="24"/>
        </w:rPr>
        <w:t xml:space="preserve"> uma </w:t>
      </w:r>
      <w:r>
        <w:rPr>
          <w:rFonts w:ascii="Times New Roman" w:hAnsi="Times New Roman" w:cs="Times New Roman"/>
          <w:sz w:val="24"/>
          <w:szCs w:val="24"/>
        </w:rPr>
        <w:t>relação</w:t>
      </w:r>
      <w:r w:rsidRPr="00586953">
        <w:rPr>
          <w:rFonts w:ascii="Times New Roman" w:hAnsi="Times New Roman" w:cs="Times New Roman"/>
          <w:sz w:val="24"/>
          <w:szCs w:val="24"/>
        </w:rPr>
        <w:t xml:space="preserve"> de bicausalidade de Granger</w:t>
      </w:r>
      <w:r>
        <w:rPr>
          <w:rFonts w:ascii="Times New Roman" w:hAnsi="Times New Roman" w:cs="Times New Roman"/>
          <w:sz w:val="24"/>
          <w:szCs w:val="24"/>
        </w:rPr>
        <w:t xml:space="preserve">, ao nível de significância de 1%, entre poupança e investimento para a economia brasileira, </w:t>
      </w:r>
      <w:r w:rsidRPr="00E332D8">
        <w:rPr>
          <w:rFonts w:ascii="Times New Roman" w:hAnsi="Times New Roman" w:cs="Times New Roman"/>
          <w:sz w:val="24"/>
          <w:szCs w:val="24"/>
        </w:rPr>
        <w:t xml:space="preserve">sugerindo </w:t>
      </w:r>
      <w:r>
        <w:rPr>
          <w:rFonts w:ascii="Times New Roman" w:hAnsi="Times New Roman" w:cs="Times New Roman"/>
          <w:sz w:val="24"/>
          <w:szCs w:val="24"/>
        </w:rPr>
        <w:t xml:space="preserve">não apenas </w:t>
      </w:r>
      <w:r w:rsidRPr="00E332D8">
        <w:rPr>
          <w:rFonts w:ascii="Times New Roman" w:hAnsi="Times New Roman" w:cs="Times New Roman"/>
          <w:sz w:val="24"/>
          <w:szCs w:val="24"/>
        </w:rPr>
        <w:t xml:space="preserve">que as </w:t>
      </w:r>
      <w:r w:rsidRPr="00E332D8">
        <w:rPr>
          <w:rFonts w:ascii="Times New Roman" w:hAnsi="Times New Roman" w:cs="Times New Roman"/>
          <w:sz w:val="24"/>
          <w:szCs w:val="24"/>
        </w:rPr>
        <w:lastRenderedPageBreak/>
        <w:t>decisões de política econômica em relação a essas duas variáveis devem ser tomadas conjuntamente</w:t>
      </w:r>
      <w:r>
        <w:rPr>
          <w:rFonts w:ascii="Times New Roman" w:hAnsi="Times New Roman" w:cs="Times New Roman"/>
          <w:sz w:val="24"/>
          <w:szCs w:val="24"/>
        </w:rPr>
        <w:t xml:space="preserve">, como </w:t>
      </w:r>
      <w:r w:rsidRPr="006A504B">
        <w:rPr>
          <w:rFonts w:ascii="Times New Roman" w:hAnsi="Times New Roman" w:cs="Times New Roman"/>
          <w:color w:val="000000" w:themeColor="text1"/>
          <w:sz w:val="24"/>
          <w:szCs w:val="24"/>
        </w:rPr>
        <w:t>também evidências da validade do enigma de Feldstein-Horioka. Esse resultado corrobora as evidências obtidas por Silva Jr e Felix (2013), mesmo que em períodos distintos ao deste estudo. Note que nenhuma das variáveis pode ser considerada exógena no sistema.</w:t>
      </w:r>
    </w:p>
    <w:p w:rsidR="002836DE" w:rsidRDefault="002836DE" w:rsidP="00230341">
      <w:pPr>
        <w:spacing w:after="0" w:line="360" w:lineRule="auto"/>
        <w:ind w:firstLine="709"/>
        <w:jc w:val="both"/>
        <w:rPr>
          <w:rFonts w:ascii="Times New Roman" w:hAnsi="Times New Roman" w:cs="Times New Roman"/>
          <w:b/>
          <w:bCs/>
          <w:sz w:val="24"/>
          <w:szCs w:val="24"/>
        </w:rPr>
      </w:pPr>
      <w:r w:rsidRPr="00586953">
        <w:rPr>
          <w:rFonts w:ascii="Times New Roman" w:hAnsi="Times New Roman" w:cs="Times New Roman"/>
          <w:sz w:val="24"/>
          <w:szCs w:val="24"/>
        </w:rPr>
        <w:t xml:space="preserve">Em um contexto de VAR, embora a </w:t>
      </w:r>
      <w:r w:rsidR="006774FF">
        <w:rPr>
          <w:rFonts w:ascii="Times New Roman" w:hAnsi="Times New Roman" w:cs="Times New Roman"/>
          <w:sz w:val="24"/>
          <w:szCs w:val="24"/>
        </w:rPr>
        <w:t xml:space="preserve">análise de </w:t>
      </w:r>
      <w:r w:rsidRPr="00586953">
        <w:rPr>
          <w:rFonts w:ascii="Times New Roman" w:hAnsi="Times New Roman" w:cs="Times New Roman"/>
          <w:sz w:val="24"/>
          <w:szCs w:val="24"/>
        </w:rPr>
        <w:t>causalidade</w:t>
      </w:r>
      <w:r w:rsidR="006774FF">
        <w:rPr>
          <w:rFonts w:ascii="Times New Roman" w:hAnsi="Times New Roman" w:cs="Times New Roman"/>
          <w:sz w:val="24"/>
          <w:szCs w:val="24"/>
        </w:rPr>
        <w:t xml:space="preserve"> de</w:t>
      </w:r>
      <w:r w:rsidRPr="00586953">
        <w:rPr>
          <w:rFonts w:ascii="Times New Roman" w:hAnsi="Times New Roman" w:cs="Times New Roman"/>
          <w:sz w:val="24"/>
          <w:szCs w:val="24"/>
        </w:rPr>
        <w:t xml:space="preserve"> Granger seja </w:t>
      </w:r>
      <w:r w:rsidR="006774FF">
        <w:rPr>
          <w:rFonts w:ascii="Times New Roman" w:hAnsi="Times New Roman" w:cs="Times New Roman"/>
          <w:sz w:val="24"/>
          <w:szCs w:val="24"/>
        </w:rPr>
        <w:t>bem propícia a essa investigação</w:t>
      </w:r>
      <w:r w:rsidRPr="00586953">
        <w:rPr>
          <w:rFonts w:ascii="Times New Roman" w:hAnsi="Times New Roman" w:cs="Times New Roman"/>
          <w:sz w:val="24"/>
          <w:szCs w:val="24"/>
        </w:rPr>
        <w:t xml:space="preserve">, é interessante também </w:t>
      </w:r>
      <w:r w:rsidR="006774FF">
        <w:rPr>
          <w:rFonts w:ascii="Times New Roman" w:hAnsi="Times New Roman" w:cs="Times New Roman"/>
          <w:sz w:val="24"/>
          <w:szCs w:val="24"/>
        </w:rPr>
        <w:t>verificar</w:t>
      </w:r>
      <w:r w:rsidRPr="00586953">
        <w:rPr>
          <w:rFonts w:ascii="Times New Roman" w:hAnsi="Times New Roman" w:cs="Times New Roman"/>
          <w:sz w:val="24"/>
          <w:szCs w:val="24"/>
        </w:rPr>
        <w:t xml:space="preserve"> como uma variável responde a um impulso em outra variável </w:t>
      </w:r>
      <w:r w:rsidRPr="00586953">
        <w:rPr>
          <w:rFonts w:ascii="Times New Roman" w:hAnsi="Times New Roman" w:cs="Times New Roman"/>
          <w:i/>
          <w:sz w:val="24"/>
          <w:szCs w:val="24"/>
        </w:rPr>
        <w:t>ceteris paribus</w:t>
      </w:r>
      <w:r w:rsidRPr="00586953">
        <w:rPr>
          <w:rFonts w:ascii="Times New Roman" w:hAnsi="Times New Roman" w:cs="Times New Roman"/>
          <w:sz w:val="24"/>
          <w:szCs w:val="24"/>
        </w:rPr>
        <w:t xml:space="preserve">, ou seja, em um exercício de estática comparativa. Isso é chamado de análise impulso-resposta. </w:t>
      </w:r>
      <w:r w:rsidRPr="00586953">
        <w:rPr>
          <w:rFonts w:ascii="Times New Roman" w:hAnsi="Times New Roman" w:cs="Times New Roman"/>
          <w:bCs/>
          <w:sz w:val="24"/>
          <w:szCs w:val="24"/>
        </w:rPr>
        <w:t>Nessa análise, é possível verificar o sentido dos efeitos de cada variável (impulso) sobre as outras variáveis (resposta). O efeito nesse caso pode ser positivo ou negativo.</w:t>
      </w:r>
      <w:r w:rsidRPr="00586953">
        <w:rPr>
          <w:rFonts w:ascii="Times New Roman" w:hAnsi="Times New Roman" w:cs="Times New Roman"/>
          <w:b/>
          <w:bCs/>
          <w:sz w:val="24"/>
          <w:szCs w:val="24"/>
        </w:rPr>
        <w:t xml:space="preserve"> </w:t>
      </w:r>
    </w:p>
    <w:p w:rsidR="004B3779" w:rsidRDefault="00911CE6" w:rsidP="004B3779">
      <w:pPr>
        <w:spacing w:after="0" w:line="360" w:lineRule="auto"/>
        <w:ind w:firstLine="709"/>
        <w:jc w:val="both"/>
        <w:rPr>
          <w:rFonts w:ascii="Times New Roman" w:hAnsi="Times New Roman" w:cs="Times New Roman"/>
          <w:color w:val="000000" w:themeColor="text1"/>
          <w:sz w:val="24"/>
          <w:szCs w:val="24"/>
        </w:rPr>
      </w:pPr>
      <w:r w:rsidRPr="00E3088B">
        <w:rPr>
          <w:rFonts w:ascii="Times New Roman" w:hAnsi="Times New Roman" w:cs="Times New Roman"/>
          <w:color w:val="000000" w:themeColor="text1"/>
          <w:sz w:val="24"/>
          <w:szCs w:val="24"/>
        </w:rPr>
        <w:t xml:space="preserve">A </w:t>
      </w:r>
      <w:r w:rsidR="00CE4452" w:rsidRPr="00E3088B">
        <w:rPr>
          <w:rFonts w:ascii="Times New Roman" w:hAnsi="Times New Roman" w:cs="Times New Roman"/>
          <w:color w:val="000000" w:themeColor="text1"/>
          <w:sz w:val="24"/>
          <w:szCs w:val="24"/>
        </w:rPr>
        <w:t xml:space="preserve">Figura </w:t>
      </w:r>
      <w:r w:rsidR="00F36789" w:rsidRPr="00E3088B">
        <w:rPr>
          <w:rFonts w:ascii="Times New Roman" w:hAnsi="Times New Roman" w:cs="Times New Roman"/>
          <w:color w:val="000000" w:themeColor="text1"/>
          <w:sz w:val="24"/>
          <w:szCs w:val="24"/>
        </w:rPr>
        <w:t>3</w:t>
      </w:r>
      <w:r w:rsidR="002836DE" w:rsidRPr="00E3088B">
        <w:rPr>
          <w:rFonts w:ascii="Times New Roman" w:hAnsi="Times New Roman" w:cs="Times New Roman"/>
          <w:color w:val="000000" w:themeColor="text1"/>
          <w:sz w:val="24"/>
          <w:szCs w:val="24"/>
        </w:rPr>
        <w:t xml:space="preserve"> mostra os resultados da</w:t>
      </w:r>
      <w:r w:rsidR="00E07AB8" w:rsidRPr="00E3088B">
        <w:rPr>
          <w:rFonts w:ascii="Times New Roman" w:hAnsi="Times New Roman" w:cs="Times New Roman"/>
          <w:color w:val="000000" w:themeColor="text1"/>
          <w:sz w:val="24"/>
          <w:szCs w:val="24"/>
        </w:rPr>
        <w:t>s</w:t>
      </w:r>
      <w:r w:rsidR="002836DE" w:rsidRPr="00E3088B">
        <w:rPr>
          <w:rFonts w:ascii="Times New Roman" w:hAnsi="Times New Roman" w:cs="Times New Roman"/>
          <w:color w:val="000000" w:themeColor="text1"/>
          <w:sz w:val="24"/>
          <w:szCs w:val="24"/>
        </w:rPr>
        <w:t xml:space="preserve"> </w:t>
      </w:r>
      <w:r w:rsidR="00E07AB8" w:rsidRPr="00E3088B">
        <w:rPr>
          <w:rFonts w:ascii="Times New Roman" w:hAnsi="Times New Roman" w:cs="Times New Roman"/>
          <w:color w:val="000000" w:themeColor="text1"/>
          <w:sz w:val="24"/>
          <w:szCs w:val="24"/>
        </w:rPr>
        <w:t>funções de</w:t>
      </w:r>
      <w:r w:rsidR="002836DE" w:rsidRPr="00E3088B">
        <w:rPr>
          <w:rFonts w:ascii="Times New Roman" w:hAnsi="Times New Roman" w:cs="Times New Roman"/>
          <w:color w:val="000000" w:themeColor="text1"/>
          <w:sz w:val="24"/>
          <w:szCs w:val="24"/>
        </w:rPr>
        <w:t xml:space="preserve"> impulso-resposta </w:t>
      </w:r>
      <w:r w:rsidR="00E07AB8" w:rsidRPr="00E3088B">
        <w:rPr>
          <w:rFonts w:ascii="Times New Roman" w:hAnsi="Times New Roman" w:cs="Times New Roman"/>
          <w:color w:val="000000" w:themeColor="text1"/>
          <w:sz w:val="24"/>
          <w:szCs w:val="24"/>
        </w:rPr>
        <w:t xml:space="preserve">generalizadas </w:t>
      </w:r>
      <w:r w:rsidR="002836DE" w:rsidRPr="00E3088B">
        <w:rPr>
          <w:rFonts w:ascii="Times New Roman" w:hAnsi="Times New Roman" w:cs="Times New Roman"/>
          <w:color w:val="000000" w:themeColor="text1"/>
          <w:sz w:val="24"/>
          <w:szCs w:val="24"/>
        </w:rPr>
        <w:t xml:space="preserve">para o efeito provocado por um choque de um desvio padrão. </w:t>
      </w:r>
    </w:p>
    <w:p w:rsidR="004B3779" w:rsidRDefault="004B3779" w:rsidP="004B3779">
      <w:pPr>
        <w:spacing w:after="0" w:line="360" w:lineRule="auto"/>
        <w:ind w:firstLine="709"/>
        <w:jc w:val="both"/>
        <w:rPr>
          <w:rFonts w:ascii="Times New Roman" w:hAnsi="Times New Roman" w:cs="Times New Roman"/>
          <w:b/>
          <w:sz w:val="24"/>
          <w:szCs w:val="24"/>
        </w:rPr>
      </w:pPr>
    </w:p>
    <w:p w:rsidR="00571F58" w:rsidRPr="00586953" w:rsidRDefault="00CE4452" w:rsidP="000F0180">
      <w:pPr>
        <w:spacing w:after="0" w:line="360" w:lineRule="auto"/>
        <w:jc w:val="both"/>
        <w:rPr>
          <w:rFonts w:ascii="Times New Roman" w:hAnsi="Times New Roman" w:cs="Times New Roman"/>
          <w:sz w:val="24"/>
          <w:szCs w:val="24"/>
        </w:rPr>
      </w:pPr>
      <w:r w:rsidRPr="00586953">
        <w:rPr>
          <w:rFonts w:ascii="Times New Roman" w:hAnsi="Times New Roman" w:cs="Times New Roman"/>
          <w:b/>
          <w:sz w:val="24"/>
          <w:szCs w:val="24"/>
        </w:rPr>
        <w:t xml:space="preserve">Figura </w:t>
      </w:r>
      <w:r w:rsidR="00F36789">
        <w:rPr>
          <w:rFonts w:ascii="Times New Roman" w:hAnsi="Times New Roman" w:cs="Times New Roman"/>
          <w:b/>
          <w:sz w:val="24"/>
          <w:szCs w:val="24"/>
        </w:rPr>
        <w:t>3</w:t>
      </w:r>
      <w:r w:rsidR="002116A6">
        <w:rPr>
          <w:rFonts w:ascii="Times New Roman" w:hAnsi="Times New Roman" w:cs="Times New Roman"/>
          <w:sz w:val="24"/>
          <w:szCs w:val="24"/>
        </w:rPr>
        <w:t xml:space="preserve">. </w:t>
      </w:r>
      <w:r w:rsidR="002116A6">
        <w:rPr>
          <w:rFonts w:ascii="Times New Roman" w:hAnsi="Times New Roman" w:cs="Times New Roman"/>
          <w:b/>
          <w:sz w:val="24"/>
          <w:szCs w:val="24"/>
        </w:rPr>
        <w:t>Função i</w:t>
      </w:r>
      <w:r w:rsidR="00E07AB8" w:rsidRPr="002116A6">
        <w:rPr>
          <w:rFonts w:ascii="Times New Roman" w:hAnsi="Times New Roman" w:cs="Times New Roman"/>
          <w:b/>
          <w:sz w:val="24"/>
          <w:szCs w:val="24"/>
        </w:rPr>
        <w:t>mpulso-</w:t>
      </w:r>
      <w:r w:rsidR="002116A6">
        <w:rPr>
          <w:rFonts w:ascii="Times New Roman" w:hAnsi="Times New Roman" w:cs="Times New Roman"/>
          <w:b/>
          <w:sz w:val="24"/>
          <w:szCs w:val="24"/>
        </w:rPr>
        <w:t>resposta g</w:t>
      </w:r>
      <w:r w:rsidR="00E07AB8" w:rsidRPr="002116A6">
        <w:rPr>
          <w:rFonts w:ascii="Times New Roman" w:hAnsi="Times New Roman" w:cs="Times New Roman"/>
          <w:b/>
          <w:sz w:val="24"/>
          <w:szCs w:val="24"/>
        </w:rPr>
        <w:t>eneralizada</w:t>
      </w:r>
    </w:p>
    <w:p w:rsidR="00571F58" w:rsidRDefault="00E07AB8" w:rsidP="000F0180">
      <w:pPr>
        <w:spacing w:after="0" w:line="360" w:lineRule="auto"/>
        <w:jc w:val="both"/>
        <w:rPr>
          <w:rFonts w:ascii="Times New Roman" w:hAnsi="Times New Roman" w:cs="Times New Roman"/>
          <w:b/>
          <w:sz w:val="24"/>
          <w:szCs w:val="24"/>
        </w:rPr>
      </w:pPr>
      <w:r w:rsidRPr="00F36789">
        <w:rPr>
          <w:noProof/>
          <w:bdr w:val="single" w:sz="4" w:space="0" w:color="auto"/>
        </w:rPr>
        <w:drawing>
          <wp:inline distT="0" distB="0" distL="0" distR="0">
            <wp:extent cx="5397500" cy="3778250"/>
            <wp:effectExtent l="19050" t="0" r="0" b="0"/>
            <wp:docPr id="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srcRect t="4341"/>
                    <a:stretch>
                      <a:fillRect/>
                    </a:stretch>
                  </pic:blipFill>
                  <pic:spPr bwMode="auto">
                    <a:xfrm>
                      <a:off x="0" y="0"/>
                      <a:ext cx="5397500" cy="3778250"/>
                    </a:xfrm>
                    <a:prstGeom prst="rect">
                      <a:avLst/>
                    </a:prstGeom>
                    <a:noFill/>
                    <a:ln w="9525">
                      <a:noFill/>
                      <a:miter lim="800000"/>
                      <a:headEnd/>
                      <a:tailEnd/>
                    </a:ln>
                  </pic:spPr>
                </pic:pic>
              </a:graphicData>
            </a:graphic>
          </wp:inline>
        </w:drawing>
      </w:r>
    </w:p>
    <w:p w:rsidR="00F36789" w:rsidRPr="00F36789" w:rsidRDefault="00F36789" w:rsidP="000F0180">
      <w:pPr>
        <w:spacing w:after="0" w:line="360" w:lineRule="auto"/>
        <w:jc w:val="both"/>
        <w:rPr>
          <w:rFonts w:ascii="Times New Roman" w:hAnsi="Times New Roman" w:cs="Times New Roman"/>
          <w:sz w:val="20"/>
          <w:szCs w:val="20"/>
        </w:rPr>
      </w:pPr>
      <w:r w:rsidRPr="00F36789">
        <w:rPr>
          <w:rFonts w:ascii="Times New Roman" w:hAnsi="Times New Roman" w:cs="Times New Roman"/>
          <w:b/>
          <w:sz w:val="20"/>
          <w:szCs w:val="20"/>
        </w:rPr>
        <w:t xml:space="preserve">Nota: </w:t>
      </w:r>
      <w:r w:rsidR="000D2F90">
        <w:rPr>
          <w:rFonts w:ascii="Times New Roman" w:hAnsi="Times New Roman" w:cs="Times New Roman"/>
          <w:sz w:val="20"/>
          <w:szCs w:val="20"/>
        </w:rPr>
        <w:t>e</w:t>
      </w:r>
      <w:r w:rsidRPr="00F36789">
        <w:rPr>
          <w:rFonts w:ascii="Times New Roman" w:hAnsi="Times New Roman" w:cs="Times New Roman"/>
          <w:sz w:val="20"/>
          <w:szCs w:val="20"/>
        </w:rPr>
        <w:t xml:space="preserve">laboração </w:t>
      </w:r>
      <w:r w:rsidR="002116A6">
        <w:rPr>
          <w:rFonts w:ascii="Times New Roman" w:hAnsi="Times New Roman" w:cs="Times New Roman"/>
          <w:sz w:val="20"/>
          <w:szCs w:val="20"/>
        </w:rPr>
        <w:t>própria</w:t>
      </w:r>
    </w:p>
    <w:p w:rsidR="00DF3040" w:rsidRDefault="00DF3040" w:rsidP="000F0180">
      <w:pPr>
        <w:spacing w:after="0" w:line="360" w:lineRule="auto"/>
        <w:ind w:firstLine="708"/>
        <w:jc w:val="both"/>
        <w:rPr>
          <w:rFonts w:ascii="Times New Roman" w:hAnsi="Times New Roman" w:cs="Times New Roman"/>
          <w:sz w:val="24"/>
          <w:szCs w:val="24"/>
        </w:rPr>
      </w:pPr>
    </w:p>
    <w:p w:rsidR="004B3779" w:rsidRDefault="004B3779" w:rsidP="004B3779">
      <w:pPr>
        <w:spacing w:after="0" w:line="360" w:lineRule="auto"/>
        <w:ind w:firstLine="709"/>
        <w:jc w:val="both"/>
        <w:rPr>
          <w:rFonts w:ascii="Times New Roman" w:hAnsi="Times New Roman" w:cs="Times New Roman"/>
          <w:color w:val="000000" w:themeColor="text1"/>
          <w:sz w:val="24"/>
          <w:szCs w:val="24"/>
        </w:rPr>
      </w:pPr>
      <w:r w:rsidRPr="00E3088B">
        <w:rPr>
          <w:rFonts w:ascii="Times New Roman" w:hAnsi="Times New Roman" w:cs="Times New Roman"/>
          <w:color w:val="000000" w:themeColor="text1"/>
          <w:sz w:val="24"/>
          <w:szCs w:val="24"/>
        </w:rPr>
        <w:t xml:space="preserve">Por exemplo, a resposta da relação investimento/PIB a um choque de um desvio-padrão generalizado na relação poupança/PIB é positiva ao longo de 10 trimestres. </w:t>
      </w:r>
      <w:r>
        <w:rPr>
          <w:rFonts w:ascii="Times New Roman" w:hAnsi="Times New Roman" w:cs="Times New Roman"/>
          <w:color w:val="000000" w:themeColor="text1"/>
          <w:sz w:val="24"/>
          <w:szCs w:val="24"/>
        </w:rPr>
        <w:t xml:space="preserve"> </w:t>
      </w:r>
      <w:r w:rsidRPr="00E3088B">
        <w:rPr>
          <w:rFonts w:ascii="Times New Roman" w:hAnsi="Times New Roman" w:cs="Times New Roman"/>
          <w:color w:val="000000" w:themeColor="text1"/>
          <w:sz w:val="24"/>
          <w:szCs w:val="24"/>
        </w:rPr>
        <w:t xml:space="preserve">Ademais, </w:t>
      </w:r>
      <w:r w:rsidRPr="00E3088B">
        <w:rPr>
          <w:rFonts w:ascii="Times New Roman" w:hAnsi="Times New Roman" w:cs="Times New Roman"/>
          <w:color w:val="000000" w:themeColor="text1"/>
          <w:sz w:val="24"/>
          <w:szCs w:val="24"/>
        </w:rPr>
        <w:lastRenderedPageBreak/>
        <w:t>a resposta da relação poupança/PIB a uma inovação de um desvio-padrão generalizado na relação investimento/PIB é positiva até o quinto trimestre, torna</w:t>
      </w:r>
      <w:r w:rsidR="00BB195F">
        <w:rPr>
          <w:rFonts w:ascii="Times New Roman" w:hAnsi="Times New Roman" w:cs="Times New Roman"/>
          <w:color w:val="000000" w:themeColor="text1"/>
          <w:sz w:val="24"/>
          <w:szCs w:val="24"/>
        </w:rPr>
        <w:t>ndo-se negativa logo em seguida, em outras palavras, a resposta da taxa de poupança a um choque inesperado na taxa de investimento é mais significativo ao longo dos períodos do que o contrário.</w:t>
      </w:r>
    </w:p>
    <w:p w:rsidR="0053101C" w:rsidRDefault="002836DE" w:rsidP="004B3779">
      <w:pPr>
        <w:spacing w:after="0" w:line="360" w:lineRule="auto"/>
        <w:ind w:firstLine="709"/>
        <w:jc w:val="both"/>
        <w:rPr>
          <w:rFonts w:ascii="Times New Roman" w:hAnsi="Times New Roman" w:cs="Times New Roman"/>
          <w:sz w:val="24"/>
          <w:szCs w:val="24"/>
        </w:rPr>
      </w:pPr>
      <w:r w:rsidRPr="00586953">
        <w:rPr>
          <w:rFonts w:ascii="Times New Roman" w:hAnsi="Times New Roman" w:cs="Times New Roman"/>
          <w:sz w:val="24"/>
          <w:szCs w:val="24"/>
        </w:rPr>
        <w:t>Outra ferramenta que pode ser utilizada para interpretar</w:t>
      </w:r>
      <w:r w:rsidR="006774FF">
        <w:rPr>
          <w:rFonts w:ascii="Times New Roman" w:hAnsi="Times New Roman" w:cs="Times New Roman"/>
          <w:sz w:val="24"/>
          <w:szCs w:val="24"/>
        </w:rPr>
        <w:t xml:space="preserve"> os resultados obtidos de </w:t>
      </w:r>
      <w:r w:rsidRPr="00586953">
        <w:rPr>
          <w:rFonts w:ascii="Times New Roman" w:hAnsi="Times New Roman" w:cs="Times New Roman"/>
          <w:sz w:val="24"/>
          <w:szCs w:val="24"/>
        </w:rPr>
        <w:t xml:space="preserve">modelos VAR é a decomposição da variância do erro de previsão. </w:t>
      </w:r>
      <w:r w:rsidRPr="00586953">
        <w:rPr>
          <w:rFonts w:ascii="Times New Roman" w:hAnsi="Times New Roman" w:cs="Times New Roman"/>
          <w:bCs/>
          <w:sz w:val="24"/>
          <w:szCs w:val="24"/>
        </w:rPr>
        <w:t>Ela é utilizada para avaliar a importância relativa sobre os erros de previsão para uma determinada variável</w:t>
      </w:r>
      <w:r w:rsidRPr="00586953">
        <w:rPr>
          <w:rFonts w:ascii="Times New Roman" w:hAnsi="Times New Roman" w:cs="Times New Roman"/>
          <w:sz w:val="24"/>
          <w:szCs w:val="24"/>
        </w:rPr>
        <w:t>. Essa ferramenta fornece a proporção de movimentos de uma sequencia que é devida a choques nela mesma contra choques de outras variáveis.</w:t>
      </w:r>
      <w:r w:rsidR="004B3779">
        <w:rPr>
          <w:rFonts w:ascii="Times New Roman" w:hAnsi="Times New Roman" w:cs="Times New Roman"/>
          <w:sz w:val="24"/>
          <w:szCs w:val="24"/>
        </w:rPr>
        <w:t xml:space="preserve"> </w:t>
      </w:r>
      <w:r w:rsidR="00D92A99">
        <w:rPr>
          <w:rFonts w:ascii="Times New Roman" w:hAnsi="Times New Roman" w:cs="Times New Roman"/>
          <w:sz w:val="24"/>
          <w:szCs w:val="24"/>
        </w:rPr>
        <w:t>A</w:t>
      </w:r>
      <w:r w:rsidR="00571F58" w:rsidRPr="00586953">
        <w:rPr>
          <w:rFonts w:ascii="Times New Roman" w:hAnsi="Times New Roman" w:cs="Times New Roman"/>
          <w:sz w:val="24"/>
          <w:szCs w:val="24"/>
        </w:rPr>
        <w:t xml:space="preserve"> Tabela </w:t>
      </w:r>
      <w:r w:rsidR="00213F7C" w:rsidRPr="00586953">
        <w:rPr>
          <w:rFonts w:ascii="Times New Roman" w:hAnsi="Times New Roman" w:cs="Times New Roman"/>
          <w:sz w:val="24"/>
          <w:szCs w:val="24"/>
        </w:rPr>
        <w:t>5</w:t>
      </w:r>
      <w:r w:rsidR="00D92A99">
        <w:rPr>
          <w:rFonts w:ascii="Times New Roman" w:hAnsi="Times New Roman" w:cs="Times New Roman"/>
          <w:sz w:val="24"/>
          <w:szCs w:val="24"/>
        </w:rPr>
        <w:t xml:space="preserve"> reporta os resultados para a análise de decomposição da variância. </w:t>
      </w:r>
    </w:p>
    <w:p w:rsidR="002B5C8E" w:rsidRPr="00586953" w:rsidRDefault="002B5C8E" w:rsidP="004B3779">
      <w:pPr>
        <w:spacing w:after="0" w:line="360" w:lineRule="auto"/>
        <w:ind w:firstLine="709"/>
        <w:jc w:val="both"/>
        <w:rPr>
          <w:rFonts w:ascii="Times New Roman" w:hAnsi="Times New Roman" w:cs="Times New Roman"/>
          <w:sz w:val="24"/>
          <w:szCs w:val="24"/>
        </w:rPr>
      </w:pPr>
    </w:p>
    <w:p w:rsidR="002836DE" w:rsidRPr="00586953" w:rsidRDefault="00154B10" w:rsidP="00154B10">
      <w:pPr>
        <w:autoSpaceDE w:val="0"/>
        <w:autoSpaceDN w:val="0"/>
        <w:adjustRightInd w:val="0"/>
        <w:ind w:left="1416"/>
        <w:jc w:val="both"/>
        <w:rPr>
          <w:rFonts w:ascii="Times New Roman" w:hAnsi="Times New Roman" w:cs="Times New Roman"/>
          <w:sz w:val="24"/>
          <w:szCs w:val="24"/>
        </w:rPr>
      </w:pPr>
      <w:r w:rsidRPr="00586953">
        <w:rPr>
          <w:rFonts w:ascii="Times New Roman" w:hAnsi="Times New Roman" w:cs="Times New Roman"/>
          <w:b/>
          <w:sz w:val="24"/>
          <w:szCs w:val="24"/>
        </w:rPr>
        <w:t xml:space="preserve">     </w:t>
      </w:r>
      <w:r w:rsidR="00571F58" w:rsidRPr="00586953">
        <w:rPr>
          <w:rFonts w:ascii="Times New Roman" w:hAnsi="Times New Roman" w:cs="Times New Roman"/>
          <w:b/>
          <w:sz w:val="24"/>
          <w:szCs w:val="24"/>
        </w:rPr>
        <w:t xml:space="preserve">Tabela </w:t>
      </w:r>
      <w:r w:rsidR="00213F7C" w:rsidRPr="002116A6">
        <w:rPr>
          <w:rFonts w:ascii="Times New Roman" w:hAnsi="Times New Roman" w:cs="Times New Roman"/>
          <w:b/>
          <w:sz w:val="24"/>
          <w:szCs w:val="24"/>
        </w:rPr>
        <w:t>5</w:t>
      </w:r>
      <w:r w:rsidR="002116A6">
        <w:rPr>
          <w:rFonts w:ascii="Times New Roman" w:hAnsi="Times New Roman" w:cs="Times New Roman"/>
          <w:b/>
          <w:sz w:val="24"/>
          <w:szCs w:val="24"/>
        </w:rPr>
        <w:t>. Decomposição da v</w:t>
      </w:r>
      <w:r w:rsidR="002836DE" w:rsidRPr="002116A6">
        <w:rPr>
          <w:rFonts w:ascii="Times New Roman" w:hAnsi="Times New Roman" w:cs="Times New Roman"/>
          <w:b/>
          <w:sz w:val="24"/>
          <w:szCs w:val="24"/>
        </w:rPr>
        <w:t>ariância</w:t>
      </w:r>
    </w:p>
    <w:tbl>
      <w:tblPr>
        <w:tblW w:w="0" w:type="auto"/>
        <w:jc w:val="center"/>
        <w:tblLayout w:type="fixed"/>
        <w:tblCellMar>
          <w:left w:w="0" w:type="dxa"/>
          <w:right w:w="0" w:type="dxa"/>
        </w:tblCellMar>
        <w:tblLook w:val="0000" w:firstRow="0" w:lastRow="0" w:firstColumn="0" w:lastColumn="0" w:noHBand="0" w:noVBand="0"/>
      </w:tblPr>
      <w:tblGrid>
        <w:gridCol w:w="822"/>
        <w:gridCol w:w="1418"/>
        <w:gridCol w:w="1417"/>
        <w:gridCol w:w="1418"/>
      </w:tblGrid>
      <w:tr w:rsidR="002836DE" w:rsidRPr="00586953" w:rsidTr="00154B10">
        <w:trPr>
          <w:trHeight w:hRule="exact" w:val="90"/>
          <w:jc w:val="center"/>
        </w:trPr>
        <w:tc>
          <w:tcPr>
            <w:tcW w:w="822"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7"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r>
      <w:tr w:rsidR="002836DE" w:rsidRPr="00586953" w:rsidTr="00154B10">
        <w:trPr>
          <w:trHeight w:hRule="exact" w:val="13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r>
      <w:tr w:rsidR="002836DE" w:rsidRPr="00586953" w:rsidTr="00154B10">
        <w:trPr>
          <w:trHeight w:val="225"/>
          <w:jc w:val="center"/>
        </w:trPr>
        <w:tc>
          <w:tcPr>
            <w:tcW w:w="5075" w:type="dxa"/>
            <w:gridSpan w:val="4"/>
            <w:tcBorders>
              <w:top w:val="nil"/>
              <w:left w:val="nil"/>
              <w:bottom w:val="nil"/>
              <w:right w:val="nil"/>
            </w:tcBorders>
            <w:vAlign w:val="bottom"/>
          </w:tcPr>
          <w:p w:rsidR="002836DE" w:rsidRPr="00586953" w:rsidRDefault="002836DE" w:rsidP="00444EAD">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Decomposi</w:t>
            </w:r>
            <w:r w:rsidR="00444EAD" w:rsidRPr="00586953">
              <w:rPr>
                <w:rFonts w:ascii="Times New Roman" w:hAnsi="Times New Roman" w:cs="Times New Roman"/>
              </w:rPr>
              <w:t>ção da Variância</w:t>
            </w:r>
            <w:r w:rsidRPr="00586953">
              <w:rPr>
                <w:rFonts w:ascii="Times New Roman" w:hAnsi="Times New Roman" w:cs="Times New Roman"/>
              </w:rPr>
              <w:t xml:space="preserve"> </w:t>
            </w:r>
            <w:r w:rsidR="00444EAD" w:rsidRPr="00586953">
              <w:rPr>
                <w:rFonts w:ascii="Times New Roman" w:hAnsi="Times New Roman" w:cs="Times New Roman"/>
              </w:rPr>
              <w:t>de i/y</w:t>
            </w:r>
            <w:r w:rsidRPr="00586953">
              <w:rPr>
                <w:rFonts w:ascii="Times New Roman" w:hAnsi="Times New Roman" w:cs="Times New Roman"/>
              </w:rPr>
              <w:t>:</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w:t>
            </w:r>
            <w:r w:rsidR="00444EAD" w:rsidRPr="00586953">
              <w:rPr>
                <w:rFonts w:ascii="Times New Roman" w:hAnsi="Times New Roman" w:cs="Times New Roman"/>
              </w:rPr>
              <w:t>Período</w:t>
            </w:r>
          </w:p>
        </w:tc>
        <w:tc>
          <w:tcPr>
            <w:tcW w:w="1418" w:type="dxa"/>
            <w:tcBorders>
              <w:top w:val="nil"/>
              <w:left w:val="nil"/>
              <w:bottom w:val="nil"/>
              <w:right w:val="nil"/>
            </w:tcBorders>
            <w:vAlign w:val="bottom"/>
          </w:tcPr>
          <w:p w:rsidR="002836DE" w:rsidRPr="00586953" w:rsidRDefault="000F0180"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xml:space="preserve">     </w:t>
            </w:r>
            <w:r w:rsidR="002836DE" w:rsidRPr="00586953">
              <w:rPr>
                <w:rFonts w:ascii="Times New Roman" w:hAnsi="Times New Roman" w:cs="Times New Roman"/>
              </w:rPr>
              <w:t>S.E.</w:t>
            </w:r>
          </w:p>
        </w:tc>
        <w:tc>
          <w:tcPr>
            <w:tcW w:w="1417" w:type="dxa"/>
            <w:tcBorders>
              <w:top w:val="nil"/>
              <w:left w:val="nil"/>
              <w:bottom w:val="nil"/>
              <w:right w:val="nil"/>
            </w:tcBorders>
            <w:vAlign w:val="bottom"/>
          </w:tcPr>
          <w:p w:rsidR="002836DE" w:rsidRPr="00586953" w:rsidRDefault="00444EAD"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i/y</w:t>
            </w:r>
          </w:p>
        </w:tc>
        <w:tc>
          <w:tcPr>
            <w:tcW w:w="1418" w:type="dxa"/>
            <w:tcBorders>
              <w:top w:val="nil"/>
              <w:left w:val="nil"/>
              <w:bottom w:val="nil"/>
              <w:right w:val="nil"/>
            </w:tcBorders>
            <w:vAlign w:val="bottom"/>
          </w:tcPr>
          <w:p w:rsidR="002836DE" w:rsidRPr="00586953" w:rsidRDefault="00444EAD"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s/y</w:t>
            </w:r>
          </w:p>
        </w:tc>
      </w:tr>
      <w:tr w:rsidR="002836DE" w:rsidRPr="00586953" w:rsidTr="00154B10">
        <w:trPr>
          <w:trHeight w:hRule="exact" w:val="90"/>
          <w:jc w:val="center"/>
        </w:trPr>
        <w:tc>
          <w:tcPr>
            <w:tcW w:w="822"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7"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r>
      <w:tr w:rsidR="002836DE" w:rsidRPr="00586953" w:rsidTr="00154B10">
        <w:trPr>
          <w:trHeight w:hRule="exact" w:val="13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059116</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100</w:t>
            </w:r>
            <w:r w:rsidR="00E870E2">
              <w:rPr>
                <w:rFonts w:ascii="Times New Roman" w:hAnsi="Times New Roman" w:cs="Times New Roman"/>
              </w:rPr>
              <w:t>,</w:t>
            </w:r>
            <w:r w:rsidRPr="00586953">
              <w:rPr>
                <w:rFonts w:ascii="Times New Roman" w:hAnsi="Times New Roman" w:cs="Times New Roman"/>
              </w:rPr>
              <w:t>0000</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000000</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2</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077499</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91</w:t>
            </w:r>
            <w:r w:rsidR="00E870E2">
              <w:rPr>
                <w:rFonts w:ascii="Times New Roman" w:hAnsi="Times New Roman" w:cs="Times New Roman"/>
              </w:rPr>
              <w:t>,</w:t>
            </w:r>
            <w:r w:rsidRPr="00586953">
              <w:rPr>
                <w:rFonts w:ascii="Times New Roman" w:hAnsi="Times New Roman" w:cs="Times New Roman"/>
              </w:rPr>
              <w:t>25603</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8</w:t>
            </w:r>
            <w:r w:rsidR="00E870E2">
              <w:rPr>
                <w:rFonts w:ascii="Times New Roman" w:hAnsi="Times New Roman" w:cs="Times New Roman"/>
              </w:rPr>
              <w:t>,</w:t>
            </w:r>
            <w:r w:rsidRPr="00586953">
              <w:rPr>
                <w:rFonts w:ascii="Times New Roman" w:hAnsi="Times New Roman" w:cs="Times New Roman"/>
              </w:rPr>
              <w:t>743968</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3</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083692</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89</w:t>
            </w:r>
            <w:r w:rsidR="00E870E2">
              <w:rPr>
                <w:rFonts w:ascii="Times New Roman" w:hAnsi="Times New Roman" w:cs="Times New Roman"/>
              </w:rPr>
              <w:t>,</w:t>
            </w:r>
            <w:r w:rsidRPr="00586953">
              <w:rPr>
                <w:rFonts w:ascii="Times New Roman" w:hAnsi="Times New Roman" w:cs="Times New Roman"/>
              </w:rPr>
              <w:t>36968</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10</w:t>
            </w:r>
            <w:r w:rsidR="00E870E2">
              <w:rPr>
                <w:rFonts w:ascii="Times New Roman" w:hAnsi="Times New Roman" w:cs="Times New Roman"/>
              </w:rPr>
              <w:t>,</w:t>
            </w:r>
            <w:r w:rsidRPr="00586953">
              <w:rPr>
                <w:rFonts w:ascii="Times New Roman" w:hAnsi="Times New Roman" w:cs="Times New Roman"/>
              </w:rPr>
              <w:t>63032</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4</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086772</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88</w:t>
            </w:r>
            <w:r w:rsidR="00E870E2">
              <w:rPr>
                <w:rFonts w:ascii="Times New Roman" w:hAnsi="Times New Roman" w:cs="Times New Roman"/>
              </w:rPr>
              <w:t>,</w:t>
            </w:r>
            <w:r w:rsidRPr="00586953">
              <w:rPr>
                <w:rFonts w:ascii="Times New Roman" w:hAnsi="Times New Roman" w:cs="Times New Roman"/>
              </w:rPr>
              <w:t>95143</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11</w:t>
            </w:r>
            <w:r w:rsidR="00E870E2">
              <w:rPr>
                <w:rFonts w:ascii="Times New Roman" w:hAnsi="Times New Roman" w:cs="Times New Roman"/>
              </w:rPr>
              <w:t>,</w:t>
            </w:r>
            <w:r w:rsidRPr="00586953">
              <w:rPr>
                <w:rFonts w:ascii="Times New Roman" w:hAnsi="Times New Roman" w:cs="Times New Roman"/>
              </w:rPr>
              <w:t>04857</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5</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088495</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88</w:t>
            </w:r>
            <w:r w:rsidR="00E870E2">
              <w:rPr>
                <w:rFonts w:ascii="Times New Roman" w:hAnsi="Times New Roman" w:cs="Times New Roman"/>
              </w:rPr>
              <w:t>,</w:t>
            </w:r>
            <w:r w:rsidRPr="00586953">
              <w:rPr>
                <w:rFonts w:ascii="Times New Roman" w:hAnsi="Times New Roman" w:cs="Times New Roman"/>
              </w:rPr>
              <w:t>69975</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11</w:t>
            </w:r>
            <w:r w:rsidR="00E870E2">
              <w:rPr>
                <w:rFonts w:ascii="Times New Roman" w:hAnsi="Times New Roman" w:cs="Times New Roman"/>
              </w:rPr>
              <w:t>,</w:t>
            </w:r>
            <w:r w:rsidRPr="00586953">
              <w:rPr>
                <w:rFonts w:ascii="Times New Roman" w:hAnsi="Times New Roman" w:cs="Times New Roman"/>
              </w:rPr>
              <w:t>30025</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6</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089419</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88</w:t>
            </w:r>
            <w:r w:rsidR="00E870E2">
              <w:rPr>
                <w:rFonts w:ascii="Times New Roman" w:hAnsi="Times New Roman" w:cs="Times New Roman"/>
              </w:rPr>
              <w:t>,</w:t>
            </w:r>
            <w:r w:rsidRPr="00586953">
              <w:rPr>
                <w:rFonts w:ascii="Times New Roman" w:hAnsi="Times New Roman" w:cs="Times New Roman"/>
              </w:rPr>
              <w:t>54860</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11</w:t>
            </w:r>
            <w:r w:rsidR="00E870E2">
              <w:rPr>
                <w:rFonts w:ascii="Times New Roman" w:hAnsi="Times New Roman" w:cs="Times New Roman"/>
              </w:rPr>
              <w:t>,</w:t>
            </w:r>
            <w:r w:rsidRPr="00586953">
              <w:rPr>
                <w:rFonts w:ascii="Times New Roman" w:hAnsi="Times New Roman" w:cs="Times New Roman"/>
              </w:rPr>
              <w:t>45140</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7</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089918</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88</w:t>
            </w:r>
            <w:r w:rsidR="00E870E2">
              <w:rPr>
                <w:rFonts w:ascii="Times New Roman" w:hAnsi="Times New Roman" w:cs="Times New Roman"/>
              </w:rPr>
              <w:t>,</w:t>
            </w:r>
            <w:r w:rsidRPr="00586953">
              <w:rPr>
                <w:rFonts w:ascii="Times New Roman" w:hAnsi="Times New Roman" w:cs="Times New Roman"/>
              </w:rPr>
              <w:t>46634</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11</w:t>
            </w:r>
            <w:r w:rsidR="00E870E2">
              <w:rPr>
                <w:rFonts w:ascii="Times New Roman" w:hAnsi="Times New Roman" w:cs="Times New Roman"/>
              </w:rPr>
              <w:t>,</w:t>
            </w:r>
            <w:r w:rsidRPr="00586953">
              <w:rPr>
                <w:rFonts w:ascii="Times New Roman" w:hAnsi="Times New Roman" w:cs="Times New Roman"/>
              </w:rPr>
              <w:t>53366</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8</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090192</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88</w:t>
            </w:r>
            <w:r w:rsidR="00E870E2">
              <w:rPr>
                <w:rFonts w:ascii="Times New Roman" w:hAnsi="Times New Roman" w:cs="Times New Roman"/>
              </w:rPr>
              <w:t>,</w:t>
            </w:r>
            <w:r w:rsidRPr="00586953">
              <w:rPr>
                <w:rFonts w:ascii="Times New Roman" w:hAnsi="Times New Roman" w:cs="Times New Roman"/>
              </w:rPr>
              <w:t>41921</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11</w:t>
            </w:r>
            <w:r w:rsidR="00E870E2">
              <w:rPr>
                <w:rFonts w:ascii="Times New Roman" w:hAnsi="Times New Roman" w:cs="Times New Roman"/>
              </w:rPr>
              <w:t>,</w:t>
            </w:r>
            <w:r w:rsidRPr="00586953">
              <w:rPr>
                <w:rFonts w:ascii="Times New Roman" w:hAnsi="Times New Roman" w:cs="Times New Roman"/>
              </w:rPr>
              <w:t>58079</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9</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090343</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88</w:t>
            </w:r>
            <w:r w:rsidR="00E870E2">
              <w:rPr>
                <w:rFonts w:ascii="Times New Roman" w:hAnsi="Times New Roman" w:cs="Times New Roman"/>
              </w:rPr>
              <w:t>,</w:t>
            </w:r>
            <w:r w:rsidRPr="00586953">
              <w:rPr>
                <w:rFonts w:ascii="Times New Roman" w:hAnsi="Times New Roman" w:cs="Times New Roman"/>
              </w:rPr>
              <w:t>39119</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11</w:t>
            </w:r>
            <w:r w:rsidR="00E870E2">
              <w:rPr>
                <w:rFonts w:ascii="Times New Roman" w:hAnsi="Times New Roman" w:cs="Times New Roman"/>
              </w:rPr>
              <w:t>,</w:t>
            </w:r>
            <w:r w:rsidRPr="00586953">
              <w:rPr>
                <w:rFonts w:ascii="Times New Roman" w:hAnsi="Times New Roman" w:cs="Times New Roman"/>
              </w:rPr>
              <w:t>60881</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10</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090427</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88</w:t>
            </w:r>
            <w:r w:rsidR="00E870E2">
              <w:rPr>
                <w:rFonts w:ascii="Times New Roman" w:hAnsi="Times New Roman" w:cs="Times New Roman"/>
              </w:rPr>
              <w:t>,</w:t>
            </w:r>
            <w:r w:rsidRPr="00586953">
              <w:rPr>
                <w:rFonts w:ascii="Times New Roman" w:hAnsi="Times New Roman" w:cs="Times New Roman"/>
              </w:rPr>
              <w:t>37432</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11</w:t>
            </w:r>
            <w:r w:rsidR="00E870E2">
              <w:rPr>
                <w:rFonts w:ascii="Times New Roman" w:hAnsi="Times New Roman" w:cs="Times New Roman"/>
              </w:rPr>
              <w:t>,</w:t>
            </w:r>
            <w:r w:rsidRPr="00586953">
              <w:rPr>
                <w:rFonts w:ascii="Times New Roman" w:hAnsi="Times New Roman" w:cs="Times New Roman"/>
              </w:rPr>
              <w:t>62568</w:t>
            </w:r>
          </w:p>
        </w:tc>
      </w:tr>
      <w:tr w:rsidR="002836DE" w:rsidRPr="00586953" w:rsidTr="00154B10">
        <w:trPr>
          <w:trHeight w:hRule="exact" w:val="90"/>
          <w:jc w:val="center"/>
        </w:trPr>
        <w:tc>
          <w:tcPr>
            <w:tcW w:w="822"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7"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r>
      <w:tr w:rsidR="002836DE" w:rsidRPr="00586953" w:rsidTr="00154B10">
        <w:trPr>
          <w:trHeight w:hRule="exact" w:val="13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r>
      <w:tr w:rsidR="002836DE" w:rsidRPr="00586953" w:rsidTr="00154B10">
        <w:trPr>
          <w:trHeight w:val="225"/>
          <w:jc w:val="center"/>
        </w:trPr>
        <w:tc>
          <w:tcPr>
            <w:tcW w:w="5075" w:type="dxa"/>
            <w:gridSpan w:val="4"/>
            <w:tcBorders>
              <w:top w:val="nil"/>
              <w:left w:val="nil"/>
              <w:bottom w:val="nil"/>
              <w:right w:val="nil"/>
            </w:tcBorders>
            <w:vAlign w:val="bottom"/>
          </w:tcPr>
          <w:p w:rsidR="002836DE" w:rsidRPr="00586953" w:rsidRDefault="00444EAD" w:rsidP="000F0180">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Decomposição da Variância de s/y:</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w:t>
            </w:r>
            <w:r w:rsidR="00444EAD" w:rsidRPr="00586953">
              <w:rPr>
                <w:rFonts w:ascii="Times New Roman" w:hAnsi="Times New Roman" w:cs="Times New Roman"/>
              </w:rPr>
              <w:t>Período</w:t>
            </w:r>
          </w:p>
        </w:tc>
        <w:tc>
          <w:tcPr>
            <w:tcW w:w="1418" w:type="dxa"/>
            <w:tcBorders>
              <w:top w:val="nil"/>
              <w:left w:val="nil"/>
              <w:bottom w:val="nil"/>
              <w:right w:val="nil"/>
            </w:tcBorders>
            <w:vAlign w:val="bottom"/>
          </w:tcPr>
          <w:p w:rsidR="002836DE" w:rsidRPr="00586953" w:rsidRDefault="00B522BC"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xml:space="preserve">     </w:t>
            </w:r>
            <w:r w:rsidR="002836DE" w:rsidRPr="00586953">
              <w:rPr>
                <w:rFonts w:ascii="Times New Roman" w:hAnsi="Times New Roman" w:cs="Times New Roman"/>
              </w:rPr>
              <w:t>S.E.</w:t>
            </w:r>
          </w:p>
        </w:tc>
        <w:tc>
          <w:tcPr>
            <w:tcW w:w="1417" w:type="dxa"/>
            <w:tcBorders>
              <w:top w:val="nil"/>
              <w:left w:val="nil"/>
              <w:bottom w:val="nil"/>
              <w:right w:val="nil"/>
            </w:tcBorders>
            <w:vAlign w:val="bottom"/>
          </w:tcPr>
          <w:p w:rsidR="002836DE" w:rsidRPr="00586953" w:rsidRDefault="00444EAD"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i/y</w:t>
            </w:r>
          </w:p>
        </w:tc>
        <w:tc>
          <w:tcPr>
            <w:tcW w:w="1418" w:type="dxa"/>
            <w:tcBorders>
              <w:top w:val="nil"/>
              <w:left w:val="nil"/>
              <w:bottom w:val="nil"/>
              <w:right w:val="nil"/>
            </w:tcBorders>
            <w:vAlign w:val="bottom"/>
          </w:tcPr>
          <w:p w:rsidR="002836DE" w:rsidRPr="00586953" w:rsidRDefault="00444EAD"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s/y</w:t>
            </w:r>
          </w:p>
        </w:tc>
      </w:tr>
      <w:tr w:rsidR="002836DE" w:rsidRPr="00586953" w:rsidTr="00154B10">
        <w:trPr>
          <w:trHeight w:hRule="exact" w:val="90"/>
          <w:jc w:val="center"/>
        </w:trPr>
        <w:tc>
          <w:tcPr>
            <w:tcW w:w="822"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7"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r>
      <w:tr w:rsidR="002836DE" w:rsidRPr="00586953" w:rsidTr="00154B10">
        <w:trPr>
          <w:trHeight w:hRule="exact" w:val="13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062172</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51</w:t>
            </w:r>
            <w:r w:rsidR="00E870E2">
              <w:rPr>
                <w:rFonts w:ascii="Times New Roman" w:hAnsi="Times New Roman" w:cs="Times New Roman"/>
              </w:rPr>
              <w:t>,</w:t>
            </w:r>
            <w:r w:rsidRPr="00586953">
              <w:rPr>
                <w:rFonts w:ascii="Times New Roman" w:hAnsi="Times New Roman" w:cs="Times New Roman"/>
              </w:rPr>
              <w:t>27295</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48</w:t>
            </w:r>
            <w:r w:rsidR="00E870E2">
              <w:rPr>
                <w:rFonts w:ascii="Times New Roman" w:hAnsi="Times New Roman" w:cs="Times New Roman"/>
              </w:rPr>
              <w:t>,</w:t>
            </w:r>
            <w:r w:rsidRPr="00586953">
              <w:rPr>
                <w:rFonts w:ascii="Times New Roman" w:hAnsi="Times New Roman" w:cs="Times New Roman"/>
              </w:rPr>
              <w:t>72705</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2</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073635</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60</w:t>
            </w:r>
            <w:r w:rsidR="00E870E2">
              <w:rPr>
                <w:rFonts w:ascii="Times New Roman" w:hAnsi="Times New Roman" w:cs="Times New Roman"/>
              </w:rPr>
              <w:t>,</w:t>
            </w:r>
            <w:r w:rsidRPr="00586953">
              <w:rPr>
                <w:rFonts w:ascii="Times New Roman" w:hAnsi="Times New Roman" w:cs="Times New Roman"/>
              </w:rPr>
              <w:t>16006</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39</w:t>
            </w:r>
            <w:r w:rsidR="00E870E2">
              <w:rPr>
                <w:rFonts w:ascii="Times New Roman" w:hAnsi="Times New Roman" w:cs="Times New Roman"/>
              </w:rPr>
              <w:t>,</w:t>
            </w:r>
            <w:r w:rsidRPr="00586953">
              <w:rPr>
                <w:rFonts w:ascii="Times New Roman" w:hAnsi="Times New Roman" w:cs="Times New Roman"/>
              </w:rPr>
              <w:t>83994</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3</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077828</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58</w:t>
            </w:r>
            <w:r w:rsidR="00E870E2">
              <w:rPr>
                <w:rFonts w:ascii="Times New Roman" w:hAnsi="Times New Roman" w:cs="Times New Roman"/>
              </w:rPr>
              <w:t>,</w:t>
            </w:r>
            <w:r w:rsidRPr="00586953">
              <w:rPr>
                <w:rFonts w:ascii="Times New Roman" w:hAnsi="Times New Roman" w:cs="Times New Roman"/>
              </w:rPr>
              <w:t>49088</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41</w:t>
            </w:r>
            <w:r w:rsidR="00E870E2">
              <w:rPr>
                <w:rFonts w:ascii="Times New Roman" w:hAnsi="Times New Roman" w:cs="Times New Roman"/>
              </w:rPr>
              <w:t>,</w:t>
            </w:r>
            <w:r w:rsidRPr="00586953">
              <w:rPr>
                <w:rFonts w:ascii="Times New Roman" w:hAnsi="Times New Roman" w:cs="Times New Roman"/>
              </w:rPr>
              <w:t>50912</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4</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081318</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54</w:t>
            </w:r>
            <w:r w:rsidR="00E870E2">
              <w:rPr>
                <w:rFonts w:ascii="Times New Roman" w:hAnsi="Times New Roman" w:cs="Times New Roman"/>
              </w:rPr>
              <w:t>,</w:t>
            </w:r>
            <w:r w:rsidRPr="00586953">
              <w:rPr>
                <w:rFonts w:ascii="Times New Roman" w:hAnsi="Times New Roman" w:cs="Times New Roman"/>
              </w:rPr>
              <w:t>52880</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45</w:t>
            </w:r>
            <w:r w:rsidR="00E870E2">
              <w:rPr>
                <w:rFonts w:ascii="Times New Roman" w:hAnsi="Times New Roman" w:cs="Times New Roman"/>
              </w:rPr>
              <w:t>,</w:t>
            </w:r>
            <w:r w:rsidRPr="00586953">
              <w:rPr>
                <w:rFonts w:ascii="Times New Roman" w:hAnsi="Times New Roman" w:cs="Times New Roman"/>
              </w:rPr>
              <w:t>47120</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5</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084259</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50</w:t>
            </w:r>
            <w:r w:rsidR="00E870E2">
              <w:rPr>
                <w:rFonts w:ascii="Times New Roman" w:hAnsi="Times New Roman" w:cs="Times New Roman"/>
              </w:rPr>
              <w:t>,</w:t>
            </w:r>
            <w:r w:rsidRPr="00586953">
              <w:rPr>
                <w:rFonts w:ascii="Times New Roman" w:hAnsi="Times New Roman" w:cs="Times New Roman"/>
              </w:rPr>
              <w:t>87744</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49</w:t>
            </w:r>
            <w:r w:rsidR="00E870E2">
              <w:rPr>
                <w:rFonts w:ascii="Times New Roman" w:hAnsi="Times New Roman" w:cs="Times New Roman"/>
              </w:rPr>
              <w:t>,</w:t>
            </w:r>
            <w:r w:rsidRPr="00586953">
              <w:rPr>
                <w:rFonts w:ascii="Times New Roman" w:hAnsi="Times New Roman" w:cs="Times New Roman"/>
              </w:rPr>
              <w:t>12256</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6</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086876</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47</w:t>
            </w:r>
            <w:r w:rsidR="00E870E2">
              <w:rPr>
                <w:rFonts w:ascii="Times New Roman" w:hAnsi="Times New Roman" w:cs="Times New Roman"/>
              </w:rPr>
              <w:t>,</w:t>
            </w:r>
            <w:r w:rsidRPr="00586953">
              <w:rPr>
                <w:rFonts w:ascii="Times New Roman" w:hAnsi="Times New Roman" w:cs="Times New Roman"/>
              </w:rPr>
              <w:t>88790</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52</w:t>
            </w:r>
            <w:r w:rsidR="00E870E2">
              <w:rPr>
                <w:rFonts w:ascii="Times New Roman" w:hAnsi="Times New Roman" w:cs="Times New Roman"/>
              </w:rPr>
              <w:t>,</w:t>
            </w:r>
            <w:r w:rsidRPr="00586953">
              <w:rPr>
                <w:rFonts w:ascii="Times New Roman" w:hAnsi="Times New Roman" w:cs="Times New Roman"/>
              </w:rPr>
              <w:t>11210</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7</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089276</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45</w:t>
            </w:r>
            <w:r w:rsidR="00E870E2">
              <w:rPr>
                <w:rFonts w:ascii="Times New Roman" w:hAnsi="Times New Roman" w:cs="Times New Roman"/>
              </w:rPr>
              <w:t>,</w:t>
            </w:r>
            <w:r w:rsidRPr="00586953">
              <w:rPr>
                <w:rFonts w:ascii="Times New Roman" w:hAnsi="Times New Roman" w:cs="Times New Roman"/>
              </w:rPr>
              <w:t>56136</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54</w:t>
            </w:r>
            <w:r w:rsidR="00E870E2">
              <w:rPr>
                <w:rFonts w:ascii="Times New Roman" w:hAnsi="Times New Roman" w:cs="Times New Roman"/>
              </w:rPr>
              <w:t>,</w:t>
            </w:r>
            <w:r w:rsidRPr="00586953">
              <w:rPr>
                <w:rFonts w:ascii="Times New Roman" w:hAnsi="Times New Roman" w:cs="Times New Roman"/>
              </w:rPr>
              <w:t>43864</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8</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091438</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43</w:t>
            </w:r>
            <w:r w:rsidR="00E870E2">
              <w:rPr>
                <w:rFonts w:ascii="Times New Roman" w:hAnsi="Times New Roman" w:cs="Times New Roman"/>
              </w:rPr>
              <w:t>,</w:t>
            </w:r>
            <w:r w:rsidRPr="00586953">
              <w:rPr>
                <w:rFonts w:ascii="Times New Roman" w:hAnsi="Times New Roman" w:cs="Times New Roman"/>
              </w:rPr>
              <w:t>81915</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56</w:t>
            </w:r>
            <w:r w:rsidR="00E870E2">
              <w:rPr>
                <w:rFonts w:ascii="Times New Roman" w:hAnsi="Times New Roman" w:cs="Times New Roman"/>
              </w:rPr>
              <w:t>,</w:t>
            </w:r>
            <w:r w:rsidRPr="00586953">
              <w:rPr>
                <w:rFonts w:ascii="Times New Roman" w:hAnsi="Times New Roman" w:cs="Times New Roman"/>
              </w:rPr>
              <w:t>18085</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9</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093346</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42</w:t>
            </w:r>
            <w:r w:rsidR="00E870E2">
              <w:rPr>
                <w:rFonts w:ascii="Times New Roman" w:hAnsi="Times New Roman" w:cs="Times New Roman"/>
              </w:rPr>
              <w:t>,</w:t>
            </w:r>
            <w:r w:rsidRPr="00586953">
              <w:rPr>
                <w:rFonts w:ascii="Times New Roman" w:hAnsi="Times New Roman" w:cs="Times New Roman"/>
              </w:rPr>
              <w:t>53969</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57</w:t>
            </w:r>
            <w:r w:rsidR="00E870E2">
              <w:rPr>
                <w:rFonts w:ascii="Times New Roman" w:hAnsi="Times New Roman" w:cs="Times New Roman"/>
              </w:rPr>
              <w:t>,</w:t>
            </w:r>
            <w:r w:rsidRPr="00586953">
              <w:rPr>
                <w:rFonts w:ascii="Times New Roman" w:hAnsi="Times New Roman" w:cs="Times New Roman"/>
              </w:rPr>
              <w:t>46031</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10</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095001</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41</w:t>
            </w:r>
            <w:r w:rsidR="00E870E2">
              <w:rPr>
                <w:rFonts w:ascii="Times New Roman" w:hAnsi="Times New Roman" w:cs="Times New Roman"/>
              </w:rPr>
              <w:t>,</w:t>
            </w:r>
            <w:r w:rsidRPr="00586953">
              <w:rPr>
                <w:rFonts w:ascii="Times New Roman" w:hAnsi="Times New Roman" w:cs="Times New Roman"/>
              </w:rPr>
              <w:t>60594</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58</w:t>
            </w:r>
            <w:r w:rsidR="00E870E2">
              <w:rPr>
                <w:rFonts w:ascii="Times New Roman" w:hAnsi="Times New Roman" w:cs="Times New Roman"/>
              </w:rPr>
              <w:t>,</w:t>
            </w:r>
            <w:r w:rsidRPr="00586953">
              <w:rPr>
                <w:rFonts w:ascii="Times New Roman" w:hAnsi="Times New Roman" w:cs="Times New Roman"/>
              </w:rPr>
              <w:t>39406</w:t>
            </w:r>
          </w:p>
        </w:tc>
      </w:tr>
      <w:tr w:rsidR="002836DE" w:rsidRPr="00586953" w:rsidTr="00154B10">
        <w:trPr>
          <w:trHeight w:hRule="exact" w:val="90"/>
          <w:jc w:val="center"/>
        </w:trPr>
        <w:tc>
          <w:tcPr>
            <w:tcW w:w="822"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7"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r>
      <w:tr w:rsidR="002836DE" w:rsidRPr="00586953" w:rsidTr="00154B10">
        <w:trPr>
          <w:trHeight w:hRule="exact" w:val="13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r>
      <w:tr w:rsidR="002836DE" w:rsidRPr="00586953" w:rsidTr="00154B10">
        <w:trPr>
          <w:trHeight w:val="225"/>
          <w:jc w:val="center"/>
        </w:trPr>
        <w:tc>
          <w:tcPr>
            <w:tcW w:w="5075" w:type="dxa"/>
            <w:gridSpan w:val="4"/>
            <w:tcBorders>
              <w:top w:val="nil"/>
              <w:left w:val="nil"/>
              <w:bottom w:val="nil"/>
              <w:right w:val="nil"/>
            </w:tcBorders>
            <w:vAlign w:val="bottom"/>
          </w:tcPr>
          <w:p w:rsidR="002836DE" w:rsidRPr="00586953" w:rsidRDefault="002836DE" w:rsidP="00E17EF4">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w:t>
            </w:r>
            <w:r w:rsidR="00E17EF4" w:rsidRPr="00586953">
              <w:rPr>
                <w:rFonts w:ascii="Times New Roman" w:hAnsi="Times New Roman" w:cs="Times New Roman"/>
              </w:rPr>
              <w:t xml:space="preserve">Ordenamento de </w:t>
            </w:r>
            <w:r w:rsidRPr="00586953">
              <w:rPr>
                <w:rFonts w:ascii="Times New Roman" w:hAnsi="Times New Roman" w:cs="Times New Roman"/>
              </w:rPr>
              <w:t xml:space="preserve">Cholesky: </w:t>
            </w:r>
            <w:r w:rsidR="00E17EF4" w:rsidRPr="00586953">
              <w:rPr>
                <w:rFonts w:ascii="Times New Roman" w:hAnsi="Times New Roman" w:cs="Times New Roman"/>
              </w:rPr>
              <w:t>i/y</w:t>
            </w:r>
            <w:r w:rsidRPr="00586953">
              <w:rPr>
                <w:rFonts w:ascii="Times New Roman" w:hAnsi="Times New Roman" w:cs="Times New Roman"/>
              </w:rPr>
              <w:t xml:space="preserve"> </w:t>
            </w:r>
            <w:r w:rsidR="00E17EF4" w:rsidRPr="00586953">
              <w:rPr>
                <w:rFonts w:ascii="Times New Roman" w:hAnsi="Times New Roman" w:cs="Times New Roman"/>
              </w:rPr>
              <w:t>s/y</w:t>
            </w:r>
          </w:p>
        </w:tc>
      </w:tr>
      <w:tr w:rsidR="002836DE" w:rsidRPr="00586953" w:rsidTr="00154B10">
        <w:trPr>
          <w:trHeight w:hRule="exact" w:val="90"/>
          <w:jc w:val="center"/>
        </w:trPr>
        <w:tc>
          <w:tcPr>
            <w:tcW w:w="822" w:type="dxa"/>
            <w:tcBorders>
              <w:top w:val="nil"/>
              <w:left w:val="nil"/>
              <w:bottom w:val="double" w:sz="6" w:space="0"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0"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7" w:type="dxa"/>
            <w:tcBorders>
              <w:top w:val="nil"/>
              <w:left w:val="nil"/>
              <w:bottom w:val="double" w:sz="6" w:space="0"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0"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r>
      <w:tr w:rsidR="002836DE" w:rsidRPr="00586953" w:rsidTr="00154B10">
        <w:trPr>
          <w:trHeight w:hRule="exact" w:val="135"/>
          <w:jc w:val="center"/>
        </w:trPr>
        <w:tc>
          <w:tcPr>
            <w:tcW w:w="822" w:type="dxa"/>
            <w:tcBorders>
              <w:top w:val="nil"/>
              <w:left w:val="nil"/>
              <w:bottom w:val="nil"/>
              <w:right w:val="nil"/>
            </w:tcBorders>
            <w:vAlign w:val="bottom"/>
          </w:tcPr>
          <w:p w:rsidR="002836DE" w:rsidRPr="00586953" w:rsidRDefault="002836DE" w:rsidP="00AD2648">
            <w:pPr>
              <w:autoSpaceDE w:val="0"/>
              <w:autoSpaceDN w:val="0"/>
              <w:adjustRightInd w:val="0"/>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AD2648">
            <w:pPr>
              <w:autoSpaceDE w:val="0"/>
              <w:autoSpaceDN w:val="0"/>
              <w:adjustRightInd w:val="0"/>
              <w:jc w:val="both"/>
              <w:rPr>
                <w:rFonts w:ascii="Times New Roman" w:hAnsi="Times New Roman" w:cs="Times New Roman"/>
              </w:rPr>
            </w:pPr>
          </w:p>
        </w:tc>
        <w:tc>
          <w:tcPr>
            <w:tcW w:w="1417" w:type="dxa"/>
            <w:tcBorders>
              <w:top w:val="nil"/>
              <w:left w:val="nil"/>
              <w:bottom w:val="nil"/>
              <w:right w:val="nil"/>
            </w:tcBorders>
            <w:vAlign w:val="bottom"/>
          </w:tcPr>
          <w:p w:rsidR="002836DE" w:rsidRPr="00586953" w:rsidRDefault="002836DE" w:rsidP="00AD2648">
            <w:pPr>
              <w:autoSpaceDE w:val="0"/>
              <w:autoSpaceDN w:val="0"/>
              <w:adjustRightInd w:val="0"/>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AD2648">
            <w:pPr>
              <w:autoSpaceDE w:val="0"/>
              <w:autoSpaceDN w:val="0"/>
              <w:adjustRightInd w:val="0"/>
              <w:jc w:val="both"/>
              <w:rPr>
                <w:rFonts w:ascii="Times New Roman" w:hAnsi="Times New Roman" w:cs="Times New Roman"/>
              </w:rPr>
            </w:pPr>
          </w:p>
        </w:tc>
      </w:tr>
    </w:tbl>
    <w:p w:rsidR="00DB728A" w:rsidRPr="00586953" w:rsidRDefault="00E17EF4" w:rsidP="00AD2648">
      <w:pPr>
        <w:tabs>
          <w:tab w:val="left" w:pos="8080"/>
        </w:tabs>
        <w:ind w:right="991"/>
        <w:jc w:val="both"/>
        <w:rPr>
          <w:rFonts w:ascii="Times New Roman" w:hAnsi="Times New Roman" w:cs="Times New Roman"/>
          <w:sz w:val="20"/>
          <w:szCs w:val="20"/>
        </w:rPr>
      </w:pPr>
      <w:r w:rsidRPr="00586953">
        <w:rPr>
          <w:rFonts w:ascii="Times New Roman" w:hAnsi="Times New Roman" w:cs="Times New Roman"/>
          <w:sz w:val="20"/>
          <w:szCs w:val="20"/>
        </w:rPr>
        <w:t xml:space="preserve">                          </w:t>
      </w:r>
      <w:r w:rsidR="00F36789">
        <w:rPr>
          <w:rFonts w:ascii="Times New Roman" w:hAnsi="Times New Roman" w:cs="Times New Roman"/>
          <w:sz w:val="20"/>
          <w:szCs w:val="20"/>
        </w:rPr>
        <w:t xml:space="preserve">             </w:t>
      </w:r>
      <w:r w:rsidRPr="00586953">
        <w:rPr>
          <w:rFonts w:ascii="Times New Roman" w:hAnsi="Times New Roman" w:cs="Times New Roman"/>
          <w:b/>
          <w:sz w:val="20"/>
          <w:szCs w:val="20"/>
        </w:rPr>
        <w:t>Nota:</w:t>
      </w:r>
      <w:r w:rsidRPr="00586953">
        <w:rPr>
          <w:rFonts w:ascii="Times New Roman" w:hAnsi="Times New Roman" w:cs="Times New Roman"/>
          <w:sz w:val="20"/>
          <w:szCs w:val="20"/>
        </w:rPr>
        <w:t xml:space="preserve"> elaboração</w:t>
      </w:r>
      <w:r w:rsidR="002116A6">
        <w:rPr>
          <w:rFonts w:ascii="Times New Roman" w:hAnsi="Times New Roman" w:cs="Times New Roman"/>
          <w:sz w:val="20"/>
          <w:szCs w:val="20"/>
        </w:rPr>
        <w:t xml:space="preserve"> própria</w:t>
      </w:r>
      <w:r w:rsidR="00F36789">
        <w:rPr>
          <w:rFonts w:ascii="Times New Roman" w:hAnsi="Times New Roman" w:cs="Times New Roman"/>
          <w:sz w:val="20"/>
          <w:szCs w:val="20"/>
        </w:rPr>
        <w:t>. “S.E.” significa erro-padrão (</w:t>
      </w:r>
      <w:r w:rsidR="00F36789" w:rsidRPr="00F02817">
        <w:rPr>
          <w:rFonts w:ascii="Times New Roman" w:hAnsi="Times New Roman" w:cs="Times New Roman"/>
          <w:i/>
          <w:sz w:val="20"/>
          <w:szCs w:val="20"/>
        </w:rPr>
        <w:t>standard error</w:t>
      </w:r>
      <w:r w:rsidR="00F36789">
        <w:rPr>
          <w:rFonts w:ascii="Times New Roman" w:hAnsi="Times New Roman" w:cs="Times New Roman"/>
          <w:sz w:val="20"/>
          <w:szCs w:val="20"/>
        </w:rPr>
        <w:t>)</w:t>
      </w:r>
    </w:p>
    <w:p w:rsidR="004B3779" w:rsidRDefault="004B3779" w:rsidP="004B377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Note que, decorridos 10 trimestres, a trajetória da razão investimento/PIB é afetada pelo seu próprio comportamento (88,37%). Dito de outro modo, variações na razão poupança/PIB explicariam apenas 11,63% da variabilidade da razão investimento/PIB.</w:t>
      </w:r>
    </w:p>
    <w:p w:rsidR="004B3779" w:rsidRPr="00586953" w:rsidRDefault="004B3779" w:rsidP="004B377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Por outro lado, decorridos 10 trimestres, 58.39% da variabilidade</w:t>
      </w:r>
      <w:r w:rsidRPr="00586953">
        <w:rPr>
          <w:rFonts w:ascii="Times New Roman" w:hAnsi="Times New Roman" w:cs="Times New Roman"/>
          <w:sz w:val="24"/>
          <w:szCs w:val="24"/>
        </w:rPr>
        <w:t xml:space="preserve"> da</w:t>
      </w:r>
      <w:r>
        <w:rPr>
          <w:rFonts w:ascii="Times New Roman" w:hAnsi="Times New Roman" w:cs="Times New Roman"/>
          <w:sz w:val="24"/>
          <w:szCs w:val="24"/>
        </w:rPr>
        <w:t xml:space="preserve"> razão</w:t>
      </w:r>
      <w:r w:rsidRPr="00586953">
        <w:rPr>
          <w:rFonts w:ascii="Times New Roman" w:hAnsi="Times New Roman" w:cs="Times New Roman"/>
          <w:sz w:val="24"/>
          <w:szCs w:val="24"/>
        </w:rPr>
        <w:t xml:space="preserve"> poupança</w:t>
      </w:r>
      <w:r>
        <w:rPr>
          <w:rFonts w:ascii="Times New Roman" w:hAnsi="Times New Roman" w:cs="Times New Roman"/>
          <w:sz w:val="24"/>
          <w:szCs w:val="24"/>
        </w:rPr>
        <w:t>/PIB é explicada por ela mesma, ao passo que o restante 41,61% de sua variabilidade seria explicado pelo comportamento da razão investimento/PIB. Portanto, os resultados indicam maior dependência da taxa de poupança em relação à taxa de investimento, do que o contrário.</w:t>
      </w:r>
    </w:p>
    <w:p w:rsidR="004B3779" w:rsidRPr="00586953" w:rsidRDefault="004B3779" w:rsidP="00AD2648">
      <w:pPr>
        <w:tabs>
          <w:tab w:val="left" w:pos="8080"/>
        </w:tabs>
        <w:ind w:right="991"/>
        <w:jc w:val="both"/>
        <w:rPr>
          <w:rFonts w:ascii="Times New Roman" w:hAnsi="Times New Roman" w:cs="Times New Roman"/>
          <w:sz w:val="20"/>
          <w:szCs w:val="20"/>
        </w:rPr>
      </w:pPr>
    </w:p>
    <w:p w:rsidR="00127DC3" w:rsidRPr="00586953" w:rsidRDefault="00FE4276" w:rsidP="0097252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7</w:t>
      </w:r>
      <w:r w:rsidR="00127DC3" w:rsidRPr="00586953">
        <w:rPr>
          <w:rFonts w:ascii="Times New Roman" w:hAnsi="Times New Roman" w:cs="Times New Roman"/>
          <w:b/>
          <w:sz w:val="24"/>
          <w:szCs w:val="24"/>
        </w:rPr>
        <w:t>.</w:t>
      </w:r>
      <w:r w:rsidR="00B522BC" w:rsidRPr="00586953">
        <w:rPr>
          <w:rFonts w:ascii="Times New Roman" w:hAnsi="Times New Roman" w:cs="Times New Roman"/>
          <w:b/>
          <w:sz w:val="24"/>
          <w:szCs w:val="24"/>
        </w:rPr>
        <w:t xml:space="preserve"> </w:t>
      </w:r>
      <w:r w:rsidR="00127DC3" w:rsidRPr="00586953">
        <w:rPr>
          <w:rFonts w:ascii="Times New Roman" w:hAnsi="Times New Roman" w:cs="Times New Roman"/>
          <w:b/>
          <w:sz w:val="24"/>
          <w:szCs w:val="24"/>
        </w:rPr>
        <w:t>Conclusão</w:t>
      </w:r>
    </w:p>
    <w:p w:rsidR="00855C66" w:rsidRDefault="00855C66" w:rsidP="0097252F">
      <w:pPr>
        <w:spacing w:after="0" w:line="360" w:lineRule="auto"/>
        <w:jc w:val="both"/>
        <w:rPr>
          <w:rFonts w:ascii="Times New Roman" w:hAnsi="Times New Roman" w:cs="Times New Roman"/>
          <w:b/>
          <w:sz w:val="24"/>
          <w:szCs w:val="24"/>
        </w:rPr>
      </w:pPr>
    </w:p>
    <w:p w:rsidR="00A84932" w:rsidRDefault="00A84932" w:rsidP="004B377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Uma ampla literatura teórica e empírica tem se dedicado a investigar a relação de causalidade entre poupança e investimento em nações industrializadas, assim como em países em desenvolvimento, uma vez que se tratam de duas variáveis macroeconômicas importantes na determinação do crescimento econômico </w:t>
      </w:r>
      <w:r w:rsidR="00400FF9">
        <w:rPr>
          <w:rFonts w:ascii="Times New Roman" w:hAnsi="Times New Roman" w:cs="Times New Roman"/>
          <w:sz w:val="24"/>
          <w:szCs w:val="24"/>
        </w:rPr>
        <w:t xml:space="preserve">e o desenvolvimento </w:t>
      </w:r>
      <w:r>
        <w:rPr>
          <w:rFonts w:ascii="Times New Roman" w:hAnsi="Times New Roman" w:cs="Times New Roman"/>
          <w:sz w:val="24"/>
          <w:szCs w:val="24"/>
        </w:rPr>
        <w:t xml:space="preserve">de uma nação. Enquanto que, no campo teórico, o exista um conflito entre teoria keynesiana (heterodoxia) e os postulados neoclássicos (ortodoxia), evidências empíricas tem trazidos resultados importantes sobre a validade do enigma de Feldstein-Horioka. </w:t>
      </w:r>
    </w:p>
    <w:p w:rsidR="00A32536" w:rsidRDefault="00A32536" w:rsidP="00A3253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Sob o aspecto teórico, os postulados neoclássicos indicam que uma aumento da poupança levaria a uma redução na taxa de juros, incentivando os investidores a demandarem mais fundos disponíveis e, portanto, resultaria em um aumento dos investimentos. Contudo, a teoria keynesiana argumenta que um aumento no investimento leva a um aumento no produto e na renda da economia que, por sua vez, aumentaria a poupança.</w:t>
      </w:r>
    </w:p>
    <w:p w:rsidR="00E71669" w:rsidRDefault="00A32536" w:rsidP="004B377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Sob o aspecto empírico, </w:t>
      </w:r>
      <w:r w:rsidR="00E71669">
        <w:rPr>
          <w:rFonts w:ascii="Times New Roman" w:hAnsi="Times New Roman" w:cs="Times New Roman"/>
          <w:sz w:val="24"/>
          <w:szCs w:val="24"/>
        </w:rPr>
        <w:t>Feldstein-Horioka (1980) encontraram um alto coeficiente de correlação entre poupança e investimento domésticos nos países da OCDE no período de 1960-1974,</w:t>
      </w:r>
      <w:r>
        <w:rPr>
          <w:rFonts w:ascii="Times New Roman" w:hAnsi="Times New Roman" w:cs="Times New Roman"/>
          <w:sz w:val="24"/>
          <w:szCs w:val="24"/>
        </w:rPr>
        <w:t xml:space="preserve"> </w:t>
      </w:r>
      <w:r w:rsidR="00E71669">
        <w:rPr>
          <w:rFonts w:ascii="Times New Roman" w:hAnsi="Times New Roman" w:cs="Times New Roman"/>
          <w:sz w:val="24"/>
          <w:szCs w:val="24"/>
        </w:rPr>
        <w:t>tornando-se, assim, um enigma em busca de uma explicação, uma vez que, em um mundo com crescente mobilidade de capitais entre nações, seria de se esperar que o investimento</w:t>
      </w:r>
      <w:r>
        <w:rPr>
          <w:rFonts w:ascii="Times New Roman" w:hAnsi="Times New Roman" w:cs="Times New Roman"/>
          <w:sz w:val="24"/>
          <w:szCs w:val="24"/>
        </w:rPr>
        <w:t xml:space="preserve"> doméstico estaria desconectado da poupança doméstica de uma nação. </w:t>
      </w:r>
    </w:p>
    <w:p w:rsidR="000A1E55" w:rsidRDefault="000A1E55" w:rsidP="004B377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Conforme argumentou Sachsida (1999), “(...) em um ambiente com baixa mobilidade de capitais – uma economia fechada, como exemplo extremo - , toda poupança interna seria canalizada para o financiamento do investimento doméstico. No entanto em uma economia com alta mobilidade de capitais, os fluxos de poupança doméstica se destinariam às melhores oportunidades de investimento mundo afora. Da mesma forma, uma boa oportunidade doméstica de investimento poderia ser financiada por poupança externa. Desse modo, em uma </w:t>
      </w:r>
      <w:r>
        <w:rPr>
          <w:rFonts w:ascii="Times New Roman" w:hAnsi="Times New Roman" w:cs="Times New Roman"/>
          <w:sz w:val="24"/>
          <w:szCs w:val="24"/>
        </w:rPr>
        <w:lastRenderedPageBreak/>
        <w:t>economia com alta mobilidade de capitais, a correlação entre poupança doméstica e investimento interno seria baixa. Em outras palavras, o local de realização do investimento não seria necessariamente o mesmo da poupança que o originou”.</w:t>
      </w:r>
    </w:p>
    <w:p w:rsidR="00A84932" w:rsidRDefault="000A1E55" w:rsidP="004B377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w:t>
      </w:r>
      <w:r w:rsidR="00A84932">
        <w:rPr>
          <w:rFonts w:ascii="Times New Roman" w:hAnsi="Times New Roman" w:cs="Times New Roman"/>
          <w:sz w:val="24"/>
          <w:szCs w:val="24"/>
        </w:rPr>
        <w:t>m diversas nações em desenvolvimento, a poupança possui um efeito defasado na demanda por investimento necessária para o desenvolvimento econômico acelerado, surgindo, assim, um hiato. Contudo, a mobilidade de capitais entre países tende a preencher esse hiato entre poupança e investimento. Mas o estudo de Feldstein-Horioka sobre poupança e investimento nos países da OCDE indicou a existência de uma mobilidade de capital limitada entre as nações. Desde então, diversos estud</w:t>
      </w:r>
      <w:r w:rsidR="00756685">
        <w:rPr>
          <w:rFonts w:ascii="Times New Roman" w:hAnsi="Times New Roman" w:cs="Times New Roman"/>
          <w:sz w:val="24"/>
          <w:szCs w:val="24"/>
        </w:rPr>
        <w:t>os tem oferecido explicações alternativas sobre a relação de causalidade entre poupança e investimento, bem como sobre a relação dessas duas variáveis com a mobilidade de capitais (AFZAL, 2007).</w:t>
      </w:r>
    </w:p>
    <w:p w:rsidR="004B3779" w:rsidRDefault="004B3779" w:rsidP="004B3779">
      <w:pPr>
        <w:spacing w:after="0" w:line="360" w:lineRule="auto"/>
        <w:ind w:firstLine="709"/>
        <w:jc w:val="both"/>
        <w:rPr>
          <w:rFonts w:ascii="Times New Roman" w:hAnsi="Times New Roman" w:cs="Times New Roman"/>
          <w:color w:val="FF0000"/>
          <w:sz w:val="24"/>
          <w:szCs w:val="24"/>
        </w:rPr>
      </w:pPr>
      <w:r w:rsidRPr="00E332D8">
        <w:rPr>
          <w:rFonts w:ascii="Times New Roman" w:hAnsi="Times New Roman" w:cs="Times New Roman"/>
          <w:sz w:val="24"/>
          <w:szCs w:val="24"/>
        </w:rPr>
        <w:t xml:space="preserve">Esse estudo </w:t>
      </w:r>
      <w:r>
        <w:rPr>
          <w:rFonts w:ascii="Times New Roman" w:hAnsi="Times New Roman" w:cs="Times New Roman"/>
          <w:sz w:val="24"/>
          <w:szCs w:val="24"/>
        </w:rPr>
        <w:t>investigou</w:t>
      </w:r>
      <w:r w:rsidRPr="00E332D8">
        <w:rPr>
          <w:rFonts w:ascii="Times New Roman" w:hAnsi="Times New Roman" w:cs="Times New Roman"/>
          <w:sz w:val="24"/>
          <w:szCs w:val="24"/>
        </w:rPr>
        <w:t xml:space="preserve"> a relação entre poupança e investimento no Brasil durante o período 1995 a 2012. Os resultados obtidos de um modelo VAR</w:t>
      </w:r>
      <w:r>
        <w:rPr>
          <w:rFonts w:ascii="Times New Roman" w:hAnsi="Times New Roman" w:cs="Times New Roman"/>
          <w:sz w:val="24"/>
          <w:szCs w:val="24"/>
        </w:rPr>
        <w:t xml:space="preserve"> com quebras estruturais</w:t>
      </w:r>
      <w:r w:rsidRPr="00E332D8">
        <w:rPr>
          <w:rFonts w:ascii="Times New Roman" w:hAnsi="Times New Roman" w:cs="Times New Roman"/>
          <w:sz w:val="24"/>
          <w:szCs w:val="24"/>
        </w:rPr>
        <w:t xml:space="preserve"> indicam relação de bicausalidade de Granger, sugerindo </w:t>
      </w:r>
      <w:r>
        <w:rPr>
          <w:rFonts w:ascii="Times New Roman" w:hAnsi="Times New Roman" w:cs="Times New Roman"/>
          <w:sz w:val="24"/>
          <w:szCs w:val="24"/>
        </w:rPr>
        <w:t xml:space="preserve">não apenas </w:t>
      </w:r>
      <w:r w:rsidRPr="00E332D8">
        <w:rPr>
          <w:rFonts w:ascii="Times New Roman" w:hAnsi="Times New Roman" w:cs="Times New Roman"/>
          <w:sz w:val="24"/>
          <w:szCs w:val="24"/>
        </w:rPr>
        <w:t xml:space="preserve">que as decisões de política econômica </w:t>
      </w:r>
      <w:r>
        <w:rPr>
          <w:rFonts w:ascii="Times New Roman" w:hAnsi="Times New Roman" w:cs="Times New Roman"/>
          <w:sz w:val="24"/>
          <w:szCs w:val="24"/>
        </w:rPr>
        <w:t>sobre</w:t>
      </w:r>
      <w:r w:rsidRPr="00E332D8">
        <w:rPr>
          <w:rFonts w:ascii="Times New Roman" w:hAnsi="Times New Roman" w:cs="Times New Roman"/>
          <w:sz w:val="24"/>
          <w:szCs w:val="24"/>
        </w:rPr>
        <w:t xml:space="preserve"> essas duas variáveis devem ser tomadas conjuntamente</w:t>
      </w:r>
      <w:r>
        <w:rPr>
          <w:rFonts w:ascii="Times New Roman" w:hAnsi="Times New Roman" w:cs="Times New Roman"/>
          <w:sz w:val="24"/>
          <w:szCs w:val="24"/>
        </w:rPr>
        <w:t>, como também evidências da validade do enigma de Feldstein-Horioka</w:t>
      </w:r>
      <w:r w:rsidRPr="00E332D8">
        <w:rPr>
          <w:rFonts w:ascii="Times New Roman" w:hAnsi="Times New Roman" w:cs="Times New Roman"/>
          <w:sz w:val="24"/>
          <w:szCs w:val="24"/>
        </w:rPr>
        <w:t>.</w:t>
      </w:r>
      <w:r>
        <w:rPr>
          <w:rFonts w:ascii="Times New Roman" w:hAnsi="Times New Roman" w:cs="Times New Roman"/>
          <w:sz w:val="24"/>
          <w:szCs w:val="24"/>
        </w:rPr>
        <w:t xml:space="preserve"> Além disso, observa-se que a resposta da taxa de poupança a um choque inesperado na taxa de investimento é mais significativa ao longo dos períodos, assim como maior dependência da taxa de poupança em relação à taxa de investimento.</w:t>
      </w:r>
      <w:r w:rsidRPr="006A504B">
        <w:rPr>
          <w:rFonts w:ascii="Times New Roman" w:hAnsi="Times New Roman" w:cs="Times New Roman"/>
          <w:color w:val="FF0000"/>
          <w:sz w:val="24"/>
          <w:szCs w:val="24"/>
        </w:rPr>
        <w:t xml:space="preserve"> </w:t>
      </w:r>
    </w:p>
    <w:p w:rsidR="000A1E55" w:rsidRDefault="00682A0A" w:rsidP="004B3779">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 enigma de Feldstein-Horioka ainda continua sendo tema não consensual na literatura empírica sobre o caso brasileiro. Apesar de este estudo trazer novas evidências sobre </w:t>
      </w:r>
      <w:r w:rsidR="006B598C">
        <w:rPr>
          <w:rFonts w:ascii="Times New Roman" w:hAnsi="Times New Roman" w:cs="Times New Roman"/>
          <w:color w:val="000000" w:themeColor="text1"/>
          <w:sz w:val="24"/>
          <w:szCs w:val="24"/>
        </w:rPr>
        <w:t>esse assunto</w:t>
      </w:r>
      <w:r>
        <w:rPr>
          <w:rFonts w:ascii="Times New Roman" w:hAnsi="Times New Roman" w:cs="Times New Roman"/>
          <w:color w:val="000000" w:themeColor="text1"/>
          <w:sz w:val="24"/>
          <w:szCs w:val="24"/>
        </w:rPr>
        <w:t xml:space="preserve">, é importante sugerir que, em pesquisas futuras, </w:t>
      </w:r>
      <w:r w:rsidR="000A1E55">
        <w:rPr>
          <w:rFonts w:ascii="Times New Roman" w:hAnsi="Times New Roman" w:cs="Times New Roman"/>
          <w:color w:val="000000" w:themeColor="text1"/>
          <w:sz w:val="24"/>
          <w:szCs w:val="24"/>
        </w:rPr>
        <w:t xml:space="preserve">a agenda de pesquisa </w:t>
      </w:r>
      <w:r w:rsidR="006B598C">
        <w:rPr>
          <w:rFonts w:ascii="Times New Roman" w:hAnsi="Times New Roman" w:cs="Times New Roman"/>
          <w:color w:val="000000" w:themeColor="text1"/>
          <w:sz w:val="24"/>
          <w:szCs w:val="24"/>
        </w:rPr>
        <w:t xml:space="preserve">proponha que se </w:t>
      </w:r>
      <w:r w:rsidR="000A1E55">
        <w:rPr>
          <w:rFonts w:ascii="Times New Roman" w:hAnsi="Times New Roman" w:cs="Times New Roman"/>
          <w:color w:val="000000" w:themeColor="text1"/>
          <w:sz w:val="24"/>
          <w:szCs w:val="24"/>
        </w:rPr>
        <w:t>investigue</w:t>
      </w:r>
      <w:r w:rsidR="006B598C">
        <w:rPr>
          <w:rFonts w:ascii="Times New Roman" w:hAnsi="Times New Roman" w:cs="Times New Roman"/>
          <w:color w:val="000000" w:themeColor="text1"/>
          <w:sz w:val="24"/>
          <w:szCs w:val="24"/>
        </w:rPr>
        <w:t xml:space="preserve"> outros canais de transmissão que possam explicar o enigma de Feldstein-Horioka para o caso brasileiro,</w:t>
      </w:r>
      <w:r w:rsidR="000A1E55">
        <w:rPr>
          <w:rFonts w:ascii="Times New Roman" w:hAnsi="Times New Roman" w:cs="Times New Roman"/>
          <w:color w:val="000000" w:themeColor="text1"/>
          <w:sz w:val="24"/>
          <w:szCs w:val="24"/>
        </w:rPr>
        <w:t xml:space="preserve"> </w:t>
      </w:r>
      <w:r w:rsidR="006B598C">
        <w:rPr>
          <w:rFonts w:ascii="Times New Roman" w:hAnsi="Times New Roman" w:cs="Times New Roman"/>
          <w:color w:val="000000" w:themeColor="text1"/>
          <w:sz w:val="24"/>
          <w:szCs w:val="24"/>
        </w:rPr>
        <w:t xml:space="preserve">por exemplo, </w:t>
      </w:r>
      <w:r w:rsidR="000A1E55">
        <w:rPr>
          <w:rFonts w:ascii="Times New Roman" w:hAnsi="Times New Roman" w:cs="Times New Roman"/>
          <w:color w:val="000000" w:themeColor="text1"/>
          <w:sz w:val="24"/>
          <w:szCs w:val="24"/>
        </w:rPr>
        <w:t xml:space="preserve">o grau de abertura com o mercado internacional, assim como o regime cambial </w:t>
      </w:r>
      <w:r w:rsidR="006B598C">
        <w:rPr>
          <w:rFonts w:ascii="Times New Roman" w:hAnsi="Times New Roman" w:cs="Times New Roman"/>
          <w:color w:val="000000" w:themeColor="text1"/>
          <w:sz w:val="24"/>
          <w:szCs w:val="24"/>
        </w:rPr>
        <w:t>e o comportamento do saldo em conta corrente do balanço de pagamentos.</w:t>
      </w:r>
    </w:p>
    <w:p w:rsidR="00B6220F" w:rsidRDefault="00B6220F" w:rsidP="0097252F">
      <w:pPr>
        <w:autoSpaceDE w:val="0"/>
        <w:autoSpaceDN w:val="0"/>
        <w:adjustRightInd w:val="0"/>
        <w:spacing w:after="0" w:line="360" w:lineRule="auto"/>
        <w:jc w:val="both"/>
        <w:rPr>
          <w:rFonts w:ascii="Times New Roman" w:hAnsi="Times New Roman" w:cs="Times New Roman"/>
          <w:b/>
          <w:sz w:val="24"/>
          <w:szCs w:val="24"/>
        </w:rPr>
      </w:pPr>
    </w:p>
    <w:p w:rsidR="00B6220F" w:rsidRDefault="00127DC3" w:rsidP="00B6220F">
      <w:pPr>
        <w:autoSpaceDE w:val="0"/>
        <w:autoSpaceDN w:val="0"/>
        <w:adjustRightInd w:val="0"/>
        <w:spacing w:after="0" w:line="360" w:lineRule="auto"/>
        <w:jc w:val="both"/>
        <w:rPr>
          <w:rFonts w:ascii="Times New Roman" w:hAnsi="Times New Roman" w:cs="Times New Roman"/>
          <w:b/>
          <w:sz w:val="24"/>
          <w:szCs w:val="24"/>
          <w:lang w:val="en-US"/>
        </w:rPr>
      </w:pPr>
      <w:r w:rsidRPr="00586953">
        <w:rPr>
          <w:rFonts w:ascii="Times New Roman" w:hAnsi="Times New Roman" w:cs="Times New Roman"/>
          <w:b/>
          <w:sz w:val="24"/>
          <w:szCs w:val="24"/>
          <w:lang w:val="en-US"/>
        </w:rPr>
        <w:t xml:space="preserve">Referências </w:t>
      </w:r>
    </w:p>
    <w:p w:rsidR="00B6220F" w:rsidRDefault="00B6220F" w:rsidP="00B6220F">
      <w:pPr>
        <w:autoSpaceDE w:val="0"/>
        <w:autoSpaceDN w:val="0"/>
        <w:adjustRightInd w:val="0"/>
        <w:spacing w:after="0" w:line="360" w:lineRule="auto"/>
        <w:jc w:val="both"/>
        <w:rPr>
          <w:rFonts w:ascii="Times New Roman" w:hAnsi="Times New Roman" w:cs="Times New Roman"/>
          <w:b/>
          <w:sz w:val="24"/>
          <w:szCs w:val="24"/>
          <w:lang w:val="en-US"/>
        </w:rPr>
      </w:pPr>
    </w:p>
    <w:p w:rsidR="00B6220F" w:rsidRPr="001F6B5F" w:rsidRDefault="00E96976" w:rsidP="00B6220F">
      <w:pPr>
        <w:autoSpaceDE w:val="0"/>
        <w:autoSpaceDN w:val="0"/>
        <w:adjustRightInd w:val="0"/>
        <w:spacing w:after="0" w:line="360" w:lineRule="auto"/>
        <w:jc w:val="both"/>
        <w:rPr>
          <w:rFonts w:ascii="Times New Roman" w:hAnsi="Times New Roman" w:cs="Times New Roman"/>
          <w:sz w:val="24"/>
          <w:szCs w:val="24"/>
          <w:lang w:val="en-US"/>
        </w:rPr>
      </w:pPr>
      <w:r w:rsidRPr="001F6B5F">
        <w:rPr>
          <w:rFonts w:ascii="Times New Roman" w:hAnsi="Times New Roman" w:cs="Times New Roman"/>
          <w:sz w:val="24"/>
          <w:szCs w:val="24"/>
          <w:lang w:val="en-US"/>
        </w:rPr>
        <w:t>AFZAL, M. Savings and investment in developing countries: Granger causality test. The Philippine review of economics</w:t>
      </w:r>
      <w:r w:rsidR="003E0504" w:rsidRPr="001F6B5F">
        <w:rPr>
          <w:rFonts w:ascii="Times New Roman" w:hAnsi="Times New Roman" w:cs="Times New Roman"/>
          <w:sz w:val="24"/>
          <w:szCs w:val="24"/>
          <w:lang w:val="en-US"/>
        </w:rPr>
        <w:t>, v</w:t>
      </w:r>
      <w:r w:rsidR="007571C7" w:rsidRPr="001F6B5F">
        <w:rPr>
          <w:rFonts w:ascii="Times New Roman" w:hAnsi="Times New Roman" w:cs="Times New Roman"/>
          <w:sz w:val="24"/>
          <w:szCs w:val="24"/>
          <w:lang w:val="en-US"/>
        </w:rPr>
        <w:t xml:space="preserve">. 44, n. 2, p. 99-110, </w:t>
      </w:r>
      <w:r w:rsidR="003E0504" w:rsidRPr="001F6B5F">
        <w:rPr>
          <w:rFonts w:ascii="Times New Roman" w:hAnsi="Times New Roman" w:cs="Times New Roman"/>
          <w:sz w:val="24"/>
          <w:szCs w:val="24"/>
          <w:lang w:val="en-US"/>
        </w:rPr>
        <w:t>2007.</w:t>
      </w:r>
    </w:p>
    <w:p w:rsidR="00B6220F" w:rsidRDefault="00B6220F" w:rsidP="00B6220F">
      <w:pPr>
        <w:autoSpaceDE w:val="0"/>
        <w:autoSpaceDN w:val="0"/>
        <w:adjustRightInd w:val="0"/>
        <w:spacing w:after="0" w:line="360" w:lineRule="auto"/>
        <w:jc w:val="both"/>
        <w:rPr>
          <w:rFonts w:ascii="Times New Roman" w:hAnsi="Times New Roman" w:cs="Times New Roman"/>
          <w:lang w:val="en-US"/>
        </w:rPr>
      </w:pPr>
    </w:p>
    <w:p w:rsidR="00E96976" w:rsidRPr="00762292" w:rsidRDefault="00E96976" w:rsidP="00B6220F">
      <w:pPr>
        <w:autoSpaceDE w:val="0"/>
        <w:autoSpaceDN w:val="0"/>
        <w:adjustRightInd w:val="0"/>
        <w:spacing w:after="0" w:line="360" w:lineRule="auto"/>
        <w:jc w:val="both"/>
        <w:rPr>
          <w:rFonts w:ascii="Times New Roman" w:hAnsi="Times New Roman" w:cs="Times New Roman"/>
          <w:sz w:val="24"/>
          <w:szCs w:val="24"/>
          <w:lang w:val="en-US"/>
        </w:rPr>
      </w:pPr>
      <w:r w:rsidRPr="00762292">
        <w:rPr>
          <w:rFonts w:ascii="Times New Roman" w:hAnsi="Times New Roman" w:cs="Times New Roman"/>
          <w:sz w:val="24"/>
          <w:szCs w:val="24"/>
          <w:lang w:val="en-US"/>
        </w:rPr>
        <w:lastRenderedPageBreak/>
        <w:t>ALEXIOUS, C. An Econometric Investigation into the Macroeconomic Relationship between Investment and Savin</w:t>
      </w:r>
      <w:r w:rsidR="007571C7" w:rsidRPr="00762292">
        <w:rPr>
          <w:rFonts w:ascii="Times New Roman" w:hAnsi="Times New Roman" w:cs="Times New Roman"/>
          <w:sz w:val="24"/>
          <w:szCs w:val="24"/>
          <w:lang w:val="en-US"/>
        </w:rPr>
        <w:t>g: Evidence from the EU Region.</w:t>
      </w:r>
      <w:r w:rsidRPr="00762292">
        <w:rPr>
          <w:rFonts w:ascii="Times New Roman" w:hAnsi="Times New Roman" w:cs="Times New Roman"/>
          <w:sz w:val="24"/>
          <w:szCs w:val="24"/>
          <w:lang w:val="en-US"/>
        </w:rPr>
        <w:t xml:space="preserve"> International Review of Applied Economics, </w:t>
      </w:r>
      <w:r w:rsidR="007571C7" w:rsidRPr="00762292">
        <w:rPr>
          <w:rFonts w:ascii="Times New Roman" w:hAnsi="Times New Roman" w:cs="Times New Roman"/>
          <w:sz w:val="24"/>
          <w:szCs w:val="24"/>
          <w:lang w:val="en-US"/>
        </w:rPr>
        <w:t xml:space="preserve">v. </w:t>
      </w:r>
      <w:r w:rsidRPr="00762292">
        <w:rPr>
          <w:rFonts w:ascii="Times New Roman" w:hAnsi="Times New Roman" w:cs="Times New Roman"/>
          <w:sz w:val="24"/>
          <w:szCs w:val="24"/>
          <w:lang w:val="en-US"/>
        </w:rPr>
        <w:t>18</w:t>
      </w:r>
      <w:r w:rsidR="007571C7" w:rsidRPr="00762292">
        <w:rPr>
          <w:rFonts w:ascii="Times New Roman" w:hAnsi="Times New Roman" w:cs="Times New Roman"/>
          <w:sz w:val="24"/>
          <w:szCs w:val="24"/>
          <w:lang w:val="en-US"/>
        </w:rPr>
        <w:t>,</w:t>
      </w:r>
      <w:r w:rsidRPr="00762292">
        <w:rPr>
          <w:rFonts w:ascii="Times New Roman" w:hAnsi="Times New Roman" w:cs="Times New Roman"/>
          <w:sz w:val="24"/>
          <w:szCs w:val="24"/>
          <w:lang w:val="en-US"/>
        </w:rPr>
        <w:t xml:space="preserve"> </w:t>
      </w:r>
      <w:r w:rsidR="007571C7" w:rsidRPr="00762292">
        <w:rPr>
          <w:rFonts w:ascii="Times New Roman" w:hAnsi="Times New Roman" w:cs="Times New Roman"/>
          <w:sz w:val="24"/>
          <w:szCs w:val="24"/>
          <w:lang w:val="en-US"/>
        </w:rPr>
        <w:t>n. 1</w:t>
      </w:r>
      <w:r w:rsidRPr="00762292">
        <w:rPr>
          <w:rFonts w:ascii="Times New Roman" w:hAnsi="Times New Roman" w:cs="Times New Roman"/>
          <w:sz w:val="24"/>
          <w:szCs w:val="24"/>
          <w:lang w:val="en-US"/>
        </w:rPr>
        <w:t>,</w:t>
      </w:r>
      <w:r w:rsidR="007571C7" w:rsidRPr="00762292">
        <w:rPr>
          <w:rFonts w:ascii="Times New Roman" w:hAnsi="Times New Roman" w:cs="Times New Roman"/>
          <w:sz w:val="24"/>
          <w:szCs w:val="24"/>
          <w:lang w:val="en-US"/>
        </w:rPr>
        <w:t xml:space="preserve"> p.</w:t>
      </w:r>
      <w:r w:rsidRPr="00762292">
        <w:rPr>
          <w:rFonts w:ascii="Times New Roman" w:hAnsi="Times New Roman" w:cs="Times New Roman"/>
          <w:sz w:val="24"/>
          <w:szCs w:val="24"/>
          <w:lang w:val="en-US"/>
        </w:rPr>
        <w:t xml:space="preserve"> 93-102</w:t>
      </w:r>
      <w:r w:rsidR="007571C7" w:rsidRPr="00762292">
        <w:rPr>
          <w:rFonts w:ascii="Times New Roman" w:hAnsi="Times New Roman" w:cs="Times New Roman"/>
          <w:sz w:val="24"/>
          <w:szCs w:val="24"/>
          <w:lang w:val="en-US"/>
        </w:rPr>
        <w:t>, 2004.</w:t>
      </w:r>
    </w:p>
    <w:p w:rsidR="002116A6" w:rsidRPr="00586953" w:rsidRDefault="002116A6" w:rsidP="00B6220F">
      <w:pPr>
        <w:autoSpaceDE w:val="0"/>
        <w:autoSpaceDN w:val="0"/>
        <w:adjustRightInd w:val="0"/>
        <w:spacing w:after="0" w:line="360" w:lineRule="auto"/>
        <w:jc w:val="both"/>
        <w:rPr>
          <w:rFonts w:ascii="Times New Roman" w:hAnsi="Times New Roman" w:cs="Times New Roman"/>
          <w:b/>
          <w:lang w:val="en-US"/>
        </w:rPr>
      </w:pPr>
    </w:p>
    <w:p w:rsidR="00127DC3" w:rsidRDefault="00E96976" w:rsidP="004B3779">
      <w:pPr>
        <w:pStyle w:val="Ttulo1"/>
        <w:shd w:val="clear" w:color="auto" w:fill="FFFFFF"/>
        <w:contextualSpacing/>
        <w:rPr>
          <w:rFonts w:ascii="Times New Roman" w:hAnsi="Times New Roman" w:cs="Times New Roman"/>
          <w:b w:val="0"/>
          <w:shd w:val="clear" w:color="auto" w:fill="FFFFFF"/>
          <w:lang w:val="en-US"/>
        </w:rPr>
      </w:pPr>
      <w:r w:rsidRPr="00586953">
        <w:rPr>
          <w:rFonts w:ascii="Times New Roman" w:hAnsi="Times New Roman" w:cs="Times New Roman"/>
          <w:b w:val="0"/>
          <w:lang w:val="en-US"/>
        </w:rPr>
        <w:t xml:space="preserve">ANORUO, E. </w:t>
      </w:r>
      <w:r w:rsidRPr="00586953">
        <w:rPr>
          <w:rFonts w:ascii="Times New Roman" w:hAnsi="Times New Roman" w:cs="Times New Roman"/>
          <w:b w:val="0"/>
          <w:kern w:val="36"/>
          <w:lang w:val="en-US"/>
        </w:rPr>
        <w:t>Saving-Investment Connection: Evidence from the Asean Countries</w:t>
      </w:r>
      <w:r w:rsidR="007571C7">
        <w:rPr>
          <w:rFonts w:ascii="Times New Roman" w:hAnsi="Times New Roman" w:cs="Times New Roman"/>
          <w:b w:val="0"/>
          <w:lang w:val="en-US"/>
        </w:rPr>
        <w:t>.</w:t>
      </w:r>
      <w:r w:rsidRPr="00586953">
        <w:rPr>
          <w:rFonts w:ascii="Times New Roman" w:hAnsi="Times New Roman" w:cs="Times New Roman"/>
          <w:b w:val="0"/>
          <w:lang w:val="en-US"/>
        </w:rPr>
        <w:t xml:space="preserve"> </w:t>
      </w:r>
      <w:r w:rsidRPr="00586953">
        <w:rPr>
          <w:rFonts w:ascii="Times New Roman" w:hAnsi="Times New Roman" w:cs="Times New Roman"/>
          <w:b w:val="0"/>
          <w:iCs/>
          <w:bdr w:val="none" w:sz="0" w:space="0" w:color="auto" w:frame="1"/>
          <w:lang w:val="en-US"/>
        </w:rPr>
        <w:t>American Economist</w:t>
      </w:r>
      <w:r w:rsidRPr="00586953">
        <w:rPr>
          <w:rFonts w:ascii="Times New Roman" w:hAnsi="Times New Roman" w:cs="Times New Roman"/>
          <w:b w:val="0"/>
          <w:bdr w:val="none" w:sz="0" w:space="0" w:color="auto" w:frame="1"/>
          <w:lang w:val="en-US"/>
        </w:rPr>
        <w:t xml:space="preserve">, </w:t>
      </w:r>
      <w:r w:rsidR="007571C7">
        <w:rPr>
          <w:rFonts w:ascii="Times New Roman" w:hAnsi="Times New Roman" w:cs="Times New Roman"/>
          <w:b w:val="0"/>
          <w:bdr w:val="none" w:sz="0" w:space="0" w:color="auto" w:frame="1"/>
          <w:lang w:val="en-US"/>
        </w:rPr>
        <w:t xml:space="preserve">v. 45, n. 1, p. </w:t>
      </w:r>
      <w:r w:rsidRPr="00586953">
        <w:rPr>
          <w:rFonts w:ascii="Times New Roman" w:hAnsi="Times New Roman" w:cs="Times New Roman"/>
          <w:b w:val="0"/>
          <w:bdr w:val="none" w:sz="0" w:space="0" w:color="auto" w:frame="1"/>
          <w:lang w:val="en-US"/>
        </w:rPr>
        <w:t>4</w:t>
      </w:r>
      <w:r w:rsidRPr="00586953">
        <w:rPr>
          <w:rFonts w:ascii="Times New Roman" w:hAnsi="Times New Roman" w:cs="Times New Roman"/>
          <w:b w:val="0"/>
          <w:shd w:val="clear" w:color="auto" w:fill="FFFFFF"/>
          <w:lang w:val="en-US"/>
        </w:rPr>
        <w:t>6-53</w:t>
      </w:r>
      <w:r w:rsidR="007571C7">
        <w:rPr>
          <w:rFonts w:ascii="Times New Roman" w:hAnsi="Times New Roman" w:cs="Times New Roman"/>
          <w:b w:val="0"/>
          <w:shd w:val="clear" w:color="auto" w:fill="FFFFFF"/>
          <w:lang w:val="en-US"/>
        </w:rPr>
        <w:t xml:space="preserve">, </w:t>
      </w:r>
      <w:r w:rsidR="007571C7">
        <w:rPr>
          <w:rFonts w:ascii="Times New Roman" w:hAnsi="Times New Roman" w:cs="Times New Roman"/>
          <w:b w:val="0"/>
          <w:lang w:val="en-US"/>
        </w:rPr>
        <w:t>2001.</w:t>
      </w:r>
    </w:p>
    <w:p w:rsidR="00D00DD9" w:rsidRDefault="00D00DD9" w:rsidP="004B3779">
      <w:pPr>
        <w:spacing w:line="360" w:lineRule="auto"/>
        <w:contextualSpacing/>
        <w:jc w:val="both"/>
        <w:rPr>
          <w:lang w:val="en-US"/>
        </w:rPr>
      </w:pPr>
    </w:p>
    <w:p w:rsidR="00D00DD9" w:rsidRDefault="00D00DD9" w:rsidP="004B3779">
      <w:pPr>
        <w:spacing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ARGINON, I.; ROLDAN, J. Saving, investment and international capital mobility in E. C. countries. </w:t>
      </w:r>
      <w:r w:rsidRPr="00DE30D1">
        <w:rPr>
          <w:rFonts w:ascii="Times New Roman" w:hAnsi="Times New Roman" w:cs="Times New Roman"/>
          <w:i/>
          <w:sz w:val="24"/>
          <w:szCs w:val="24"/>
          <w:lang w:val="en-US"/>
        </w:rPr>
        <w:t>European Economic Review</w:t>
      </w:r>
      <w:r>
        <w:rPr>
          <w:rFonts w:ascii="Times New Roman" w:hAnsi="Times New Roman" w:cs="Times New Roman"/>
          <w:sz w:val="24"/>
          <w:szCs w:val="24"/>
          <w:lang w:val="en-US"/>
        </w:rPr>
        <w:t xml:space="preserve">, v. 38, p. </w:t>
      </w:r>
      <w:r w:rsidR="00DE30D1">
        <w:rPr>
          <w:rFonts w:ascii="Times New Roman" w:hAnsi="Times New Roman" w:cs="Times New Roman"/>
          <w:sz w:val="24"/>
          <w:szCs w:val="24"/>
          <w:lang w:val="en-US"/>
        </w:rPr>
        <w:t>59-67, 1994.</w:t>
      </w:r>
    </w:p>
    <w:p w:rsidR="00A67BF0" w:rsidRDefault="00A67BF0" w:rsidP="004B3779">
      <w:pPr>
        <w:spacing w:line="360" w:lineRule="auto"/>
        <w:contextualSpacing/>
        <w:jc w:val="both"/>
        <w:rPr>
          <w:rFonts w:ascii="Times New Roman" w:hAnsi="Times New Roman" w:cs="Times New Roman"/>
          <w:sz w:val="24"/>
          <w:szCs w:val="24"/>
          <w:lang w:val="en-US"/>
        </w:rPr>
      </w:pPr>
    </w:p>
    <w:p w:rsidR="005125E2" w:rsidRDefault="005125E2" w:rsidP="004B3779">
      <w:pPr>
        <w:pStyle w:val="Pr-formataoHTML"/>
        <w:spacing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APERGIS, N.; TSOUMAS, C. </w:t>
      </w:r>
      <w:r w:rsidRPr="003B5620">
        <w:rPr>
          <w:rFonts w:ascii="Times New Roman" w:hAnsi="Times New Roman" w:cs="Times New Roman"/>
          <w:sz w:val="24"/>
          <w:szCs w:val="24"/>
          <w:lang w:val="en-US"/>
        </w:rPr>
        <w:t>The relationship between saving e finance: theory e evidence from E.U. countries</w:t>
      </w:r>
      <w:r>
        <w:rPr>
          <w:rFonts w:ascii="Times New Roman" w:hAnsi="Times New Roman" w:cs="Times New Roman"/>
          <w:sz w:val="24"/>
          <w:szCs w:val="24"/>
          <w:lang w:val="en-US"/>
        </w:rPr>
        <w:t>. Research in Economics. Elsevier, v. 51, n.</w:t>
      </w:r>
      <w:r w:rsidR="00FF57F4">
        <w:rPr>
          <w:rFonts w:ascii="Times New Roman" w:hAnsi="Times New Roman" w:cs="Times New Roman"/>
          <w:sz w:val="24"/>
          <w:szCs w:val="24"/>
          <w:lang w:val="en-US"/>
        </w:rPr>
        <w:t xml:space="preserve"> </w:t>
      </w:r>
      <w:r>
        <w:rPr>
          <w:rFonts w:ascii="Times New Roman" w:hAnsi="Times New Roman" w:cs="Times New Roman"/>
          <w:sz w:val="24"/>
          <w:szCs w:val="24"/>
          <w:lang w:val="en-US"/>
        </w:rPr>
        <w:t>4, p. 333-358, 1997.</w:t>
      </w:r>
    </w:p>
    <w:p w:rsidR="00FF57F4" w:rsidRPr="003B5620" w:rsidRDefault="00FF57F4" w:rsidP="004B3779">
      <w:pPr>
        <w:pStyle w:val="Pr-formataoHTML"/>
        <w:spacing w:line="360" w:lineRule="auto"/>
        <w:contextualSpacing/>
        <w:jc w:val="both"/>
        <w:rPr>
          <w:rFonts w:ascii="Times New Roman" w:hAnsi="Times New Roman" w:cs="Times New Roman"/>
          <w:sz w:val="24"/>
          <w:szCs w:val="24"/>
          <w:lang w:val="en-US"/>
        </w:rPr>
      </w:pPr>
    </w:p>
    <w:p w:rsidR="005125E2" w:rsidRPr="00FF57F4" w:rsidRDefault="005125E2" w:rsidP="004B3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APERGIS, N.; TSOUMAS, C. </w:t>
      </w:r>
      <w:r w:rsidRPr="003B5620">
        <w:rPr>
          <w:rFonts w:ascii="Times New Roman" w:eastAsia="Times New Roman" w:hAnsi="Times New Roman" w:cs="Times New Roman"/>
          <w:sz w:val="24"/>
          <w:szCs w:val="24"/>
          <w:lang w:val="en-US"/>
        </w:rPr>
        <w:t>A survey of the Feldstein-Horioka puzzle: What has been done e where we st</w:t>
      </w:r>
      <w:r>
        <w:rPr>
          <w:rFonts w:ascii="Times New Roman" w:eastAsia="Times New Roman" w:hAnsi="Times New Roman" w:cs="Times New Roman"/>
          <w:sz w:val="24"/>
          <w:szCs w:val="24"/>
          <w:lang w:val="en-US"/>
        </w:rPr>
        <w:t>and</w:t>
      </w:r>
      <w:r w:rsidRPr="003B5620">
        <w:rPr>
          <w:rFonts w:ascii="Times New Roman" w:eastAsia="Times New Roman" w:hAnsi="Times New Roman" w:cs="Times New Roman"/>
          <w:sz w:val="24"/>
          <w:szCs w:val="24"/>
          <w:lang w:val="en-US"/>
        </w:rPr>
        <w:t>. Research in Economics</w:t>
      </w:r>
      <w:r>
        <w:rPr>
          <w:rFonts w:ascii="Times New Roman" w:eastAsia="Times New Roman" w:hAnsi="Times New Roman" w:cs="Times New Roman"/>
          <w:sz w:val="24"/>
          <w:szCs w:val="24"/>
          <w:lang w:val="en-US"/>
        </w:rPr>
        <w:t>.</w:t>
      </w:r>
      <w:r w:rsidRPr="003B5620">
        <w:rPr>
          <w:rFonts w:ascii="Times New Roman" w:eastAsia="Times New Roman" w:hAnsi="Times New Roman" w:cs="Times New Roman"/>
          <w:sz w:val="24"/>
          <w:szCs w:val="24"/>
          <w:lang w:val="en-US"/>
        </w:rPr>
        <w:t xml:space="preserve"> El</w:t>
      </w:r>
      <w:r>
        <w:rPr>
          <w:rFonts w:ascii="Times New Roman" w:eastAsia="Times New Roman" w:hAnsi="Times New Roman" w:cs="Times New Roman"/>
          <w:sz w:val="24"/>
          <w:szCs w:val="24"/>
          <w:lang w:val="en-US"/>
        </w:rPr>
        <w:t>sevier, v. 63, n.</w:t>
      </w:r>
      <w:r w:rsidR="00FF57F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2, p. 64-76, 2009.</w:t>
      </w:r>
    </w:p>
    <w:p w:rsidR="00DE30D1" w:rsidRPr="00D00DD9" w:rsidRDefault="00DE30D1" w:rsidP="004B3779">
      <w:pPr>
        <w:spacing w:line="360" w:lineRule="auto"/>
        <w:contextualSpacing/>
        <w:jc w:val="both"/>
        <w:rPr>
          <w:rFonts w:ascii="Times New Roman" w:hAnsi="Times New Roman" w:cs="Times New Roman"/>
          <w:sz w:val="24"/>
          <w:szCs w:val="24"/>
          <w:lang w:val="en-US"/>
        </w:rPr>
      </w:pPr>
    </w:p>
    <w:p w:rsidR="00D00DD9" w:rsidRDefault="00D00DD9" w:rsidP="004B3779">
      <w:pPr>
        <w:spacing w:line="360" w:lineRule="auto"/>
        <w:contextualSpacing/>
        <w:jc w:val="both"/>
        <w:rPr>
          <w:rFonts w:ascii="Times New Roman" w:hAnsi="Times New Roman" w:cs="Times New Roman"/>
          <w:sz w:val="24"/>
          <w:szCs w:val="24"/>
          <w:lang w:val="en-US"/>
        </w:rPr>
      </w:pPr>
      <w:r w:rsidRPr="00D00DD9">
        <w:rPr>
          <w:rFonts w:ascii="Times New Roman" w:hAnsi="Times New Roman" w:cs="Times New Roman"/>
          <w:sz w:val="24"/>
          <w:szCs w:val="24"/>
          <w:lang w:val="en-US"/>
        </w:rPr>
        <w:t>BA</w:t>
      </w:r>
      <w:r>
        <w:rPr>
          <w:rFonts w:ascii="Times New Roman" w:hAnsi="Times New Roman" w:cs="Times New Roman"/>
          <w:sz w:val="24"/>
          <w:szCs w:val="24"/>
          <w:lang w:val="en-US"/>
        </w:rPr>
        <w:t xml:space="preserve">YOUMI, T. Saving-investment correlations: immobile capital, government policy, or endogenous behavior? </w:t>
      </w:r>
      <w:r w:rsidRPr="00D00DD9">
        <w:rPr>
          <w:rFonts w:ascii="Times New Roman" w:hAnsi="Times New Roman" w:cs="Times New Roman"/>
          <w:i/>
          <w:sz w:val="24"/>
          <w:szCs w:val="24"/>
          <w:lang w:val="en-US"/>
        </w:rPr>
        <w:t>International Monetary Fund Staff Papers</w:t>
      </w:r>
      <w:r>
        <w:rPr>
          <w:rFonts w:ascii="Times New Roman" w:hAnsi="Times New Roman" w:cs="Times New Roman"/>
          <w:sz w:val="24"/>
          <w:szCs w:val="24"/>
          <w:lang w:val="en-US"/>
        </w:rPr>
        <w:t>, v. 37, p. 360-387, 1990.</w:t>
      </w:r>
    </w:p>
    <w:p w:rsidR="004B3779" w:rsidRPr="00D00DD9" w:rsidRDefault="004B3779" w:rsidP="004B3779">
      <w:pPr>
        <w:spacing w:line="360" w:lineRule="auto"/>
        <w:contextualSpacing/>
        <w:jc w:val="both"/>
        <w:rPr>
          <w:rFonts w:ascii="Times New Roman" w:hAnsi="Times New Roman" w:cs="Times New Roman"/>
          <w:sz w:val="24"/>
          <w:szCs w:val="24"/>
          <w:lang w:val="en-US"/>
        </w:rPr>
      </w:pPr>
    </w:p>
    <w:p w:rsidR="00966799" w:rsidRPr="006E66D0" w:rsidRDefault="00966799" w:rsidP="004B3779">
      <w:pPr>
        <w:pStyle w:val="Pr-formataoHTML"/>
        <w:spacing w:line="360" w:lineRule="auto"/>
        <w:contextualSpacing/>
        <w:jc w:val="both"/>
        <w:rPr>
          <w:rFonts w:ascii="Times New Roman" w:hAnsi="Times New Roman" w:cs="Times New Roman"/>
          <w:sz w:val="24"/>
          <w:szCs w:val="24"/>
        </w:rPr>
      </w:pPr>
      <w:r>
        <w:rPr>
          <w:rFonts w:ascii="Times New Roman" w:hAnsi="Times New Roman" w:cs="Times New Roman"/>
          <w:sz w:val="24"/>
          <w:szCs w:val="24"/>
          <w:lang w:val="en-US"/>
        </w:rPr>
        <w:t>BANGAKE, C.;</w:t>
      </w:r>
      <w:r w:rsidRPr="003B5620">
        <w:rPr>
          <w:rFonts w:ascii="Times New Roman" w:hAnsi="Times New Roman" w:cs="Times New Roman"/>
          <w:sz w:val="24"/>
          <w:szCs w:val="24"/>
          <w:lang w:val="en-US"/>
        </w:rPr>
        <w:t xml:space="preserve"> EGGOH, </w:t>
      </w:r>
      <w:r>
        <w:rPr>
          <w:rFonts w:ascii="Times New Roman" w:hAnsi="Times New Roman" w:cs="Times New Roman"/>
          <w:sz w:val="24"/>
          <w:szCs w:val="24"/>
          <w:lang w:val="en-US"/>
        </w:rPr>
        <w:t xml:space="preserve">J. </w:t>
      </w:r>
      <w:r w:rsidRPr="003B5620">
        <w:rPr>
          <w:rFonts w:ascii="Times New Roman" w:hAnsi="Times New Roman" w:cs="Times New Roman"/>
          <w:sz w:val="24"/>
          <w:szCs w:val="24"/>
          <w:lang w:val="en-US"/>
        </w:rPr>
        <w:t xml:space="preserve">The Feldstein-Horioka puzzle in African countries: A panel cointegration analysis. </w:t>
      </w:r>
      <w:r w:rsidRPr="006E66D0">
        <w:rPr>
          <w:rFonts w:ascii="Times New Roman" w:hAnsi="Times New Roman" w:cs="Times New Roman"/>
          <w:sz w:val="24"/>
          <w:szCs w:val="24"/>
        </w:rPr>
        <w:t>Economic Modelling, Elsevier, v. 28, n.</w:t>
      </w:r>
      <w:r w:rsidR="00FF57F4" w:rsidRPr="006E66D0">
        <w:rPr>
          <w:rFonts w:ascii="Times New Roman" w:hAnsi="Times New Roman" w:cs="Times New Roman"/>
          <w:sz w:val="24"/>
          <w:szCs w:val="24"/>
        </w:rPr>
        <w:t xml:space="preserve"> </w:t>
      </w:r>
      <w:r w:rsidRPr="006E66D0">
        <w:rPr>
          <w:rFonts w:ascii="Times New Roman" w:hAnsi="Times New Roman" w:cs="Times New Roman"/>
          <w:sz w:val="24"/>
          <w:szCs w:val="24"/>
        </w:rPr>
        <w:t>3, p. 939-947, 2011.</w:t>
      </w:r>
    </w:p>
    <w:p w:rsidR="002B09CC" w:rsidRPr="006E66D0" w:rsidRDefault="002B09CC" w:rsidP="004B3779">
      <w:pPr>
        <w:pStyle w:val="Pr-formataoHTML"/>
        <w:spacing w:line="360" w:lineRule="auto"/>
        <w:contextualSpacing/>
        <w:jc w:val="both"/>
        <w:rPr>
          <w:rFonts w:ascii="Times New Roman" w:hAnsi="Times New Roman" w:cs="Times New Roman"/>
          <w:sz w:val="24"/>
          <w:szCs w:val="24"/>
        </w:rPr>
      </w:pPr>
    </w:p>
    <w:p w:rsidR="002B09CC" w:rsidRPr="006E66D0" w:rsidRDefault="002B09CC" w:rsidP="004B3779">
      <w:pPr>
        <w:pStyle w:val="Pr-formataoHTML"/>
        <w:spacing w:line="360" w:lineRule="auto"/>
        <w:contextualSpacing/>
        <w:jc w:val="both"/>
        <w:rPr>
          <w:rFonts w:ascii="Times New Roman" w:hAnsi="Times New Roman" w:cs="Times New Roman"/>
          <w:sz w:val="24"/>
          <w:szCs w:val="24"/>
        </w:rPr>
      </w:pPr>
      <w:r w:rsidRPr="006E66D0">
        <w:rPr>
          <w:rFonts w:ascii="Times New Roman" w:hAnsi="Times New Roman" w:cs="Times New Roman"/>
          <w:sz w:val="24"/>
          <w:szCs w:val="24"/>
        </w:rPr>
        <w:t xml:space="preserve">BASÍLIO, F. Neoclássicos versus keynesianos e a crise. </w:t>
      </w:r>
      <w:r w:rsidRPr="006E66D0">
        <w:rPr>
          <w:rFonts w:ascii="Times New Roman" w:hAnsi="Times New Roman" w:cs="Times New Roman"/>
          <w:i/>
          <w:sz w:val="24"/>
          <w:szCs w:val="24"/>
        </w:rPr>
        <w:t>Valor Econômico</w:t>
      </w:r>
      <w:r w:rsidRPr="006E66D0">
        <w:rPr>
          <w:rFonts w:ascii="Times New Roman" w:hAnsi="Times New Roman" w:cs="Times New Roman"/>
          <w:sz w:val="24"/>
          <w:szCs w:val="24"/>
        </w:rPr>
        <w:t>, São Paulo, 26 dez. 2008.</w:t>
      </w:r>
    </w:p>
    <w:p w:rsidR="00966799" w:rsidRPr="006E66D0" w:rsidRDefault="00966799" w:rsidP="004B3779">
      <w:pPr>
        <w:spacing w:after="0" w:line="360" w:lineRule="auto"/>
        <w:contextualSpacing/>
        <w:jc w:val="both"/>
        <w:rPr>
          <w:rFonts w:ascii="Times New Roman" w:hAnsi="Times New Roman" w:cs="Times New Roman"/>
          <w:sz w:val="24"/>
          <w:szCs w:val="24"/>
        </w:rPr>
      </w:pPr>
    </w:p>
    <w:p w:rsidR="009C7B56" w:rsidRDefault="009C7B56" w:rsidP="004B3779">
      <w:pPr>
        <w:spacing w:after="0" w:line="360" w:lineRule="auto"/>
        <w:contextualSpacing/>
        <w:jc w:val="both"/>
        <w:rPr>
          <w:rFonts w:ascii="Times New Roman" w:hAnsi="Times New Roman" w:cs="Times New Roman"/>
          <w:sz w:val="24"/>
          <w:szCs w:val="24"/>
          <w:lang w:val="en-US"/>
        </w:rPr>
      </w:pPr>
      <w:r w:rsidRPr="006E66D0">
        <w:rPr>
          <w:rFonts w:ascii="Times New Roman" w:hAnsi="Times New Roman" w:cs="Times New Roman"/>
          <w:sz w:val="24"/>
          <w:szCs w:val="24"/>
        </w:rPr>
        <w:t>BIAGE, M.; CORREA, V. P.; NEDER, H. D. Risco país, fluxos de capitais e determinação da taxa de juros no Brasil: uma análise de impactos por meio da metodologia VEC.</w:t>
      </w:r>
      <w:r w:rsidR="0069468E" w:rsidRPr="006E66D0">
        <w:rPr>
          <w:rFonts w:ascii="Times New Roman" w:hAnsi="Times New Roman" w:cs="Times New Roman"/>
          <w:sz w:val="24"/>
          <w:szCs w:val="24"/>
        </w:rPr>
        <w:t xml:space="preserve"> </w:t>
      </w:r>
      <w:r w:rsidR="0069468E">
        <w:rPr>
          <w:rFonts w:ascii="Times New Roman" w:hAnsi="Times New Roman" w:cs="Times New Roman"/>
          <w:sz w:val="24"/>
          <w:szCs w:val="24"/>
          <w:lang w:val="en-US"/>
        </w:rPr>
        <w:t>Economia, v. 9, n. 1, p. 63-113, jan./abr. 2008.</w:t>
      </w:r>
    </w:p>
    <w:p w:rsidR="009C7B56" w:rsidRDefault="009C7B56" w:rsidP="004B3779">
      <w:pPr>
        <w:spacing w:after="0" w:line="360" w:lineRule="auto"/>
        <w:contextualSpacing/>
        <w:jc w:val="both"/>
        <w:rPr>
          <w:rFonts w:ascii="Times New Roman" w:hAnsi="Times New Roman" w:cs="Times New Roman"/>
          <w:sz w:val="24"/>
          <w:szCs w:val="24"/>
          <w:lang w:val="en-US"/>
        </w:rPr>
      </w:pPr>
    </w:p>
    <w:p w:rsidR="00D00DD9" w:rsidRDefault="00D00DD9" w:rsidP="004B3779">
      <w:pPr>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DOOLEY, M.; FRANKEL, J.; MATHIESON, D. International capital mobility: what do saving-investment correlations tell us. </w:t>
      </w:r>
      <w:r w:rsidRPr="00D00DD9">
        <w:rPr>
          <w:rFonts w:ascii="Times New Roman" w:hAnsi="Times New Roman" w:cs="Times New Roman"/>
          <w:i/>
          <w:sz w:val="24"/>
          <w:szCs w:val="24"/>
          <w:lang w:val="en-US"/>
        </w:rPr>
        <w:t>International Monetary Fund Staff Papers</w:t>
      </w:r>
      <w:r>
        <w:rPr>
          <w:rFonts w:ascii="Times New Roman" w:hAnsi="Times New Roman" w:cs="Times New Roman"/>
          <w:sz w:val="24"/>
          <w:szCs w:val="24"/>
          <w:lang w:val="en-US"/>
        </w:rPr>
        <w:t>, v. 34, p. 503-530, 1987.</w:t>
      </w:r>
    </w:p>
    <w:p w:rsidR="00D00DD9" w:rsidRDefault="00D00DD9" w:rsidP="004B3779">
      <w:pPr>
        <w:spacing w:after="0" w:line="360" w:lineRule="auto"/>
        <w:contextualSpacing/>
        <w:jc w:val="both"/>
        <w:rPr>
          <w:rFonts w:ascii="Times New Roman" w:hAnsi="Times New Roman" w:cs="Times New Roman"/>
          <w:sz w:val="24"/>
          <w:szCs w:val="24"/>
          <w:lang w:val="en-US"/>
        </w:rPr>
      </w:pPr>
    </w:p>
    <w:p w:rsidR="00E332D8" w:rsidRPr="00586953" w:rsidRDefault="00E332D8" w:rsidP="004B3779">
      <w:pPr>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ENDERS, W. Applied econometric time series – third edition. </w:t>
      </w:r>
      <w:smartTag w:uri="urn:schemas-microsoft-com:office:smarttags" w:element="place">
        <w:smartTag w:uri="urn:schemas-microsoft-com:office:smarttags" w:element="State">
          <w:r w:rsidR="001024FB" w:rsidRPr="001024FB">
            <w:rPr>
              <w:rFonts w:ascii="Times New Roman" w:hAnsi="Times New Roman" w:cs="Times New Roman"/>
              <w:sz w:val="24"/>
              <w:szCs w:val="24"/>
              <w:lang w:val="en-US"/>
            </w:rPr>
            <w:t>New York</w:t>
          </w:r>
        </w:smartTag>
      </w:smartTag>
      <w:r w:rsidR="001024FB" w:rsidRPr="001024FB">
        <w:rPr>
          <w:rFonts w:ascii="Times New Roman" w:hAnsi="Times New Roman" w:cs="Times New Roman"/>
          <w:sz w:val="24"/>
          <w:szCs w:val="24"/>
          <w:lang w:val="en-US"/>
        </w:rPr>
        <w:t>: Wiley series in probability and mathematical statistics</w:t>
      </w:r>
      <w:r>
        <w:rPr>
          <w:rFonts w:ascii="Times New Roman" w:hAnsi="Times New Roman" w:cs="Times New Roman"/>
          <w:sz w:val="24"/>
          <w:szCs w:val="24"/>
          <w:lang w:val="en-US"/>
        </w:rPr>
        <w:t>, 2010.</w:t>
      </w:r>
    </w:p>
    <w:p w:rsidR="001024FB" w:rsidRDefault="001024FB" w:rsidP="004B3779">
      <w:pPr>
        <w:spacing w:after="0" w:line="360" w:lineRule="auto"/>
        <w:contextualSpacing/>
        <w:jc w:val="both"/>
        <w:rPr>
          <w:rFonts w:ascii="Times New Roman" w:hAnsi="Times New Roman" w:cs="Times New Roman"/>
          <w:sz w:val="24"/>
          <w:szCs w:val="24"/>
          <w:lang w:val="en-US"/>
        </w:rPr>
      </w:pPr>
    </w:p>
    <w:p w:rsidR="00181966" w:rsidRDefault="00181966" w:rsidP="004B3779">
      <w:pPr>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ESSO, L. J.; KEHO, Y. The savings-investment relationship: cointegration and causality – Evidence from UEMOA countries. </w:t>
      </w:r>
      <w:r w:rsidRPr="00181966">
        <w:rPr>
          <w:rFonts w:ascii="Times New Roman" w:hAnsi="Times New Roman" w:cs="Times New Roman"/>
          <w:i/>
          <w:sz w:val="24"/>
          <w:szCs w:val="24"/>
          <w:lang w:val="en-US"/>
        </w:rPr>
        <w:t>International Journal of Economics and Finance</w:t>
      </w:r>
      <w:r>
        <w:rPr>
          <w:rFonts w:ascii="Times New Roman" w:hAnsi="Times New Roman" w:cs="Times New Roman"/>
          <w:sz w:val="24"/>
          <w:szCs w:val="24"/>
          <w:lang w:val="en-US"/>
        </w:rPr>
        <w:t>, v. 2, n. 1, 2010.</w:t>
      </w:r>
    </w:p>
    <w:p w:rsidR="00181966" w:rsidRDefault="00181966" w:rsidP="004B3779">
      <w:pPr>
        <w:spacing w:after="0" w:line="360" w:lineRule="auto"/>
        <w:contextualSpacing/>
        <w:jc w:val="both"/>
        <w:rPr>
          <w:rFonts w:ascii="Times New Roman" w:hAnsi="Times New Roman" w:cs="Times New Roman"/>
          <w:sz w:val="24"/>
          <w:szCs w:val="24"/>
          <w:lang w:val="en-US"/>
        </w:rPr>
      </w:pPr>
    </w:p>
    <w:p w:rsidR="007571C7" w:rsidRDefault="00E332D8" w:rsidP="004B3779">
      <w:pPr>
        <w:autoSpaceDE w:val="0"/>
        <w:autoSpaceDN w:val="0"/>
        <w:adjustRightInd w:val="0"/>
        <w:spacing w:line="360" w:lineRule="auto"/>
        <w:contextualSpacing/>
        <w:jc w:val="both"/>
        <w:rPr>
          <w:rFonts w:ascii="Times New Roman" w:eastAsia="Calibri" w:hAnsi="Times New Roman" w:cs="Times New Roman"/>
          <w:sz w:val="24"/>
          <w:szCs w:val="24"/>
          <w:lang w:val="en-US"/>
        </w:rPr>
      </w:pPr>
      <w:r w:rsidRPr="008E4301">
        <w:rPr>
          <w:rFonts w:ascii="Times New Roman" w:eastAsia="Calibri" w:hAnsi="Times New Roman" w:cs="Times New Roman"/>
          <w:sz w:val="24"/>
          <w:szCs w:val="24"/>
          <w:lang w:val="en-US"/>
        </w:rPr>
        <w:t xml:space="preserve">EWING, B.T. The response of the default risk premium to macroeconomic shocks. </w:t>
      </w:r>
      <w:r w:rsidRPr="007571C7">
        <w:rPr>
          <w:rFonts w:ascii="Times New Roman" w:eastAsia="Calibri" w:hAnsi="Times New Roman" w:cs="Times New Roman"/>
          <w:i/>
          <w:sz w:val="24"/>
          <w:szCs w:val="24"/>
          <w:lang w:val="en-US"/>
        </w:rPr>
        <w:t>The Quarterly Review of Economics and Financ</w:t>
      </w:r>
      <w:r w:rsidRPr="007571C7">
        <w:rPr>
          <w:rFonts w:ascii="Times New Roman" w:eastAsia="Calibri" w:hAnsi="Times New Roman" w:cs="Times New Roman"/>
          <w:sz w:val="24"/>
          <w:szCs w:val="24"/>
          <w:lang w:val="en-US"/>
        </w:rPr>
        <w:t>e, v. 43, p. 261-272, 2003.</w:t>
      </w:r>
    </w:p>
    <w:p w:rsidR="007571C7" w:rsidRPr="007571C7" w:rsidRDefault="007571C7" w:rsidP="004B3779">
      <w:pPr>
        <w:autoSpaceDE w:val="0"/>
        <w:autoSpaceDN w:val="0"/>
        <w:adjustRightInd w:val="0"/>
        <w:spacing w:line="360" w:lineRule="auto"/>
        <w:contextualSpacing/>
        <w:jc w:val="both"/>
        <w:rPr>
          <w:rFonts w:ascii="Times New Roman" w:eastAsia="Calibri" w:hAnsi="Times New Roman" w:cs="Times New Roman"/>
          <w:sz w:val="24"/>
          <w:szCs w:val="24"/>
          <w:lang w:val="en-US"/>
        </w:rPr>
      </w:pPr>
    </w:p>
    <w:p w:rsidR="00FF57F4" w:rsidRDefault="00D00DD9" w:rsidP="004B3779">
      <w:pPr>
        <w:autoSpaceDE w:val="0"/>
        <w:autoSpaceDN w:val="0"/>
        <w:adjustRightInd w:val="0"/>
        <w:spacing w:line="360" w:lineRule="auto"/>
        <w:contextualSpacing/>
        <w:jc w:val="both"/>
        <w:rPr>
          <w:rFonts w:ascii="Times New Roman" w:eastAsia="Calibri" w:hAnsi="Times New Roman" w:cs="Times New Roman"/>
          <w:sz w:val="24"/>
          <w:szCs w:val="24"/>
          <w:lang w:val="en-US"/>
        </w:rPr>
      </w:pPr>
      <w:r w:rsidRPr="007571C7">
        <w:rPr>
          <w:rFonts w:ascii="Times New Roman" w:eastAsia="Calibri" w:hAnsi="Times New Roman" w:cs="Times New Roman"/>
          <w:sz w:val="24"/>
          <w:szCs w:val="24"/>
          <w:lang w:val="en-US"/>
        </w:rPr>
        <w:t xml:space="preserve">FELDSTEIN, M.; HORIOKA, C. Domestic saving and international capital flows. </w:t>
      </w:r>
      <w:r w:rsidRPr="007571C7">
        <w:rPr>
          <w:rFonts w:ascii="Times New Roman" w:eastAsia="Calibri" w:hAnsi="Times New Roman" w:cs="Times New Roman"/>
          <w:i/>
          <w:sz w:val="24"/>
          <w:szCs w:val="24"/>
          <w:lang w:val="en-US"/>
        </w:rPr>
        <w:t>Economic Journal</w:t>
      </w:r>
      <w:r w:rsidR="0021764B">
        <w:rPr>
          <w:rFonts w:ascii="Times New Roman" w:eastAsia="Calibri" w:hAnsi="Times New Roman" w:cs="Times New Roman"/>
          <w:sz w:val="24"/>
          <w:szCs w:val="24"/>
          <w:lang w:val="en-US"/>
        </w:rPr>
        <w:t>, v. 90, p. 314-329, 1980.</w:t>
      </w:r>
    </w:p>
    <w:p w:rsidR="00E06DD2" w:rsidRDefault="00E06DD2"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p>
    <w:p w:rsidR="00AC7054" w:rsidRPr="00D50EB5" w:rsidRDefault="00AC7054"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FELDSTEIN, M. </w:t>
      </w:r>
      <w:r w:rsidRPr="003B5620">
        <w:rPr>
          <w:rFonts w:ascii="Times New Roman" w:hAnsi="Times New Roman" w:cs="Times New Roman"/>
          <w:color w:val="000000"/>
          <w:sz w:val="24"/>
          <w:szCs w:val="24"/>
          <w:lang w:val="en-US"/>
        </w:rPr>
        <w:t>Domestic Saving e International Capital Movements in the Long Run e</w:t>
      </w:r>
      <w:r>
        <w:rPr>
          <w:rFonts w:ascii="Times New Roman" w:hAnsi="Times New Roman" w:cs="Times New Roman"/>
          <w:color w:val="000000"/>
          <w:sz w:val="24"/>
          <w:szCs w:val="24"/>
          <w:lang w:val="en-US"/>
        </w:rPr>
        <w:t xml:space="preserve"> in the Short Run</w:t>
      </w:r>
      <w:r w:rsidRPr="003B5620">
        <w:rPr>
          <w:rFonts w:ascii="Times New Roman" w:hAnsi="Times New Roman" w:cs="Times New Roman"/>
          <w:color w:val="000000"/>
          <w:sz w:val="24"/>
          <w:szCs w:val="24"/>
          <w:lang w:val="en-US"/>
        </w:rPr>
        <w:t xml:space="preserve">. </w:t>
      </w:r>
      <w:r w:rsidRPr="003B5620">
        <w:rPr>
          <w:rFonts w:ascii="Times New Roman" w:hAnsi="Times New Roman" w:cs="Times New Roman"/>
          <w:i/>
          <w:iCs/>
          <w:color w:val="000000"/>
          <w:sz w:val="24"/>
          <w:szCs w:val="24"/>
          <w:lang w:val="en-US"/>
        </w:rPr>
        <w:t xml:space="preserve">European Economic </w:t>
      </w:r>
      <w:r w:rsidRPr="00D50EB5">
        <w:rPr>
          <w:rFonts w:ascii="Times New Roman" w:hAnsi="Times New Roman" w:cs="Times New Roman"/>
          <w:i/>
          <w:iCs/>
          <w:color w:val="000000"/>
          <w:sz w:val="24"/>
          <w:szCs w:val="24"/>
          <w:lang w:val="en-US"/>
        </w:rPr>
        <w:t>Review</w:t>
      </w:r>
      <w:r>
        <w:rPr>
          <w:rFonts w:ascii="Times New Roman" w:hAnsi="Times New Roman" w:cs="Times New Roman"/>
          <w:color w:val="000000"/>
          <w:sz w:val="24"/>
          <w:szCs w:val="24"/>
          <w:lang w:val="en-US"/>
        </w:rPr>
        <w:t>,</w:t>
      </w:r>
      <w:r w:rsidRPr="00D50EB5">
        <w:rPr>
          <w:rFonts w:ascii="Times New Roman" w:hAnsi="Times New Roman" w:cs="Times New Roman"/>
          <w:color w:val="000000"/>
          <w:sz w:val="24"/>
          <w:szCs w:val="24"/>
          <w:lang w:val="en-US"/>
        </w:rPr>
        <w:t xml:space="preserve"> </w:t>
      </w:r>
      <w:r w:rsidRPr="00D50EB5">
        <w:rPr>
          <w:rFonts w:ascii="Times New Roman" w:hAnsi="Times New Roman" w:cs="Times New Roman"/>
          <w:sz w:val="24"/>
          <w:szCs w:val="24"/>
          <w:lang w:val="en-US"/>
        </w:rPr>
        <w:t xml:space="preserve">Elsevier, </w:t>
      </w:r>
      <w:r>
        <w:rPr>
          <w:rFonts w:ascii="Times New Roman" w:hAnsi="Times New Roman" w:cs="Times New Roman"/>
          <w:sz w:val="24"/>
          <w:szCs w:val="24"/>
          <w:lang w:val="en-US"/>
        </w:rPr>
        <w:t>v. 21, n.1-2, p.</w:t>
      </w:r>
      <w:r w:rsidRPr="00D50EB5">
        <w:rPr>
          <w:rFonts w:ascii="Times New Roman" w:hAnsi="Times New Roman" w:cs="Times New Roman"/>
          <w:sz w:val="24"/>
          <w:szCs w:val="24"/>
          <w:lang w:val="en-US"/>
        </w:rPr>
        <w:t xml:space="preserve"> </w:t>
      </w:r>
      <w:r>
        <w:rPr>
          <w:rFonts w:ascii="Times New Roman" w:hAnsi="Times New Roman" w:cs="Times New Roman"/>
          <w:color w:val="000000"/>
          <w:sz w:val="24"/>
          <w:szCs w:val="24"/>
          <w:lang w:val="en-US"/>
        </w:rPr>
        <w:t>129-151, 1983.</w:t>
      </w:r>
    </w:p>
    <w:p w:rsidR="00FF57F4" w:rsidRPr="003B5620" w:rsidRDefault="00FF57F4"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p>
    <w:p w:rsidR="00AC7054" w:rsidRDefault="00AC7054"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FELDSTEIN, M.; BACCHETTA, P. </w:t>
      </w:r>
      <w:r w:rsidRPr="003B5620">
        <w:rPr>
          <w:rFonts w:ascii="Times New Roman" w:hAnsi="Times New Roman" w:cs="Times New Roman"/>
          <w:color w:val="000000"/>
          <w:sz w:val="24"/>
          <w:szCs w:val="24"/>
          <w:lang w:val="en-US"/>
        </w:rPr>
        <w:t>National Saving e</w:t>
      </w:r>
      <w:r>
        <w:rPr>
          <w:rFonts w:ascii="Times New Roman" w:hAnsi="Times New Roman" w:cs="Times New Roman"/>
          <w:color w:val="000000"/>
          <w:sz w:val="24"/>
          <w:szCs w:val="24"/>
          <w:lang w:val="en-US"/>
        </w:rPr>
        <w:t xml:space="preserve"> International Investment</w:t>
      </w:r>
      <w:r w:rsidRPr="003B5620">
        <w:rPr>
          <w:rFonts w:ascii="Times New Roman" w:hAnsi="Times New Roman" w:cs="Times New Roman"/>
          <w:color w:val="000000"/>
          <w:sz w:val="24"/>
          <w:szCs w:val="24"/>
          <w:lang w:val="en-US"/>
        </w:rPr>
        <w:t xml:space="preserve">. In </w:t>
      </w:r>
      <w:r w:rsidRPr="003B5620">
        <w:rPr>
          <w:rFonts w:ascii="Times New Roman" w:hAnsi="Times New Roman" w:cs="Times New Roman"/>
          <w:i/>
          <w:iCs/>
          <w:color w:val="000000"/>
          <w:sz w:val="24"/>
          <w:szCs w:val="24"/>
          <w:lang w:val="en-US"/>
        </w:rPr>
        <w:t>National Saving e Economic Performance</w:t>
      </w:r>
      <w:r w:rsidRPr="003B5620">
        <w:rPr>
          <w:rFonts w:ascii="Times New Roman" w:hAnsi="Times New Roman" w:cs="Times New Roman"/>
          <w:color w:val="000000"/>
          <w:sz w:val="24"/>
          <w:szCs w:val="24"/>
          <w:lang w:val="en-US"/>
        </w:rPr>
        <w:t>, edited by D. Bernheim e J. Shoven. Chicago: Unive</w:t>
      </w:r>
      <w:r>
        <w:rPr>
          <w:rFonts w:ascii="Times New Roman" w:hAnsi="Times New Roman" w:cs="Times New Roman"/>
          <w:color w:val="000000"/>
          <w:sz w:val="24"/>
          <w:szCs w:val="24"/>
          <w:lang w:val="en-US"/>
        </w:rPr>
        <w:t xml:space="preserve">rsity of Chicago Press, p. 201-220, </w:t>
      </w:r>
      <w:r w:rsidRPr="003B5620">
        <w:rPr>
          <w:rFonts w:ascii="Times New Roman" w:hAnsi="Times New Roman" w:cs="Times New Roman"/>
          <w:color w:val="000000"/>
          <w:sz w:val="24"/>
          <w:szCs w:val="24"/>
          <w:lang w:val="en-US"/>
        </w:rPr>
        <w:t>1991</w:t>
      </w:r>
      <w:r>
        <w:rPr>
          <w:rFonts w:ascii="Times New Roman" w:hAnsi="Times New Roman" w:cs="Times New Roman"/>
          <w:color w:val="000000"/>
          <w:sz w:val="24"/>
          <w:szCs w:val="24"/>
          <w:lang w:val="en-US"/>
        </w:rPr>
        <w:t>.</w:t>
      </w:r>
    </w:p>
    <w:p w:rsidR="00FF57F4" w:rsidRDefault="00FF57F4"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p>
    <w:p w:rsidR="0021764B" w:rsidRPr="005B5D1B" w:rsidRDefault="00A44C51" w:rsidP="004B3779">
      <w:pPr>
        <w:pStyle w:val="Pr-formataoHTML"/>
        <w:spacing w:line="360" w:lineRule="auto"/>
        <w:contextualSpacing/>
        <w:jc w:val="both"/>
        <w:rPr>
          <w:rFonts w:ascii="Times New Roman" w:hAnsi="Times New Roman" w:cs="Times New Roman"/>
          <w:sz w:val="24"/>
          <w:szCs w:val="24"/>
          <w:lang w:val="en-US"/>
        </w:rPr>
      </w:pPr>
      <w:r w:rsidRPr="00586953">
        <w:rPr>
          <w:rFonts w:ascii="Times New Roman" w:hAnsi="Times New Roman" w:cs="Times New Roman"/>
          <w:sz w:val="24"/>
          <w:szCs w:val="24"/>
          <w:lang w:val="en-US"/>
        </w:rPr>
        <w:t xml:space="preserve">GRANGER, C. </w:t>
      </w:r>
      <w:r w:rsidR="00127DC3" w:rsidRPr="00586953">
        <w:rPr>
          <w:rFonts w:ascii="Times New Roman" w:hAnsi="Times New Roman" w:cs="Times New Roman"/>
          <w:sz w:val="24"/>
          <w:szCs w:val="24"/>
          <w:lang w:val="en-US"/>
        </w:rPr>
        <w:t>Investigating causal relations by econometric m</w:t>
      </w:r>
      <w:r w:rsidRPr="00586953">
        <w:rPr>
          <w:rFonts w:ascii="Times New Roman" w:hAnsi="Times New Roman" w:cs="Times New Roman"/>
          <w:sz w:val="24"/>
          <w:szCs w:val="24"/>
          <w:lang w:val="en-US"/>
        </w:rPr>
        <w:t>odels and cross-spectral models</w:t>
      </w:r>
      <w:r w:rsidR="00127DC3" w:rsidRPr="00586953">
        <w:rPr>
          <w:rFonts w:ascii="Times New Roman" w:hAnsi="Times New Roman" w:cs="Times New Roman"/>
          <w:sz w:val="24"/>
          <w:szCs w:val="24"/>
          <w:lang w:val="en-US"/>
        </w:rPr>
        <w:t xml:space="preserve">. </w:t>
      </w:r>
      <w:r w:rsidR="00127DC3" w:rsidRPr="00AC7054">
        <w:rPr>
          <w:rFonts w:ascii="Times New Roman" w:hAnsi="Times New Roman" w:cs="Times New Roman"/>
          <w:i/>
          <w:sz w:val="24"/>
          <w:szCs w:val="24"/>
          <w:lang w:val="en-US"/>
        </w:rPr>
        <w:t>Econometrica</w:t>
      </w:r>
      <w:r w:rsidR="00127DC3" w:rsidRPr="00AC7054">
        <w:rPr>
          <w:rFonts w:ascii="Times New Roman" w:hAnsi="Times New Roman" w:cs="Times New Roman"/>
          <w:sz w:val="24"/>
          <w:szCs w:val="24"/>
          <w:lang w:val="en-US"/>
        </w:rPr>
        <w:t>, Econometric Society</w:t>
      </w:r>
      <w:r w:rsidR="00127DC3" w:rsidRPr="005B5D1B">
        <w:rPr>
          <w:rFonts w:ascii="Times New Roman" w:hAnsi="Times New Roman" w:cs="Times New Roman"/>
          <w:sz w:val="24"/>
          <w:szCs w:val="24"/>
          <w:lang w:val="en-US"/>
        </w:rPr>
        <w:t xml:space="preserve">, </w:t>
      </w:r>
      <w:r w:rsidRPr="005B5D1B">
        <w:rPr>
          <w:rFonts w:ascii="Times New Roman" w:hAnsi="Times New Roman" w:cs="Times New Roman"/>
          <w:sz w:val="24"/>
          <w:szCs w:val="24"/>
          <w:lang w:val="en-US"/>
        </w:rPr>
        <w:t xml:space="preserve">v. </w:t>
      </w:r>
      <w:r w:rsidR="00127DC3" w:rsidRPr="005B5D1B">
        <w:rPr>
          <w:rFonts w:ascii="Times New Roman" w:hAnsi="Times New Roman" w:cs="Times New Roman"/>
          <w:sz w:val="24"/>
          <w:szCs w:val="24"/>
          <w:lang w:val="en-US"/>
        </w:rPr>
        <w:t>37</w:t>
      </w:r>
      <w:r w:rsidRPr="005B5D1B">
        <w:rPr>
          <w:rFonts w:ascii="Times New Roman" w:hAnsi="Times New Roman" w:cs="Times New Roman"/>
          <w:sz w:val="24"/>
          <w:szCs w:val="24"/>
          <w:lang w:val="en-US"/>
        </w:rPr>
        <w:t>, n. 3, p. 424-38, 1969.</w:t>
      </w:r>
    </w:p>
    <w:p w:rsidR="00FF57F4" w:rsidRPr="005B5D1B" w:rsidRDefault="00FF57F4" w:rsidP="004B3779">
      <w:pPr>
        <w:pStyle w:val="Pr-formataoHTML"/>
        <w:spacing w:line="360" w:lineRule="auto"/>
        <w:contextualSpacing/>
        <w:jc w:val="both"/>
        <w:rPr>
          <w:rFonts w:ascii="Times New Roman" w:hAnsi="Times New Roman" w:cs="Times New Roman"/>
          <w:sz w:val="24"/>
          <w:szCs w:val="24"/>
          <w:lang w:val="en-US"/>
        </w:rPr>
      </w:pPr>
    </w:p>
    <w:p w:rsidR="00AC7054" w:rsidRPr="003B5620" w:rsidRDefault="00AC7054" w:rsidP="004B3779">
      <w:pPr>
        <w:autoSpaceDE w:val="0"/>
        <w:autoSpaceDN w:val="0"/>
        <w:adjustRightInd w:val="0"/>
        <w:spacing w:after="0" w:line="360" w:lineRule="auto"/>
        <w:contextualSpacing/>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HAAN, J.; SIERMANN, C.L.J. </w:t>
      </w:r>
      <w:r w:rsidRPr="003B5620">
        <w:rPr>
          <w:rFonts w:ascii="Times New Roman" w:hAnsi="Times New Roman" w:cs="Times New Roman"/>
          <w:color w:val="000000"/>
          <w:sz w:val="24"/>
          <w:szCs w:val="24"/>
          <w:lang w:val="en-US"/>
        </w:rPr>
        <w:t xml:space="preserve">Saving, investment </w:t>
      </w:r>
      <w:r>
        <w:rPr>
          <w:rFonts w:ascii="Times New Roman" w:hAnsi="Times New Roman" w:cs="Times New Roman"/>
          <w:color w:val="000000"/>
          <w:sz w:val="24"/>
          <w:szCs w:val="24"/>
          <w:lang w:val="en-US"/>
        </w:rPr>
        <w:t>and</w:t>
      </w:r>
      <w:r w:rsidRPr="003B5620">
        <w:rPr>
          <w:rFonts w:ascii="Times New Roman" w:hAnsi="Times New Roman" w:cs="Times New Roman"/>
          <w:color w:val="000000"/>
          <w:sz w:val="24"/>
          <w:szCs w:val="24"/>
          <w:lang w:val="en-US"/>
        </w:rPr>
        <w:t xml:space="preserve"> capital mobility: a comment</w:t>
      </w:r>
      <w:r w:rsidRPr="003B5620">
        <w:rPr>
          <w:rFonts w:ascii="Times New Roman" w:hAnsi="Times New Roman" w:cs="Times New Roman"/>
          <w:sz w:val="24"/>
          <w:szCs w:val="24"/>
          <w:lang w:val="en-US"/>
        </w:rPr>
        <w:t xml:space="preserve"> </w:t>
      </w:r>
      <w:r w:rsidRPr="003B5620">
        <w:rPr>
          <w:rFonts w:ascii="Times New Roman" w:hAnsi="Times New Roman" w:cs="Times New Roman"/>
          <w:color w:val="000000"/>
          <w:sz w:val="24"/>
          <w:szCs w:val="24"/>
          <w:lang w:val="en-US"/>
        </w:rPr>
        <w:t>on Leachman</w:t>
      </w:r>
      <w:r>
        <w:rPr>
          <w:rFonts w:ascii="Times New Roman" w:hAnsi="Times New Roman" w:cs="Times New Roman"/>
          <w:color w:val="000000"/>
          <w:sz w:val="24"/>
          <w:szCs w:val="24"/>
          <w:lang w:val="en-US"/>
        </w:rPr>
        <w:t>.</w:t>
      </w:r>
      <w:r w:rsidRPr="003B5620">
        <w:rPr>
          <w:rFonts w:ascii="Times New Roman" w:hAnsi="Times New Roman" w:cs="Times New Roman"/>
          <w:color w:val="000000"/>
          <w:sz w:val="24"/>
          <w:szCs w:val="24"/>
          <w:lang w:val="en-US"/>
        </w:rPr>
        <w:t xml:space="preserve"> </w:t>
      </w:r>
      <w:r w:rsidRPr="003B5620">
        <w:rPr>
          <w:rFonts w:ascii="Times New Roman" w:hAnsi="Times New Roman" w:cs="Times New Roman"/>
          <w:i/>
          <w:iCs/>
          <w:color w:val="000000"/>
          <w:sz w:val="24"/>
          <w:szCs w:val="24"/>
          <w:lang w:val="en-US"/>
        </w:rPr>
        <w:t>Open Economies Review</w:t>
      </w:r>
      <w:r w:rsidRPr="003B5620">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 xml:space="preserve"> v. 5, p. 5-17, 1994.</w:t>
      </w:r>
    </w:p>
    <w:p w:rsidR="00AC7054" w:rsidRPr="00AC7054" w:rsidRDefault="00AC7054" w:rsidP="004B3779">
      <w:pPr>
        <w:pStyle w:val="Pr-formataoHTML"/>
        <w:spacing w:line="360" w:lineRule="auto"/>
        <w:contextualSpacing/>
        <w:jc w:val="both"/>
        <w:rPr>
          <w:rFonts w:ascii="Times New Roman" w:hAnsi="Times New Roman" w:cs="Times New Roman"/>
          <w:sz w:val="24"/>
          <w:szCs w:val="24"/>
          <w:lang w:val="en-US"/>
        </w:rPr>
      </w:pPr>
    </w:p>
    <w:p w:rsidR="0021764B" w:rsidRPr="0021764B" w:rsidRDefault="0021764B" w:rsidP="004B3779">
      <w:pPr>
        <w:pStyle w:val="Pr-formataoHTML"/>
        <w:spacing w:line="360" w:lineRule="auto"/>
        <w:contextualSpacing/>
        <w:jc w:val="both"/>
        <w:rPr>
          <w:rFonts w:ascii="Times New Roman" w:hAnsi="Times New Roman" w:cs="Times New Roman"/>
          <w:sz w:val="24"/>
          <w:szCs w:val="24"/>
          <w:lang w:val="en-US"/>
        </w:rPr>
      </w:pPr>
      <w:r w:rsidRPr="0021764B">
        <w:rPr>
          <w:rFonts w:ascii="Times New Roman" w:hAnsi="Times New Roman" w:cs="Times New Roman"/>
          <w:color w:val="333333"/>
          <w:sz w:val="24"/>
          <w:szCs w:val="24"/>
          <w:lang w:val="en-US"/>
        </w:rPr>
        <w:t>JOHANSEN, S.; JUSELIUS, K. Maximum Likelihood Estimation and Inference on Cointegration - with Applications to the Demand for Money. Oxford Bulletin of Economics and Statistics, v. 52, p. 169-210, 1990.</w:t>
      </w:r>
    </w:p>
    <w:p w:rsidR="00FE0FC5" w:rsidRPr="0021764B" w:rsidRDefault="00FE0FC5" w:rsidP="004B3779">
      <w:pPr>
        <w:spacing w:after="0" w:line="360" w:lineRule="auto"/>
        <w:contextualSpacing/>
        <w:jc w:val="both"/>
        <w:rPr>
          <w:rStyle w:val="reference-text"/>
          <w:rFonts w:ascii="Times New Roman" w:hAnsi="Times New Roman" w:cs="Times New Roman"/>
          <w:sz w:val="24"/>
          <w:szCs w:val="24"/>
          <w:lang w:val="en-US"/>
        </w:rPr>
      </w:pPr>
    </w:p>
    <w:p w:rsidR="00FE0FC5" w:rsidRPr="00586953" w:rsidRDefault="00FE0FC5" w:rsidP="004B3779">
      <w:pPr>
        <w:autoSpaceDE w:val="0"/>
        <w:autoSpaceDN w:val="0"/>
        <w:adjustRightInd w:val="0"/>
        <w:spacing w:after="0" w:line="360" w:lineRule="auto"/>
        <w:contextualSpacing/>
        <w:jc w:val="both"/>
        <w:rPr>
          <w:rFonts w:ascii="Times New Roman" w:hAnsi="Times New Roman" w:cs="Times New Roman"/>
          <w:sz w:val="24"/>
          <w:szCs w:val="24"/>
          <w:lang w:val="en-US"/>
        </w:rPr>
      </w:pPr>
      <w:r w:rsidRPr="00586953">
        <w:rPr>
          <w:rFonts w:ascii="Times New Roman" w:hAnsi="Times New Roman" w:cs="Times New Roman"/>
          <w:sz w:val="24"/>
          <w:szCs w:val="24"/>
          <w:lang w:val="en-US"/>
        </w:rPr>
        <w:t xml:space="preserve">KOOP, G.; PESARAN, M. H.; POTTER, S. M. Impulse response analysis in non-linear multivariate models. </w:t>
      </w:r>
      <w:r w:rsidRPr="00586953">
        <w:rPr>
          <w:rFonts w:ascii="Times New Roman" w:hAnsi="Times New Roman" w:cs="Times New Roman"/>
          <w:i/>
          <w:sz w:val="24"/>
          <w:szCs w:val="24"/>
          <w:lang w:val="en-US"/>
        </w:rPr>
        <w:t>Journal of Econometrics</w:t>
      </w:r>
      <w:r w:rsidRPr="00586953">
        <w:rPr>
          <w:rFonts w:ascii="Times New Roman" w:hAnsi="Times New Roman" w:cs="Times New Roman"/>
          <w:sz w:val="24"/>
          <w:szCs w:val="24"/>
          <w:lang w:val="en-US"/>
        </w:rPr>
        <w:t xml:space="preserve">, </w:t>
      </w:r>
      <w:r w:rsidR="002506EA" w:rsidRPr="00586953">
        <w:rPr>
          <w:rFonts w:ascii="Times New Roman" w:hAnsi="Times New Roman" w:cs="Times New Roman"/>
          <w:sz w:val="24"/>
          <w:szCs w:val="24"/>
          <w:lang w:val="en-US"/>
        </w:rPr>
        <w:t>v. 74, n. 1, p. 119-</w:t>
      </w:r>
      <w:r w:rsidRPr="00586953">
        <w:rPr>
          <w:rFonts w:ascii="Times New Roman" w:hAnsi="Times New Roman" w:cs="Times New Roman"/>
          <w:sz w:val="24"/>
          <w:szCs w:val="24"/>
          <w:lang w:val="en-US"/>
        </w:rPr>
        <w:t>147, 1996.</w:t>
      </w:r>
    </w:p>
    <w:p w:rsidR="00974F89" w:rsidRPr="00586953" w:rsidRDefault="00974F89"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
    <w:p w:rsidR="00127DC3" w:rsidRPr="00586953" w:rsidRDefault="00A44C51" w:rsidP="004B3779">
      <w:pPr>
        <w:autoSpaceDE w:val="0"/>
        <w:autoSpaceDN w:val="0"/>
        <w:adjustRightInd w:val="0"/>
        <w:spacing w:after="0" w:line="360" w:lineRule="auto"/>
        <w:contextualSpacing/>
        <w:jc w:val="both"/>
        <w:rPr>
          <w:rFonts w:ascii="Times New Roman" w:hAnsi="Times New Roman" w:cs="Times New Roman"/>
          <w:sz w:val="24"/>
          <w:szCs w:val="24"/>
          <w:lang w:val="en-US"/>
        </w:rPr>
      </w:pPr>
      <w:r w:rsidRPr="00586953">
        <w:rPr>
          <w:rFonts w:ascii="Times New Roman" w:hAnsi="Times New Roman" w:cs="Times New Roman"/>
          <w:sz w:val="24"/>
          <w:szCs w:val="24"/>
          <w:lang w:val="en-US"/>
        </w:rPr>
        <w:lastRenderedPageBreak/>
        <w:t>LANNE, M.; SAIKKONEN, P.;</w:t>
      </w:r>
      <w:r w:rsidR="00127DC3" w:rsidRPr="00586953">
        <w:rPr>
          <w:rFonts w:ascii="Times New Roman" w:hAnsi="Times New Roman" w:cs="Times New Roman"/>
          <w:sz w:val="24"/>
          <w:szCs w:val="24"/>
          <w:lang w:val="en-US"/>
        </w:rPr>
        <w:t xml:space="preserve"> LÜTKEPOHL, H. Comparison of unit root tests fo</w:t>
      </w:r>
      <w:r w:rsidRPr="00586953">
        <w:rPr>
          <w:rFonts w:ascii="Times New Roman" w:hAnsi="Times New Roman" w:cs="Times New Roman"/>
          <w:sz w:val="24"/>
          <w:szCs w:val="24"/>
          <w:lang w:val="en-US"/>
        </w:rPr>
        <w:t>r time series with level shifts</w:t>
      </w:r>
      <w:r w:rsidR="00127DC3" w:rsidRPr="00586953">
        <w:rPr>
          <w:rFonts w:ascii="Times New Roman" w:hAnsi="Times New Roman" w:cs="Times New Roman"/>
          <w:sz w:val="24"/>
          <w:szCs w:val="24"/>
          <w:lang w:val="en-US"/>
        </w:rPr>
        <w:t xml:space="preserve">. </w:t>
      </w:r>
      <w:r w:rsidR="00127DC3" w:rsidRPr="00586953">
        <w:rPr>
          <w:rFonts w:ascii="Times New Roman" w:hAnsi="Times New Roman" w:cs="Times New Roman"/>
          <w:i/>
          <w:sz w:val="24"/>
          <w:szCs w:val="24"/>
          <w:lang w:val="en-US"/>
        </w:rPr>
        <w:t>Journal of Time Series Analysis</w:t>
      </w:r>
      <w:r w:rsidR="00127DC3" w:rsidRPr="00586953">
        <w:rPr>
          <w:rFonts w:ascii="Times New Roman" w:hAnsi="Times New Roman" w:cs="Times New Roman"/>
          <w:sz w:val="24"/>
          <w:szCs w:val="24"/>
          <w:lang w:val="en-US"/>
        </w:rPr>
        <w:t xml:space="preserve">, </w:t>
      </w:r>
      <w:r w:rsidRPr="00586953">
        <w:rPr>
          <w:rFonts w:ascii="Times New Roman" w:hAnsi="Times New Roman" w:cs="Times New Roman"/>
          <w:sz w:val="24"/>
          <w:szCs w:val="24"/>
          <w:lang w:val="en-US"/>
        </w:rPr>
        <w:t>v.23, p.</w:t>
      </w:r>
      <w:r w:rsidR="00127DC3" w:rsidRPr="00586953">
        <w:rPr>
          <w:rFonts w:ascii="Times New Roman" w:hAnsi="Times New Roman" w:cs="Times New Roman"/>
          <w:sz w:val="24"/>
          <w:szCs w:val="24"/>
          <w:lang w:val="en-US"/>
        </w:rPr>
        <w:t xml:space="preserve"> 667-685</w:t>
      </w:r>
      <w:r w:rsidRPr="00586953">
        <w:rPr>
          <w:rFonts w:ascii="Times New Roman" w:hAnsi="Times New Roman" w:cs="Times New Roman"/>
          <w:sz w:val="24"/>
          <w:szCs w:val="24"/>
          <w:lang w:val="en-US"/>
        </w:rPr>
        <w:t>, 2002.</w:t>
      </w:r>
    </w:p>
    <w:p w:rsidR="00A44C51" w:rsidRDefault="00A44C51"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
    <w:p w:rsidR="00AC7054" w:rsidRPr="00AC7054" w:rsidRDefault="00AC7054"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r w:rsidRPr="003B5620">
        <w:rPr>
          <w:rFonts w:ascii="Times New Roman" w:hAnsi="Times New Roman" w:cs="Times New Roman"/>
          <w:color w:val="000000"/>
          <w:sz w:val="24"/>
          <w:szCs w:val="24"/>
          <w:lang w:val="en-US"/>
        </w:rPr>
        <w:t>LEACHMAN</w:t>
      </w:r>
      <w:r>
        <w:rPr>
          <w:rFonts w:ascii="Times New Roman" w:hAnsi="Times New Roman" w:cs="Times New Roman"/>
          <w:color w:val="000000"/>
          <w:sz w:val="24"/>
          <w:szCs w:val="24"/>
          <w:lang w:val="en-US"/>
        </w:rPr>
        <w:t xml:space="preserve">, L.L. </w:t>
      </w:r>
      <w:r w:rsidRPr="003B5620">
        <w:rPr>
          <w:rFonts w:ascii="Times New Roman" w:hAnsi="Times New Roman" w:cs="Times New Roman"/>
          <w:color w:val="000000"/>
          <w:sz w:val="24"/>
          <w:szCs w:val="24"/>
          <w:lang w:val="en-US"/>
        </w:rPr>
        <w:t>Saving, investment e capital mobility among OECD countries</w:t>
      </w:r>
      <w:r>
        <w:rPr>
          <w:rFonts w:ascii="Times New Roman" w:hAnsi="Times New Roman" w:cs="Times New Roman"/>
          <w:color w:val="000000"/>
          <w:sz w:val="24"/>
          <w:szCs w:val="24"/>
          <w:lang w:val="en-US"/>
        </w:rPr>
        <w:t>.</w:t>
      </w:r>
      <w:r w:rsidRPr="003B5620">
        <w:rPr>
          <w:rFonts w:ascii="Times New Roman" w:hAnsi="Times New Roman" w:cs="Times New Roman"/>
          <w:color w:val="000000"/>
          <w:sz w:val="24"/>
          <w:szCs w:val="24"/>
          <w:lang w:val="en-US"/>
        </w:rPr>
        <w:t xml:space="preserve"> </w:t>
      </w:r>
      <w:r w:rsidRPr="00AC7054">
        <w:rPr>
          <w:rFonts w:ascii="Times New Roman" w:hAnsi="Times New Roman" w:cs="Times New Roman"/>
          <w:i/>
          <w:iCs/>
          <w:color w:val="000000"/>
          <w:sz w:val="24"/>
          <w:szCs w:val="24"/>
          <w:lang w:val="en-US"/>
        </w:rPr>
        <w:t>Open Economies Review</w:t>
      </w:r>
      <w:r>
        <w:rPr>
          <w:rFonts w:ascii="Times New Roman" w:hAnsi="Times New Roman" w:cs="Times New Roman"/>
          <w:color w:val="000000"/>
          <w:sz w:val="24"/>
          <w:szCs w:val="24"/>
          <w:lang w:val="en-US"/>
        </w:rPr>
        <w:t>, v. 2, p. 137-163, 1991.</w:t>
      </w:r>
    </w:p>
    <w:p w:rsidR="00AC7054" w:rsidRPr="00586953" w:rsidRDefault="00AC7054"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
    <w:p w:rsidR="00E96976" w:rsidRDefault="00F653CA" w:rsidP="004B3779">
      <w:pPr>
        <w:autoSpaceDE w:val="0"/>
        <w:autoSpaceDN w:val="0"/>
        <w:adjustRightInd w:val="0"/>
        <w:spacing w:after="0" w:line="360" w:lineRule="auto"/>
        <w:contextualSpacing/>
        <w:jc w:val="both"/>
        <w:rPr>
          <w:rFonts w:ascii="Times New Roman" w:hAnsi="Times New Roman" w:cs="Times New Roman"/>
          <w:sz w:val="24"/>
          <w:szCs w:val="24"/>
          <w:lang w:val="en-US"/>
        </w:rPr>
      </w:pPr>
      <w:r w:rsidRPr="00586953">
        <w:rPr>
          <w:rFonts w:ascii="Times New Roman" w:hAnsi="Times New Roman" w:cs="Times New Roman"/>
          <w:sz w:val="24"/>
          <w:szCs w:val="24"/>
          <w:lang w:val="en-US"/>
        </w:rPr>
        <w:t>LÜTKEPOHL</w:t>
      </w:r>
      <w:r w:rsidR="00A44C51" w:rsidRPr="00586953">
        <w:rPr>
          <w:rFonts w:ascii="Times New Roman" w:hAnsi="Times New Roman" w:cs="Times New Roman"/>
          <w:sz w:val="24"/>
          <w:szCs w:val="24"/>
          <w:lang w:val="en-US"/>
        </w:rPr>
        <w:t xml:space="preserve">, H. </w:t>
      </w:r>
      <w:r w:rsidR="00A44C51" w:rsidRPr="00586953">
        <w:rPr>
          <w:rFonts w:ascii="Times New Roman" w:hAnsi="Times New Roman" w:cs="Times New Roman"/>
          <w:i/>
          <w:sz w:val="24"/>
          <w:szCs w:val="24"/>
          <w:lang w:val="en-US"/>
        </w:rPr>
        <w:t>Introduction to multiple time series analysis</w:t>
      </w:r>
      <w:r w:rsidR="00A44C51" w:rsidRPr="00586953">
        <w:rPr>
          <w:rFonts w:ascii="Times New Roman" w:hAnsi="Times New Roman" w:cs="Times New Roman"/>
          <w:sz w:val="24"/>
          <w:szCs w:val="24"/>
          <w:lang w:val="en-US"/>
        </w:rPr>
        <w:t>. Berlin: Springer, 1991.</w:t>
      </w:r>
    </w:p>
    <w:p w:rsidR="00DE30D1" w:rsidRDefault="00DE30D1"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
    <w:p w:rsidR="00DE30D1" w:rsidRDefault="00DE30D1" w:rsidP="004B3779">
      <w:pPr>
        <w:autoSpaceDE w:val="0"/>
        <w:autoSpaceDN w:val="0"/>
        <w:adjustRightInd w:val="0"/>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MILLER, S. Are saving and investment cointegrated? Economic Letters, v. 27, p. 31-34, 1988.</w:t>
      </w:r>
    </w:p>
    <w:p w:rsidR="00AC7054" w:rsidRDefault="00AC7054"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
    <w:p w:rsidR="00AC7054" w:rsidRPr="00AC7054" w:rsidRDefault="00AC7054"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r>
        <w:rPr>
          <w:rFonts w:ascii="Times New Roman" w:hAnsi="Times New Roman" w:cs="Times New Roman"/>
          <w:bCs/>
          <w:color w:val="000000"/>
          <w:sz w:val="24"/>
          <w:szCs w:val="24"/>
          <w:lang w:val="en-US"/>
        </w:rPr>
        <w:t xml:space="preserve">MISHRA, P., DAS, J.; </w:t>
      </w:r>
      <w:r w:rsidRPr="00AC7054">
        <w:rPr>
          <w:rFonts w:ascii="Times New Roman" w:hAnsi="Times New Roman" w:cs="Times New Roman"/>
          <w:bCs/>
          <w:color w:val="000000"/>
          <w:sz w:val="24"/>
          <w:szCs w:val="24"/>
          <w:lang w:val="en-US"/>
        </w:rPr>
        <w:t xml:space="preserve"> MISHRA, S. </w:t>
      </w:r>
      <w:r w:rsidRPr="003B5620">
        <w:rPr>
          <w:rFonts w:ascii="Times New Roman" w:hAnsi="Times New Roman" w:cs="Times New Roman"/>
          <w:bCs/>
          <w:color w:val="000000"/>
          <w:sz w:val="24"/>
          <w:szCs w:val="24"/>
          <w:lang w:val="en-US"/>
        </w:rPr>
        <w:t xml:space="preserve">The Dynamics of Savings </w:t>
      </w:r>
      <w:r>
        <w:rPr>
          <w:rFonts w:ascii="Times New Roman" w:hAnsi="Times New Roman" w:cs="Times New Roman"/>
          <w:bCs/>
          <w:color w:val="000000"/>
          <w:sz w:val="24"/>
          <w:szCs w:val="24"/>
          <w:lang w:val="en-US"/>
        </w:rPr>
        <w:t>and</w:t>
      </w:r>
      <w:r w:rsidRPr="003B5620">
        <w:rPr>
          <w:rFonts w:ascii="Times New Roman" w:hAnsi="Times New Roman" w:cs="Times New Roman"/>
          <w:bCs/>
          <w:color w:val="000000"/>
          <w:sz w:val="24"/>
          <w:szCs w:val="24"/>
          <w:lang w:val="en-US"/>
        </w:rPr>
        <w:t xml:space="preserve"> Investment Relationship in India. </w:t>
      </w:r>
      <w:r w:rsidRPr="00D50EB5">
        <w:rPr>
          <w:rFonts w:ascii="Times New Roman" w:hAnsi="Times New Roman" w:cs="Times New Roman"/>
          <w:i/>
          <w:color w:val="000000"/>
          <w:sz w:val="24"/>
          <w:szCs w:val="24"/>
          <w:lang w:val="en-US"/>
        </w:rPr>
        <w:t>European Journal of Economics, Finance e Administrative Sciences</w:t>
      </w:r>
      <w:r w:rsidRPr="003B5620">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v.18: 163-172, </w:t>
      </w:r>
      <w:r w:rsidRPr="003B5620">
        <w:rPr>
          <w:rFonts w:ascii="Times New Roman" w:hAnsi="Times New Roman" w:cs="Times New Roman"/>
          <w:bCs/>
          <w:color w:val="000000"/>
          <w:sz w:val="24"/>
          <w:szCs w:val="24"/>
          <w:lang w:val="en-US"/>
        </w:rPr>
        <w:t>2010</w:t>
      </w:r>
      <w:r>
        <w:rPr>
          <w:rFonts w:ascii="Times New Roman" w:hAnsi="Times New Roman" w:cs="Times New Roman"/>
          <w:bCs/>
          <w:color w:val="000000"/>
          <w:sz w:val="24"/>
          <w:szCs w:val="24"/>
          <w:lang w:val="en-US"/>
        </w:rPr>
        <w:t>.</w:t>
      </w:r>
    </w:p>
    <w:p w:rsidR="00D00DD9" w:rsidRDefault="00D00DD9"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
    <w:p w:rsidR="00D00DD9" w:rsidRPr="00586953" w:rsidRDefault="00D00DD9" w:rsidP="004B3779">
      <w:pPr>
        <w:autoSpaceDE w:val="0"/>
        <w:autoSpaceDN w:val="0"/>
        <w:adjustRightInd w:val="0"/>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MURPHY, R. G. Capital mobility and the relationship between saving and investment rates in OECD countries. </w:t>
      </w:r>
      <w:r w:rsidRPr="00D00DD9">
        <w:rPr>
          <w:rFonts w:ascii="Times New Roman" w:hAnsi="Times New Roman" w:cs="Times New Roman"/>
          <w:i/>
          <w:sz w:val="24"/>
          <w:szCs w:val="24"/>
          <w:lang w:val="en-US"/>
        </w:rPr>
        <w:t>Journal of International Money and Finance</w:t>
      </w:r>
      <w:r>
        <w:rPr>
          <w:rFonts w:ascii="Times New Roman" w:hAnsi="Times New Roman" w:cs="Times New Roman"/>
          <w:sz w:val="24"/>
          <w:szCs w:val="24"/>
          <w:lang w:val="en-US"/>
        </w:rPr>
        <w:t>, v. 3, p. 327-342, 1984.</w:t>
      </w:r>
    </w:p>
    <w:p w:rsidR="00E96976" w:rsidRDefault="00E96976"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
    <w:p w:rsidR="005125E2" w:rsidRDefault="005125E2"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OBSTFELD, M. </w:t>
      </w:r>
      <w:r w:rsidRPr="003B5620">
        <w:rPr>
          <w:rFonts w:ascii="Times New Roman" w:hAnsi="Times New Roman" w:cs="Times New Roman"/>
          <w:color w:val="000000"/>
          <w:sz w:val="24"/>
          <w:szCs w:val="24"/>
          <w:lang w:val="en-US"/>
        </w:rPr>
        <w:t>Capital Mobility in the World Economy: Theory e</w:t>
      </w:r>
      <w:r>
        <w:rPr>
          <w:rFonts w:ascii="Times New Roman" w:hAnsi="Times New Roman" w:cs="Times New Roman"/>
          <w:color w:val="000000"/>
          <w:sz w:val="24"/>
          <w:szCs w:val="24"/>
          <w:lang w:val="en-US"/>
        </w:rPr>
        <w:t xml:space="preserve"> Measurement.</w:t>
      </w:r>
      <w:r w:rsidRPr="003B5620">
        <w:rPr>
          <w:rFonts w:ascii="Times New Roman" w:hAnsi="Times New Roman" w:cs="Times New Roman"/>
          <w:color w:val="000000"/>
          <w:sz w:val="24"/>
          <w:szCs w:val="24"/>
          <w:lang w:val="en-US"/>
        </w:rPr>
        <w:t xml:space="preserve"> </w:t>
      </w:r>
      <w:r w:rsidRPr="003B5620">
        <w:rPr>
          <w:rFonts w:ascii="Times New Roman" w:hAnsi="Times New Roman" w:cs="Times New Roman"/>
          <w:i/>
          <w:iCs/>
          <w:color w:val="000000"/>
          <w:sz w:val="24"/>
          <w:szCs w:val="24"/>
          <w:lang w:val="en-US"/>
        </w:rPr>
        <w:t>Carnegie</w:t>
      </w:r>
      <w:r>
        <w:rPr>
          <w:rFonts w:ascii="Times New Roman" w:hAnsi="Times New Roman" w:cs="Times New Roman"/>
          <w:i/>
          <w:iCs/>
          <w:color w:val="000000"/>
          <w:sz w:val="24"/>
          <w:szCs w:val="24"/>
          <w:lang w:val="en-US"/>
        </w:rPr>
        <w:t xml:space="preserve"> </w:t>
      </w:r>
      <w:r w:rsidRPr="003B5620">
        <w:rPr>
          <w:rFonts w:ascii="Times New Roman" w:hAnsi="Times New Roman" w:cs="Times New Roman"/>
          <w:i/>
          <w:iCs/>
          <w:color w:val="000000"/>
          <w:sz w:val="24"/>
          <w:szCs w:val="24"/>
          <w:lang w:val="en-US"/>
        </w:rPr>
        <w:t>Rochester Conference Series on Public Policy</w:t>
      </w:r>
      <w:r w:rsidRPr="003B5620">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 xml:space="preserve"> p.</w:t>
      </w:r>
      <w:r w:rsidRPr="003B5620">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1-24, </w:t>
      </w:r>
      <w:r w:rsidRPr="003B5620">
        <w:rPr>
          <w:rFonts w:ascii="Times New Roman" w:hAnsi="Times New Roman" w:cs="Times New Roman"/>
          <w:color w:val="000000"/>
          <w:sz w:val="24"/>
          <w:szCs w:val="24"/>
          <w:lang w:val="en-US"/>
        </w:rPr>
        <w:t>1986</w:t>
      </w:r>
      <w:r>
        <w:rPr>
          <w:rFonts w:ascii="Times New Roman" w:hAnsi="Times New Roman" w:cs="Times New Roman"/>
          <w:color w:val="000000"/>
          <w:sz w:val="24"/>
          <w:szCs w:val="24"/>
          <w:lang w:val="en-US"/>
        </w:rPr>
        <w:t>.</w:t>
      </w:r>
    </w:p>
    <w:p w:rsidR="00FF57F4" w:rsidRDefault="00FF57F4"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p>
    <w:p w:rsidR="005125E2" w:rsidRPr="005125E2" w:rsidRDefault="00FF57F4"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OBSTFELD, M.;</w:t>
      </w:r>
      <w:r w:rsidR="005125E2">
        <w:rPr>
          <w:rFonts w:ascii="Times New Roman" w:hAnsi="Times New Roman" w:cs="Times New Roman"/>
          <w:color w:val="000000"/>
          <w:sz w:val="24"/>
          <w:szCs w:val="24"/>
          <w:lang w:val="en-US"/>
        </w:rPr>
        <w:t xml:space="preserve"> ROGOFF, R. </w:t>
      </w:r>
      <w:r w:rsidR="005125E2" w:rsidRPr="003B5620">
        <w:rPr>
          <w:rFonts w:ascii="Times New Roman" w:hAnsi="Times New Roman" w:cs="Times New Roman"/>
          <w:color w:val="000000"/>
          <w:sz w:val="24"/>
          <w:szCs w:val="24"/>
          <w:lang w:val="en-US"/>
        </w:rPr>
        <w:t xml:space="preserve">The Six Major Puzzles in International Macroeconomics: is </w:t>
      </w:r>
      <w:r w:rsidR="005125E2">
        <w:rPr>
          <w:rFonts w:ascii="Times New Roman" w:hAnsi="Times New Roman" w:cs="Times New Roman"/>
          <w:color w:val="000000"/>
          <w:sz w:val="24"/>
          <w:szCs w:val="24"/>
          <w:lang w:val="en-US"/>
        </w:rPr>
        <w:t>There a Common Cause? NBER Working Paper 7777, 2000.</w:t>
      </w:r>
    </w:p>
    <w:p w:rsidR="005125E2" w:rsidRPr="00586953" w:rsidRDefault="005125E2"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
    <w:p w:rsidR="00E96976" w:rsidRPr="00586953" w:rsidRDefault="00E96976" w:rsidP="004B3779">
      <w:pPr>
        <w:pStyle w:val="Pr-formataoHTML"/>
        <w:spacing w:line="360" w:lineRule="auto"/>
        <w:contextualSpacing/>
        <w:jc w:val="both"/>
        <w:rPr>
          <w:rFonts w:ascii="Times New Roman" w:hAnsi="Times New Roman" w:cs="Times New Roman"/>
          <w:sz w:val="24"/>
          <w:szCs w:val="24"/>
          <w:lang w:val="en-US"/>
        </w:rPr>
      </w:pPr>
      <w:r w:rsidRPr="00586953">
        <w:rPr>
          <w:rFonts w:ascii="Times New Roman" w:hAnsi="Times New Roman" w:cs="Times New Roman"/>
          <w:sz w:val="24"/>
          <w:szCs w:val="24"/>
          <w:lang w:val="en-US"/>
        </w:rPr>
        <w:t xml:space="preserve">ONAFOWARA, O.; </w:t>
      </w:r>
      <w:r w:rsidR="00370FC0">
        <w:rPr>
          <w:rFonts w:ascii="Times New Roman" w:hAnsi="Times New Roman" w:cs="Times New Roman"/>
          <w:sz w:val="24"/>
          <w:szCs w:val="24"/>
          <w:lang w:val="en-US"/>
        </w:rPr>
        <w:t>OWOYE</w:t>
      </w:r>
      <w:r w:rsidRPr="00586953">
        <w:rPr>
          <w:rFonts w:ascii="Times New Roman" w:hAnsi="Times New Roman" w:cs="Times New Roman"/>
          <w:sz w:val="24"/>
          <w:szCs w:val="24"/>
          <w:lang w:val="en-US"/>
        </w:rPr>
        <w:t xml:space="preserve">, O.; </w:t>
      </w:r>
      <w:r w:rsidR="00370FC0">
        <w:rPr>
          <w:rFonts w:ascii="Times New Roman" w:hAnsi="Times New Roman" w:cs="Times New Roman"/>
          <w:sz w:val="24"/>
          <w:szCs w:val="24"/>
          <w:lang w:val="en-US"/>
        </w:rPr>
        <w:t>HUART</w:t>
      </w:r>
      <w:r w:rsidRPr="00586953">
        <w:rPr>
          <w:rFonts w:ascii="Times New Roman" w:hAnsi="Times New Roman" w:cs="Times New Roman"/>
          <w:sz w:val="24"/>
          <w:szCs w:val="24"/>
          <w:lang w:val="en-US"/>
        </w:rPr>
        <w:t>, F. The Temporal Relationship between Saving and Investment: Eviden</w:t>
      </w:r>
      <w:r w:rsidR="007571C7">
        <w:rPr>
          <w:rFonts w:ascii="Times New Roman" w:hAnsi="Times New Roman" w:cs="Times New Roman"/>
          <w:sz w:val="24"/>
          <w:szCs w:val="24"/>
          <w:lang w:val="en-US"/>
        </w:rPr>
        <w:t xml:space="preserve">ce from Advanced EU Countries. </w:t>
      </w:r>
      <w:r w:rsidRPr="00370FC0">
        <w:rPr>
          <w:rFonts w:ascii="Times New Roman" w:hAnsi="Times New Roman" w:cs="Times New Roman"/>
          <w:i/>
          <w:sz w:val="24"/>
          <w:szCs w:val="24"/>
          <w:lang w:val="en-US"/>
        </w:rPr>
        <w:t>International Journal of Business and Social Science</w:t>
      </w:r>
      <w:r w:rsidRPr="00586953">
        <w:rPr>
          <w:rFonts w:ascii="Times New Roman" w:hAnsi="Times New Roman" w:cs="Times New Roman"/>
          <w:sz w:val="24"/>
          <w:szCs w:val="24"/>
          <w:lang w:val="en-US"/>
        </w:rPr>
        <w:t xml:space="preserve">, </w:t>
      </w:r>
      <w:r w:rsidR="007571C7">
        <w:rPr>
          <w:rFonts w:ascii="Times New Roman" w:hAnsi="Times New Roman" w:cs="Times New Roman"/>
          <w:sz w:val="24"/>
          <w:szCs w:val="24"/>
          <w:lang w:val="en-US"/>
        </w:rPr>
        <w:t>v. 2, n. 2, p.</w:t>
      </w:r>
      <w:r w:rsidRPr="00586953">
        <w:rPr>
          <w:rFonts w:ascii="Times New Roman" w:hAnsi="Times New Roman" w:cs="Times New Roman"/>
          <w:sz w:val="24"/>
          <w:szCs w:val="24"/>
          <w:lang w:val="en-US"/>
        </w:rPr>
        <w:t xml:space="preserve"> 1-12</w:t>
      </w:r>
      <w:r w:rsidR="007571C7">
        <w:rPr>
          <w:rFonts w:ascii="Times New Roman" w:hAnsi="Times New Roman" w:cs="Times New Roman"/>
          <w:sz w:val="24"/>
          <w:szCs w:val="24"/>
          <w:lang w:val="en-US"/>
        </w:rPr>
        <w:t>, 2011.</w:t>
      </w:r>
    </w:p>
    <w:p w:rsidR="00FF57F4" w:rsidRDefault="00FF57F4"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
    <w:p w:rsidR="00434074" w:rsidRDefault="00434074" w:rsidP="004B3779">
      <w:pPr>
        <w:autoSpaceDE w:val="0"/>
        <w:autoSpaceDN w:val="0"/>
        <w:adjustRightInd w:val="0"/>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PALLEY, T. I. The saving-investment nexus: why it matters and how it works. </w:t>
      </w:r>
      <w:r w:rsidRPr="00434074">
        <w:rPr>
          <w:rFonts w:ascii="Times New Roman" w:hAnsi="Times New Roman" w:cs="Times New Roman"/>
          <w:i/>
          <w:sz w:val="24"/>
          <w:szCs w:val="24"/>
          <w:lang w:val="en-US"/>
        </w:rPr>
        <w:t>Center for Economic Policy Analysis Working Paper</w:t>
      </w:r>
      <w:r>
        <w:rPr>
          <w:rFonts w:ascii="Times New Roman" w:hAnsi="Times New Roman" w:cs="Times New Roman"/>
          <w:sz w:val="24"/>
          <w:szCs w:val="24"/>
          <w:lang w:val="en-US"/>
        </w:rPr>
        <w:t xml:space="preserve"> n. 1, 1996.</w:t>
      </w:r>
    </w:p>
    <w:p w:rsidR="00434074" w:rsidRDefault="00434074"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
    <w:p w:rsidR="00127DC3" w:rsidRPr="00586953" w:rsidRDefault="00127DC3" w:rsidP="004B3779">
      <w:pPr>
        <w:autoSpaceDE w:val="0"/>
        <w:autoSpaceDN w:val="0"/>
        <w:adjustRightInd w:val="0"/>
        <w:spacing w:after="0" w:line="360" w:lineRule="auto"/>
        <w:contextualSpacing/>
        <w:jc w:val="both"/>
        <w:rPr>
          <w:rFonts w:ascii="Times New Roman" w:hAnsi="Times New Roman" w:cs="Times New Roman"/>
          <w:sz w:val="24"/>
          <w:szCs w:val="24"/>
          <w:lang w:val="en-US"/>
        </w:rPr>
      </w:pPr>
      <w:r w:rsidRPr="00586953">
        <w:rPr>
          <w:rFonts w:ascii="Times New Roman" w:hAnsi="Times New Roman" w:cs="Times New Roman"/>
          <w:sz w:val="24"/>
          <w:szCs w:val="24"/>
          <w:lang w:val="en-US"/>
        </w:rPr>
        <w:t xml:space="preserve">PERRON, P. </w:t>
      </w:r>
      <w:r w:rsidRPr="00586953">
        <w:rPr>
          <w:rFonts w:ascii="Times New Roman" w:hAnsi="Times New Roman" w:cs="Times New Roman"/>
          <w:bCs/>
          <w:sz w:val="24"/>
          <w:szCs w:val="24"/>
          <w:lang w:val="en-US"/>
        </w:rPr>
        <w:t>The great crash, the oil price shoc</w:t>
      </w:r>
      <w:r w:rsidR="00A44C51" w:rsidRPr="00586953">
        <w:rPr>
          <w:rFonts w:ascii="Times New Roman" w:hAnsi="Times New Roman" w:cs="Times New Roman"/>
          <w:bCs/>
          <w:sz w:val="24"/>
          <w:szCs w:val="24"/>
          <w:lang w:val="en-US"/>
        </w:rPr>
        <w:t>k, and the unit root Hypothesis</w:t>
      </w:r>
      <w:r w:rsidRPr="00586953">
        <w:rPr>
          <w:rFonts w:ascii="Times New Roman" w:hAnsi="Times New Roman" w:cs="Times New Roman"/>
          <w:bCs/>
          <w:sz w:val="24"/>
          <w:szCs w:val="24"/>
          <w:lang w:val="en-US"/>
        </w:rPr>
        <w:t>.</w:t>
      </w:r>
      <w:r w:rsidRPr="00586953">
        <w:rPr>
          <w:rFonts w:ascii="Times New Roman" w:hAnsi="Times New Roman" w:cs="Times New Roman"/>
          <w:sz w:val="24"/>
          <w:szCs w:val="24"/>
          <w:lang w:val="en-US"/>
        </w:rPr>
        <w:t xml:space="preserve"> </w:t>
      </w:r>
      <w:r w:rsidRPr="00586953">
        <w:rPr>
          <w:rFonts w:ascii="Times New Roman" w:hAnsi="Times New Roman" w:cs="Times New Roman"/>
          <w:i/>
          <w:sz w:val="24"/>
          <w:szCs w:val="24"/>
          <w:lang w:val="en-US"/>
        </w:rPr>
        <w:t>Econometrica</w:t>
      </w:r>
      <w:r w:rsidRPr="00586953">
        <w:rPr>
          <w:rFonts w:ascii="Times New Roman" w:hAnsi="Times New Roman" w:cs="Times New Roman"/>
          <w:sz w:val="24"/>
          <w:szCs w:val="24"/>
          <w:lang w:val="en-US"/>
        </w:rPr>
        <w:t xml:space="preserve">, </w:t>
      </w:r>
      <w:r w:rsidR="00A44C51" w:rsidRPr="00586953">
        <w:rPr>
          <w:rFonts w:ascii="Times New Roman" w:hAnsi="Times New Roman" w:cs="Times New Roman"/>
          <w:sz w:val="24"/>
          <w:szCs w:val="24"/>
          <w:lang w:val="en-US"/>
        </w:rPr>
        <w:t>v. 57, n. 6, p.</w:t>
      </w:r>
      <w:r w:rsidRPr="00586953">
        <w:rPr>
          <w:rFonts w:ascii="Times New Roman" w:hAnsi="Times New Roman" w:cs="Times New Roman"/>
          <w:sz w:val="24"/>
          <w:szCs w:val="24"/>
          <w:lang w:val="en-US"/>
        </w:rPr>
        <w:t xml:space="preserve"> 1361-1401</w:t>
      </w:r>
      <w:r w:rsidR="00A44C51" w:rsidRPr="00586953">
        <w:rPr>
          <w:rFonts w:ascii="Times New Roman" w:hAnsi="Times New Roman" w:cs="Times New Roman"/>
          <w:sz w:val="24"/>
          <w:szCs w:val="24"/>
          <w:lang w:val="en-US"/>
        </w:rPr>
        <w:t>, 1989.</w:t>
      </w:r>
    </w:p>
    <w:p w:rsidR="00127DC3" w:rsidRPr="00586953" w:rsidRDefault="00127DC3" w:rsidP="004B3779">
      <w:pPr>
        <w:pStyle w:val="Pr-formataoHTML"/>
        <w:spacing w:line="360" w:lineRule="auto"/>
        <w:contextualSpacing/>
        <w:jc w:val="both"/>
        <w:rPr>
          <w:rFonts w:ascii="Times New Roman" w:hAnsi="Times New Roman" w:cs="Times New Roman"/>
          <w:sz w:val="24"/>
          <w:szCs w:val="24"/>
          <w:lang w:val="en-US"/>
        </w:rPr>
      </w:pPr>
    </w:p>
    <w:p w:rsidR="00A44C51" w:rsidRPr="006E66D0" w:rsidRDefault="00A44C51" w:rsidP="004B3779">
      <w:pPr>
        <w:autoSpaceDE w:val="0"/>
        <w:autoSpaceDN w:val="0"/>
        <w:adjustRightInd w:val="0"/>
        <w:spacing w:after="0" w:line="360" w:lineRule="auto"/>
        <w:contextualSpacing/>
        <w:jc w:val="both"/>
        <w:rPr>
          <w:rFonts w:ascii="Times New Roman" w:hAnsi="Times New Roman" w:cs="Times New Roman"/>
          <w:sz w:val="24"/>
          <w:szCs w:val="24"/>
          <w:lang w:val="en-US"/>
        </w:rPr>
      </w:pPr>
      <w:r w:rsidRPr="00586953">
        <w:rPr>
          <w:rFonts w:ascii="Times New Roman" w:hAnsi="Times New Roman" w:cs="Times New Roman"/>
          <w:sz w:val="24"/>
          <w:szCs w:val="24"/>
          <w:lang w:val="en-US"/>
        </w:rPr>
        <w:lastRenderedPageBreak/>
        <w:t xml:space="preserve">PESARAN, M. H.; SHIN, Y. Generalized impulse response analysis in linear multivariate models. </w:t>
      </w:r>
      <w:r w:rsidRPr="006E66D0">
        <w:rPr>
          <w:rFonts w:ascii="Times New Roman" w:hAnsi="Times New Roman" w:cs="Times New Roman"/>
          <w:i/>
          <w:sz w:val="24"/>
          <w:szCs w:val="24"/>
          <w:lang w:val="en-US"/>
        </w:rPr>
        <w:t>Economics Letters</w:t>
      </w:r>
      <w:r w:rsidRPr="006E66D0">
        <w:rPr>
          <w:rFonts w:ascii="Times New Roman" w:hAnsi="Times New Roman" w:cs="Times New Roman"/>
          <w:sz w:val="24"/>
          <w:szCs w:val="24"/>
          <w:lang w:val="en-US"/>
        </w:rPr>
        <w:t>, v. 58, n. 1, p. 17-29, 1998.</w:t>
      </w:r>
    </w:p>
    <w:p w:rsidR="00A06B49" w:rsidRPr="006E66D0" w:rsidRDefault="00A06B49"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
    <w:p w:rsidR="00A06B49" w:rsidRDefault="00A06B49" w:rsidP="004B3779">
      <w:pPr>
        <w:autoSpaceDE w:val="0"/>
        <w:autoSpaceDN w:val="0"/>
        <w:adjustRightInd w:val="0"/>
        <w:spacing w:after="0" w:line="360" w:lineRule="auto"/>
        <w:contextualSpacing/>
        <w:jc w:val="both"/>
        <w:rPr>
          <w:rFonts w:ascii="Times New Roman" w:hAnsi="Times New Roman" w:cs="Times New Roman"/>
          <w:sz w:val="24"/>
          <w:szCs w:val="24"/>
        </w:rPr>
      </w:pPr>
      <w:r w:rsidRPr="006E66D0">
        <w:rPr>
          <w:rFonts w:ascii="Times New Roman" w:hAnsi="Times New Roman" w:cs="Times New Roman"/>
          <w:sz w:val="24"/>
          <w:szCs w:val="24"/>
          <w:lang w:val="en-US"/>
        </w:rPr>
        <w:t xml:space="preserve">RAMAKRISHNA, G.; RAO, S. V. The long run relationship between savings and investment in Ethiopia: a cointegration and ECM approach. </w:t>
      </w:r>
      <w:r w:rsidRPr="00A06B49">
        <w:rPr>
          <w:rFonts w:ascii="Times New Roman" w:hAnsi="Times New Roman" w:cs="Times New Roman"/>
          <w:i/>
          <w:sz w:val="24"/>
          <w:szCs w:val="24"/>
        </w:rPr>
        <w:t>Developing Country Studies</w:t>
      </w:r>
      <w:r>
        <w:rPr>
          <w:rFonts w:ascii="Times New Roman" w:hAnsi="Times New Roman" w:cs="Times New Roman"/>
          <w:sz w:val="24"/>
          <w:szCs w:val="24"/>
        </w:rPr>
        <w:t>, v. 2, n. 4, 2012.</w:t>
      </w:r>
    </w:p>
    <w:p w:rsidR="00F653CA" w:rsidRDefault="00F653CA" w:rsidP="004B3779">
      <w:pPr>
        <w:autoSpaceDE w:val="0"/>
        <w:autoSpaceDN w:val="0"/>
        <w:adjustRightInd w:val="0"/>
        <w:spacing w:after="0" w:line="360" w:lineRule="auto"/>
        <w:contextualSpacing/>
        <w:jc w:val="both"/>
        <w:rPr>
          <w:rFonts w:ascii="Times New Roman" w:hAnsi="Times New Roman" w:cs="Times New Roman"/>
          <w:sz w:val="24"/>
          <w:szCs w:val="24"/>
        </w:rPr>
      </w:pPr>
    </w:p>
    <w:p w:rsidR="00BC6522" w:rsidRDefault="00BC6522" w:rsidP="004B3779">
      <w:pPr>
        <w:autoSpaceDE w:val="0"/>
        <w:autoSpaceDN w:val="0"/>
        <w:adjustRightInd w:val="0"/>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SACHSIDA. A. Testes de exogeneidade sobre a correlação poupança doméstica e investimento. Instituto de Pesquisa Econômica Aplicada, </w:t>
      </w:r>
      <w:r w:rsidRPr="00BC6522">
        <w:rPr>
          <w:rFonts w:ascii="Times New Roman" w:hAnsi="Times New Roman" w:cs="Times New Roman"/>
          <w:i/>
          <w:sz w:val="24"/>
          <w:szCs w:val="24"/>
        </w:rPr>
        <w:t>Texto para Discussão</w:t>
      </w:r>
      <w:r>
        <w:rPr>
          <w:rFonts w:ascii="Times New Roman" w:hAnsi="Times New Roman" w:cs="Times New Roman"/>
          <w:sz w:val="24"/>
          <w:szCs w:val="24"/>
        </w:rPr>
        <w:t xml:space="preserve"> n. 659, Brasília, 1999.</w:t>
      </w:r>
    </w:p>
    <w:p w:rsidR="00F653CA" w:rsidRDefault="00F653CA" w:rsidP="004B3779">
      <w:pPr>
        <w:autoSpaceDE w:val="0"/>
        <w:autoSpaceDN w:val="0"/>
        <w:adjustRightInd w:val="0"/>
        <w:spacing w:after="0" w:line="360" w:lineRule="auto"/>
        <w:contextualSpacing/>
        <w:jc w:val="both"/>
        <w:rPr>
          <w:rFonts w:ascii="Times New Roman" w:hAnsi="Times New Roman" w:cs="Times New Roman"/>
          <w:sz w:val="24"/>
          <w:szCs w:val="24"/>
        </w:rPr>
      </w:pPr>
    </w:p>
    <w:p w:rsidR="00F653CA" w:rsidRPr="00586953" w:rsidRDefault="00F653CA" w:rsidP="004B3779">
      <w:pPr>
        <w:autoSpaceDE w:val="0"/>
        <w:autoSpaceDN w:val="0"/>
        <w:adjustRightInd w:val="0"/>
        <w:spacing w:after="0" w:line="360" w:lineRule="auto"/>
        <w:contextualSpacing/>
        <w:jc w:val="both"/>
        <w:rPr>
          <w:rFonts w:ascii="Times New Roman" w:hAnsi="Times New Roman" w:cs="Times New Roman"/>
          <w:sz w:val="24"/>
          <w:szCs w:val="24"/>
        </w:rPr>
      </w:pPr>
      <w:r w:rsidRPr="006E66D0">
        <w:rPr>
          <w:rFonts w:ascii="Times New Roman" w:hAnsi="Times New Roman" w:cs="Times New Roman"/>
          <w:sz w:val="24"/>
          <w:szCs w:val="24"/>
          <w:lang w:val="en-US"/>
        </w:rPr>
        <w:t xml:space="preserve">SACHSIDA, A.; MENDONÇA, M. J. C. Domestic saving and investment revised: can the Feldstein-Horioka equation be used for policy analysis? </w:t>
      </w:r>
      <w:r>
        <w:rPr>
          <w:rFonts w:ascii="Times New Roman" w:hAnsi="Times New Roman" w:cs="Times New Roman"/>
          <w:sz w:val="24"/>
          <w:szCs w:val="24"/>
        </w:rPr>
        <w:t xml:space="preserve">Instituto de Pesquisa Econômica Aplicada, </w:t>
      </w:r>
      <w:r w:rsidRPr="00F653CA">
        <w:rPr>
          <w:rFonts w:ascii="Times New Roman" w:hAnsi="Times New Roman" w:cs="Times New Roman"/>
          <w:i/>
          <w:sz w:val="24"/>
          <w:szCs w:val="24"/>
        </w:rPr>
        <w:t>Texto para Discussão</w:t>
      </w:r>
      <w:r>
        <w:rPr>
          <w:rFonts w:ascii="Times New Roman" w:hAnsi="Times New Roman" w:cs="Times New Roman"/>
          <w:sz w:val="24"/>
          <w:szCs w:val="24"/>
        </w:rPr>
        <w:t xml:space="preserve"> n. 1158, Rio de Janeiro, 2006.</w:t>
      </w:r>
    </w:p>
    <w:p w:rsidR="00974F89" w:rsidRPr="00586953" w:rsidRDefault="00974F89" w:rsidP="004B3779">
      <w:pPr>
        <w:autoSpaceDE w:val="0"/>
        <w:autoSpaceDN w:val="0"/>
        <w:adjustRightInd w:val="0"/>
        <w:spacing w:after="0" w:line="360" w:lineRule="auto"/>
        <w:contextualSpacing/>
        <w:jc w:val="both"/>
        <w:rPr>
          <w:rFonts w:ascii="Times New Roman" w:hAnsi="Times New Roman" w:cs="Times New Roman"/>
          <w:sz w:val="24"/>
          <w:szCs w:val="24"/>
        </w:rPr>
      </w:pPr>
    </w:p>
    <w:p w:rsidR="00127DC3" w:rsidRPr="00586953" w:rsidRDefault="00F12EBE" w:rsidP="004B3779">
      <w:pPr>
        <w:autoSpaceDE w:val="0"/>
        <w:autoSpaceDN w:val="0"/>
        <w:adjustRightInd w:val="0"/>
        <w:spacing w:after="0" w:line="360" w:lineRule="auto"/>
        <w:contextualSpacing/>
        <w:jc w:val="both"/>
        <w:rPr>
          <w:rFonts w:ascii="Times New Roman" w:hAnsi="Times New Roman" w:cs="Times New Roman"/>
          <w:sz w:val="24"/>
          <w:szCs w:val="24"/>
        </w:rPr>
      </w:pPr>
      <w:r w:rsidRPr="00586953">
        <w:rPr>
          <w:rFonts w:ascii="Times New Roman" w:hAnsi="Times New Roman" w:cs="Times New Roman"/>
          <w:sz w:val="24"/>
          <w:szCs w:val="24"/>
          <w:lang w:val="en-US"/>
        </w:rPr>
        <w:t>SAIKKONEN, P.;</w:t>
      </w:r>
      <w:r w:rsidR="00127DC3" w:rsidRPr="00586953">
        <w:rPr>
          <w:rFonts w:ascii="Times New Roman" w:hAnsi="Times New Roman" w:cs="Times New Roman"/>
          <w:sz w:val="24"/>
          <w:szCs w:val="24"/>
          <w:lang w:val="en-US"/>
        </w:rPr>
        <w:t xml:space="preserve"> LÜTKEPOHL, H. Testing for a unit root in a time series wit</w:t>
      </w:r>
      <w:r w:rsidRPr="00586953">
        <w:rPr>
          <w:rFonts w:ascii="Times New Roman" w:hAnsi="Times New Roman" w:cs="Times New Roman"/>
          <w:sz w:val="24"/>
          <w:szCs w:val="24"/>
          <w:lang w:val="en-US"/>
        </w:rPr>
        <w:t>h a level shift at unknown time</w:t>
      </w:r>
      <w:r w:rsidR="00127DC3" w:rsidRPr="00586953">
        <w:rPr>
          <w:rFonts w:ascii="Times New Roman" w:hAnsi="Times New Roman" w:cs="Times New Roman"/>
          <w:sz w:val="24"/>
          <w:szCs w:val="24"/>
          <w:lang w:val="en-US"/>
        </w:rPr>
        <w:t xml:space="preserve">. </w:t>
      </w:r>
      <w:r w:rsidR="00127DC3" w:rsidRPr="00586953">
        <w:rPr>
          <w:rFonts w:ascii="Times New Roman" w:hAnsi="Times New Roman" w:cs="Times New Roman"/>
          <w:i/>
          <w:sz w:val="24"/>
          <w:szCs w:val="24"/>
        </w:rPr>
        <w:t>Econometric Theory</w:t>
      </w:r>
      <w:r w:rsidR="00127DC3" w:rsidRPr="00586953">
        <w:rPr>
          <w:rFonts w:ascii="Times New Roman" w:hAnsi="Times New Roman" w:cs="Times New Roman"/>
          <w:sz w:val="24"/>
          <w:szCs w:val="24"/>
        </w:rPr>
        <w:t xml:space="preserve">, </w:t>
      </w:r>
      <w:r w:rsidRPr="00586953">
        <w:rPr>
          <w:rFonts w:ascii="Times New Roman" w:hAnsi="Times New Roman" w:cs="Times New Roman"/>
          <w:sz w:val="24"/>
          <w:szCs w:val="24"/>
        </w:rPr>
        <w:t>v.</w:t>
      </w:r>
      <w:r w:rsidR="00FF57F4">
        <w:rPr>
          <w:rFonts w:ascii="Times New Roman" w:hAnsi="Times New Roman" w:cs="Times New Roman"/>
          <w:sz w:val="24"/>
          <w:szCs w:val="24"/>
        </w:rPr>
        <w:t xml:space="preserve"> </w:t>
      </w:r>
      <w:r w:rsidRPr="00586953">
        <w:rPr>
          <w:rFonts w:ascii="Times New Roman" w:hAnsi="Times New Roman" w:cs="Times New Roman"/>
          <w:sz w:val="24"/>
          <w:szCs w:val="24"/>
        </w:rPr>
        <w:t>18, p. 313-348, 2002.</w:t>
      </w:r>
    </w:p>
    <w:p w:rsidR="00E96976" w:rsidRDefault="00E96976" w:rsidP="004B3779">
      <w:pPr>
        <w:spacing w:after="0" w:line="360" w:lineRule="auto"/>
        <w:contextualSpacing/>
        <w:jc w:val="both"/>
        <w:rPr>
          <w:rFonts w:ascii="Times New Roman" w:hAnsi="Times New Roman" w:cs="Times New Roman"/>
          <w:sz w:val="24"/>
          <w:szCs w:val="24"/>
        </w:rPr>
      </w:pPr>
    </w:p>
    <w:p w:rsidR="007D7D21" w:rsidRPr="005B5D1B" w:rsidRDefault="007D7D21" w:rsidP="004B3779">
      <w:pPr>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 xml:space="preserve">SILVA JR., G. G.; FELIX, R. N. Novas evidências sobre poupança, investimento e crescimento econômico na América Latina. </w:t>
      </w:r>
      <w:r w:rsidRPr="005B5D1B">
        <w:rPr>
          <w:rFonts w:ascii="Times New Roman" w:hAnsi="Times New Roman" w:cs="Times New Roman"/>
          <w:i/>
          <w:sz w:val="24"/>
          <w:szCs w:val="24"/>
          <w:lang w:val="en-US"/>
        </w:rPr>
        <w:t>Revista Economia &amp; Tecnologia</w:t>
      </w:r>
      <w:r w:rsidRPr="005B5D1B">
        <w:rPr>
          <w:rFonts w:ascii="Times New Roman" w:hAnsi="Times New Roman" w:cs="Times New Roman"/>
          <w:sz w:val="24"/>
          <w:szCs w:val="24"/>
          <w:lang w:val="en-US"/>
        </w:rPr>
        <w:t xml:space="preserve"> (RET), v. 9, n. 2, p. 25-35, abr./jun. 2013.</w:t>
      </w:r>
    </w:p>
    <w:p w:rsidR="007D7D21" w:rsidRPr="005B5D1B" w:rsidRDefault="007D7D21" w:rsidP="004B3779">
      <w:pPr>
        <w:spacing w:after="0" w:line="360" w:lineRule="auto"/>
        <w:contextualSpacing/>
        <w:jc w:val="both"/>
        <w:rPr>
          <w:rFonts w:ascii="Times New Roman" w:hAnsi="Times New Roman" w:cs="Times New Roman"/>
          <w:sz w:val="24"/>
          <w:szCs w:val="24"/>
          <w:lang w:val="en-US"/>
        </w:rPr>
      </w:pPr>
    </w:p>
    <w:p w:rsidR="00AC7054" w:rsidRDefault="00E96976" w:rsidP="004B3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lang w:val="en-US"/>
        </w:rPr>
      </w:pPr>
      <w:r w:rsidRPr="00586953">
        <w:rPr>
          <w:rFonts w:ascii="Times New Roman" w:eastAsia="Times New Roman" w:hAnsi="Times New Roman" w:cs="Times New Roman"/>
          <w:sz w:val="24"/>
          <w:szCs w:val="24"/>
          <w:lang w:val="en-US"/>
        </w:rPr>
        <w:t>SINHA, D. Saving-investment relationships for J</w:t>
      </w:r>
      <w:r w:rsidR="007571C7">
        <w:rPr>
          <w:rFonts w:ascii="Times New Roman" w:eastAsia="Times New Roman" w:hAnsi="Times New Roman" w:cs="Times New Roman"/>
          <w:sz w:val="24"/>
          <w:szCs w:val="24"/>
          <w:lang w:val="en-US"/>
        </w:rPr>
        <w:t>apan and other Asian countries.</w:t>
      </w:r>
      <w:r w:rsidRPr="00586953">
        <w:rPr>
          <w:rFonts w:ascii="Times New Roman" w:eastAsia="Times New Roman" w:hAnsi="Times New Roman" w:cs="Times New Roman"/>
          <w:sz w:val="24"/>
          <w:szCs w:val="24"/>
          <w:lang w:val="en-US"/>
        </w:rPr>
        <w:t xml:space="preserve"> Japan and the World Economy, Elsevier, </w:t>
      </w:r>
      <w:r w:rsidR="007571C7">
        <w:rPr>
          <w:rFonts w:ascii="Times New Roman" w:eastAsia="Times New Roman" w:hAnsi="Times New Roman" w:cs="Times New Roman"/>
          <w:sz w:val="24"/>
          <w:szCs w:val="24"/>
          <w:lang w:val="en-US"/>
        </w:rPr>
        <w:t>v. 14, n. 1, p.</w:t>
      </w:r>
      <w:r w:rsidRPr="00586953">
        <w:rPr>
          <w:rFonts w:ascii="Times New Roman" w:eastAsia="Times New Roman" w:hAnsi="Times New Roman" w:cs="Times New Roman"/>
          <w:sz w:val="24"/>
          <w:szCs w:val="24"/>
          <w:lang w:val="en-US"/>
        </w:rPr>
        <w:t xml:space="preserve"> 1-23</w:t>
      </w:r>
      <w:r w:rsidR="007571C7">
        <w:rPr>
          <w:rFonts w:ascii="Times New Roman" w:eastAsia="Times New Roman" w:hAnsi="Times New Roman" w:cs="Times New Roman"/>
          <w:sz w:val="24"/>
          <w:szCs w:val="24"/>
          <w:lang w:val="en-US"/>
        </w:rPr>
        <w:t>, 2002.</w:t>
      </w:r>
    </w:p>
    <w:p w:rsidR="00FF57F4" w:rsidRDefault="00FF57F4" w:rsidP="004B3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lang w:val="en-US"/>
        </w:rPr>
      </w:pPr>
    </w:p>
    <w:p w:rsidR="00AC7054" w:rsidRDefault="00AC7054"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SINN, S. </w:t>
      </w:r>
      <w:r w:rsidRPr="003B5620">
        <w:rPr>
          <w:rFonts w:ascii="Times New Roman" w:hAnsi="Times New Roman" w:cs="Times New Roman"/>
          <w:color w:val="000000"/>
          <w:sz w:val="24"/>
          <w:szCs w:val="24"/>
          <w:lang w:val="en-US"/>
        </w:rPr>
        <w:t>Saving-Investment Correlations e Capital Mobility: O</w:t>
      </w:r>
      <w:r>
        <w:rPr>
          <w:rFonts w:ascii="Times New Roman" w:hAnsi="Times New Roman" w:cs="Times New Roman"/>
          <w:color w:val="000000"/>
          <w:sz w:val="24"/>
          <w:szCs w:val="24"/>
          <w:lang w:val="en-US"/>
        </w:rPr>
        <w:t>n the Evidence from Annual Data</w:t>
      </w:r>
      <w:r w:rsidRPr="003B5620">
        <w:rPr>
          <w:rFonts w:ascii="Times New Roman" w:hAnsi="Times New Roman" w:cs="Times New Roman"/>
          <w:color w:val="000000"/>
          <w:sz w:val="24"/>
          <w:szCs w:val="24"/>
          <w:lang w:val="en-US"/>
        </w:rPr>
        <w:t xml:space="preserve">. </w:t>
      </w:r>
      <w:r w:rsidRPr="003B5620">
        <w:rPr>
          <w:rFonts w:ascii="Times New Roman" w:hAnsi="Times New Roman" w:cs="Times New Roman"/>
          <w:i/>
          <w:iCs/>
          <w:color w:val="000000"/>
          <w:sz w:val="24"/>
          <w:szCs w:val="24"/>
          <w:lang w:val="en-US"/>
        </w:rPr>
        <w:t>Economic Journal</w:t>
      </w:r>
      <w:r>
        <w:rPr>
          <w:rFonts w:ascii="Times New Roman" w:hAnsi="Times New Roman" w:cs="Times New Roman"/>
          <w:color w:val="000000"/>
          <w:sz w:val="24"/>
          <w:szCs w:val="24"/>
          <w:lang w:val="en-US"/>
        </w:rPr>
        <w:t xml:space="preserve">, September, v. 102, p. 1162-1170, </w:t>
      </w:r>
      <w:r w:rsidRPr="006216A6">
        <w:rPr>
          <w:rFonts w:ascii="Times New Roman" w:hAnsi="Times New Roman" w:cs="Times New Roman"/>
          <w:color w:val="000000"/>
          <w:sz w:val="24"/>
          <w:szCs w:val="24"/>
          <w:lang w:val="en-US"/>
        </w:rPr>
        <w:t>1992</w:t>
      </w:r>
      <w:r>
        <w:rPr>
          <w:rFonts w:ascii="Times New Roman" w:hAnsi="Times New Roman" w:cs="Times New Roman"/>
          <w:color w:val="000000"/>
          <w:sz w:val="24"/>
          <w:szCs w:val="24"/>
          <w:lang w:val="en-US"/>
        </w:rPr>
        <w:t>.</w:t>
      </w:r>
    </w:p>
    <w:p w:rsidR="00FF57F4" w:rsidRDefault="00FF57F4" w:rsidP="004B3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lang w:val="en-US"/>
        </w:rPr>
      </w:pPr>
    </w:p>
    <w:p w:rsidR="00AC7054" w:rsidRPr="003B5620" w:rsidRDefault="00AC7054"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TESAR, L. </w:t>
      </w:r>
      <w:r w:rsidRPr="003B5620">
        <w:rPr>
          <w:rFonts w:ascii="Times New Roman" w:hAnsi="Times New Roman" w:cs="Times New Roman"/>
          <w:color w:val="000000"/>
          <w:sz w:val="24"/>
          <w:szCs w:val="24"/>
          <w:lang w:val="en-US"/>
        </w:rPr>
        <w:t>Saving, Investment, e</w:t>
      </w:r>
      <w:r>
        <w:rPr>
          <w:rFonts w:ascii="Times New Roman" w:hAnsi="Times New Roman" w:cs="Times New Roman"/>
          <w:color w:val="000000"/>
          <w:sz w:val="24"/>
          <w:szCs w:val="24"/>
          <w:lang w:val="en-US"/>
        </w:rPr>
        <w:t xml:space="preserve"> International Capital Flows</w:t>
      </w:r>
      <w:r w:rsidRPr="003B5620">
        <w:rPr>
          <w:rFonts w:ascii="Times New Roman" w:hAnsi="Times New Roman" w:cs="Times New Roman"/>
          <w:color w:val="000000"/>
          <w:sz w:val="24"/>
          <w:szCs w:val="24"/>
          <w:lang w:val="en-US"/>
        </w:rPr>
        <w:t xml:space="preserve">. </w:t>
      </w:r>
      <w:r w:rsidRPr="003B5620">
        <w:rPr>
          <w:rFonts w:ascii="Times New Roman" w:hAnsi="Times New Roman" w:cs="Times New Roman"/>
          <w:i/>
          <w:iCs/>
          <w:color w:val="000000"/>
          <w:sz w:val="24"/>
          <w:szCs w:val="24"/>
          <w:lang w:val="en-US"/>
        </w:rPr>
        <w:t>Journal of</w:t>
      </w:r>
      <w:r w:rsidRPr="003B5620">
        <w:rPr>
          <w:rFonts w:ascii="Times New Roman" w:hAnsi="Times New Roman" w:cs="Times New Roman"/>
          <w:color w:val="000000"/>
          <w:sz w:val="24"/>
          <w:szCs w:val="24"/>
          <w:lang w:val="en-US"/>
        </w:rPr>
        <w:t xml:space="preserve"> </w:t>
      </w:r>
      <w:r w:rsidRPr="003B5620">
        <w:rPr>
          <w:rFonts w:ascii="Times New Roman" w:hAnsi="Times New Roman" w:cs="Times New Roman"/>
          <w:i/>
          <w:iCs/>
          <w:color w:val="000000"/>
          <w:sz w:val="24"/>
          <w:szCs w:val="24"/>
          <w:lang w:val="en-US"/>
        </w:rPr>
        <w:t>International Economics</w:t>
      </w:r>
      <w:r>
        <w:rPr>
          <w:rFonts w:ascii="Times New Roman" w:hAnsi="Times New Roman" w:cs="Times New Roman"/>
          <w:color w:val="000000"/>
          <w:sz w:val="24"/>
          <w:szCs w:val="24"/>
          <w:lang w:val="en-US"/>
        </w:rPr>
        <w:t>, v. 31, n. 1, p. 55-78, 1991.</w:t>
      </w:r>
    </w:p>
    <w:p w:rsidR="00AC7054" w:rsidRDefault="00AC7054" w:rsidP="004B3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lang w:val="en-US"/>
        </w:rPr>
      </w:pPr>
    </w:p>
    <w:p w:rsidR="005125E2" w:rsidRPr="003B5620" w:rsidRDefault="005125E2" w:rsidP="004B3779">
      <w:pPr>
        <w:autoSpaceDE w:val="0"/>
        <w:autoSpaceDN w:val="0"/>
        <w:adjustRightInd w:val="0"/>
        <w:spacing w:after="0" w:line="360" w:lineRule="auto"/>
        <w:contextualSpacing/>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WONG, D. </w:t>
      </w:r>
      <w:r w:rsidRPr="003B5620">
        <w:rPr>
          <w:rFonts w:ascii="Times New Roman" w:hAnsi="Times New Roman" w:cs="Times New Roman"/>
          <w:color w:val="000000"/>
          <w:sz w:val="24"/>
          <w:szCs w:val="24"/>
          <w:lang w:val="en-US"/>
        </w:rPr>
        <w:t>What Do Saving-Investment Relationships T</w:t>
      </w:r>
      <w:r>
        <w:rPr>
          <w:rFonts w:ascii="Times New Roman" w:hAnsi="Times New Roman" w:cs="Times New Roman"/>
          <w:color w:val="000000"/>
          <w:sz w:val="24"/>
          <w:szCs w:val="24"/>
          <w:lang w:val="en-US"/>
        </w:rPr>
        <w:t>ell Us About Capital Mobility?</w:t>
      </w:r>
      <w:r w:rsidRPr="003B5620">
        <w:rPr>
          <w:rFonts w:ascii="Times New Roman" w:hAnsi="Times New Roman" w:cs="Times New Roman"/>
          <w:color w:val="000000"/>
          <w:sz w:val="24"/>
          <w:szCs w:val="24"/>
          <w:lang w:val="en-US"/>
        </w:rPr>
        <w:t xml:space="preserve"> </w:t>
      </w:r>
      <w:r w:rsidRPr="003B5620">
        <w:rPr>
          <w:rFonts w:ascii="Times New Roman" w:hAnsi="Times New Roman" w:cs="Times New Roman"/>
          <w:i/>
          <w:iCs/>
          <w:color w:val="000000"/>
          <w:sz w:val="24"/>
          <w:szCs w:val="24"/>
          <w:lang w:val="en-US"/>
        </w:rPr>
        <w:t>Journal of International Money e Finance</w:t>
      </w:r>
      <w:r w:rsidRPr="003B5620">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v.9, n. 1, p. 60-74, </w:t>
      </w:r>
      <w:r w:rsidRPr="003B5620">
        <w:rPr>
          <w:rFonts w:ascii="Times New Roman" w:hAnsi="Times New Roman" w:cs="Times New Roman"/>
          <w:color w:val="000000"/>
          <w:sz w:val="24"/>
          <w:szCs w:val="24"/>
          <w:lang w:val="en-US"/>
        </w:rPr>
        <w:t>1990</w:t>
      </w:r>
      <w:r>
        <w:rPr>
          <w:rFonts w:ascii="Times New Roman" w:hAnsi="Times New Roman" w:cs="Times New Roman"/>
          <w:color w:val="000000"/>
          <w:sz w:val="24"/>
          <w:szCs w:val="24"/>
          <w:lang w:val="en-US"/>
        </w:rPr>
        <w:t>.</w:t>
      </w:r>
      <w:r w:rsidR="004B3779" w:rsidRPr="003B5620">
        <w:rPr>
          <w:rFonts w:ascii="Times New Roman" w:hAnsi="Times New Roman" w:cs="Times New Roman"/>
          <w:sz w:val="24"/>
          <w:szCs w:val="24"/>
          <w:lang w:val="en-US"/>
        </w:rPr>
        <w:t xml:space="preserve"> </w:t>
      </w:r>
    </w:p>
    <w:p w:rsidR="005125E2" w:rsidRPr="00586953" w:rsidRDefault="005125E2" w:rsidP="004B3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lang w:val="en-US"/>
        </w:rPr>
      </w:pPr>
    </w:p>
    <w:sectPr w:rsidR="005125E2" w:rsidRPr="00586953" w:rsidSect="00C83CB3">
      <w:headerReference w:type="default" r:id="rId31"/>
      <w:footerReference w:type="default" r:id="rId3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10F" w:rsidRDefault="00F3210F" w:rsidP="009535EF">
      <w:pPr>
        <w:spacing w:after="0" w:line="240" w:lineRule="auto"/>
      </w:pPr>
      <w:r>
        <w:separator/>
      </w:r>
    </w:p>
  </w:endnote>
  <w:endnote w:type="continuationSeparator" w:id="0">
    <w:p w:rsidR="00F3210F" w:rsidRDefault="00F3210F" w:rsidP="00953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292" w:rsidRDefault="00762292">
    <w:pPr>
      <w:pStyle w:val="Rodap"/>
      <w:jc w:val="right"/>
    </w:pPr>
  </w:p>
  <w:p w:rsidR="00762292" w:rsidRDefault="0076229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10F" w:rsidRDefault="00F3210F" w:rsidP="009535EF">
      <w:pPr>
        <w:spacing w:after="0" w:line="240" w:lineRule="auto"/>
      </w:pPr>
      <w:r>
        <w:separator/>
      </w:r>
    </w:p>
  </w:footnote>
  <w:footnote w:type="continuationSeparator" w:id="0">
    <w:p w:rsidR="00F3210F" w:rsidRDefault="00F3210F" w:rsidP="009535EF">
      <w:pPr>
        <w:spacing w:after="0" w:line="240" w:lineRule="auto"/>
      </w:pPr>
      <w:r>
        <w:continuationSeparator/>
      </w:r>
    </w:p>
  </w:footnote>
  <w:footnote w:id="1">
    <w:p w:rsidR="00762292" w:rsidRPr="00762292" w:rsidRDefault="00762292" w:rsidP="005B5D1B">
      <w:pPr>
        <w:pStyle w:val="Textodenotaderodap"/>
        <w:jc w:val="both"/>
      </w:pPr>
      <w:r w:rsidRPr="00762292">
        <w:rPr>
          <w:rStyle w:val="Refdenotaderodap"/>
        </w:rPr>
        <w:t>§</w:t>
      </w:r>
      <w:r w:rsidRPr="00762292">
        <w:t xml:space="preserve"> Especialista em Economia e Finanças pelo Centro de Estudos e Pesquisa em Economia e Gestão Governamental</w:t>
      </w:r>
      <w:r w:rsidRPr="00762292">
        <w:rPr>
          <w:shd w:val="clear" w:color="auto" w:fill="FFFFFF"/>
        </w:rPr>
        <w:t>, em convênio com a Faculdade JK.</w:t>
      </w:r>
    </w:p>
  </w:footnote>
  <w:footnote w:id="2">
    <w:p w:rsidR="00762292" w:rsidRPr="00762292" w:rsidRDefault="00762292" w:rsidP="00762292">
      <w:pPr>
        <w:spacing w:after="0" w:line="240" w:lineRule="auto"/>
        <w:jc w:val="both"/>
        <w:rPr>
          <w:rFonts w:ascii="Times New Roman" w:hAnsi="Times New Roman" w:cs="Times New Roman"/>
          <w:sz w:val="20"/>
          <w:szCs w:val="20"/>
        </w:rPr>
      </w:pPr>
      <w:r w:rsidRPr="00762292">
        <w:rPr>
          <w:rStyle w:val="Refdenotaderodap"/>
          <w:rFonts w:ascii="Times New Roman" w:hAnsi="Times New Roman" w:cs="Times New Roman"/>
          <w:sz w:val="20"/>
          <w:szCs w:val="20"/>
        </w:rPr>
        <w:t>§§</w:t>
      </w:r>
      <w:r w:rsidRPr="00762292">
        <w:rPr>
          <w:rFonts w:ascii="Times New Roman" w:hAnsi="Times New Roman" w:cs="Times New Roman"/>
          <w:sz w:val="20"/>
          <w:szCs w:val="20"/>
        </w:rPr>
        <w:t xml:space="preserve"> Doutor em Economia pela Universidade Católica de Brasília. Professor - Centro de Estudos e Pesquisa em Economia e Gestão Governamental.</w:t>
      </w:r>
      <w:r>
        <w:rPr>
          <w:rFonts w:ascii="Times New Roman" w:hAnsi="Times New Roman" w:cs="Times New Roman"/>
          <w:sz w:val="20"/>
          <w:szCs w:val="20"/>
        </w:rPr>
        <w:t xml:space="preserve"> </w:t>
      </w:r>
      <w:r w:rsidRPr="00762292">
        <w:rPr>
          <w:rFonts w:ascii="Times New Roman" w:hAnsi="Times New Roman" w:cs="Times New Roman"/>
          <w:sz w:val="20"/>
          <w:szCs w:val="20"/>
        </w:rPr>
        <w:t>Endereço para Contato: SEPN – Quadra 513, Bloco D, Ed. Imperador, 1º Andar, Sala 130. CEP: 70769-900</w:t>
      </w:r>
      <w:r>
        <w:rPr>
          <w:rFonts w:ascii="Times New Roman" w:hAnsi="Times New Roman" w:cs="Times New Roman"/>
          <w:sz w:val="20"/>
          <w:szCs w:val="20"/>
        </w:rPr>
        <w:t xml:space="preserve">. </w:t>
      </w:r>
      <w:r w:rsidRPr="00762292">
        <w:rPr>
          <w:rFonts w:ascii="Times New Roman" w:hAnsi="Times New Roman" w:cs="Times New Roman"/>
          <w:sz w:val="20"/>
          <w:szCs w:val="20"/>
        </w:rPr>
        <w:t>E-mail: professor.sergio.gadelha@gmail.com</w:t>
      </w:r>
    </w:p>
    <w:p w:rsidR="00762292" w:rsidRDefault="00762292" w:rsidP="005B5D1B">
      <w:pPr>
        <w:pStyle w:val="Textodenotaderodap"/>
        <w:jc w:val="both"/>
      </w:pPr>
      <w:r w:rsidRPr="00762292">
        <w:t>As opiniões expressas neste trabalho são de exclusiva responsabilidade dos autores, não expressando necessariamente a visão da Secretaria do Tesouro Nacional.</w:t>
      </w:r>
    </w:p>
  </w:footnote>
  <w:footnote w:id="3">
    <w:p w:rsidR="00762292" w:rsidRDefault="00762292">
      <w:pPr>
        <w:pStyle w:val="Textodenotaderodap"/>
      </w:pPr>
      <w:r>
        <w:rPr>
          <w:rStyle w:val="Refdenotaderodap"/>
        </w:rPr>
        <w:footnoteRef/>
      </w:r>
      <w:r>
        <w:t xml:space="preserve"> Disponível em:&lt;&lt;</w:t>
      </w:r>
      <w:r w:rsidRPr="00B50A33">
        <w:rPr>
          <w:rFonts w:eastAsiaTheme="minorHAnsi"/>
          <w:lang w:eastAsia="en-US"/>
        </w:rPr>
        <w:t xml:space="preserve"> </w:t>
      </w:r>
      <w:r w:rsidRPr="00CD5D26">
        <w:rPr>
          <w:rFonts w:eastAsiaTheme="minorHAnsi"/>
          <w:lang w:eastAsia="en-US"/>
        </w:rPr>
        <w:t>http://www.</w:t>
      </w:r>
      <w:r>
        <w:rPr>
          <w:rFonts w:eastAsiaTheme="minorHAnsi"/>
          <w:lang w:eastAsia="en-US"/>
        </w:rPr>
        <w:t>ibge</w:t>
      </w:r>
      <w:r w:rsidRPr="00CD5D26">
        <w:rPr>
          <w:rFonts w:eastAsiaTheme="minorHAnsi"/>
          <w:lang w:eastAsia="en-US"/>
        </w:rPr>
        <w:t>.gov.br</w:t>
      </w:r>
      <w:r>
        <w:t xml:space="preserve"> &gt;&gt;</w:t>
      </w:r>
    </w:p>
  </w:footnote>
  <w:footnote w:id="4">
    <w:p w:rsidR="00762292" w:rsidRPr="00CD5D26" w:rsidRDefault="00762292" w:rsidP="00B50A33">
      <w:pPr>
        <w:pStyle w:val="Textodenotaderodap"/>
        <w:jc w:val="both"/>
      </w:pPr>
      <w:r w:rsidRPr="00CD5D26">
        <w:rPr>
          <w:rStyle w:val="Refdenotaderodap"/>
        </w:rPr>
        <w:footnoteRef/>
      </w:r>
      <w:r w:rsidRPr="00CD5D26">
        <w:t xml:space="preserve"> </w:t>
      </w:r>
      <w:r>
        <w:rPr>
          <w:rFonts w:eastAsiaTheme="minorHAnsi"/>
          <w:lang w:eastAsia="en-US"/>
        </w:rPr>
        <w:t>D</w:t>
      </w:r>
      <w:r w:rsidRPr="00CD5D26">
        <w:rPr>
          <w:rFonts w:eastAsiaTheme="minorHAnsi"/>
          <w:lang w:eastAsia="en-US"/>
        </w:rPr>
        <w:t>isponíve</w:t>
      </w:r>
      <w:r>
        <w:rPr>
          <w:rFonts w:eastAsiaTheme="minorHAnsi"/>
          <w:lang w:eastAsia="en-US"/>
        </w:rPr>
        <w:t>l</w:t>
      </w:r>
      <w:r w:rsidRPr="00CD5D26">
        <w:rPr>
          <w:rFonts w:eastAsiaTheme="minorHAnsi"/>
          <w:lang w:eastAsia="en-US"/>
        </w:rPr>
        <w:t xml:space="preserve"> em: &lt;&lt;http://www.ipeadata.gov.br&gt;&gt;.</w:t>
      </w:r>
    </w:p>
  </w:footnote>
  <w:footnote w:id="5">
    <w:p w:rsidR="00762292" w:rsidRDefault="00762292" w:rsidP="00B50A33">
      <w:pPr>
        <w:pStyle w:val="Textodenotaderodap"/>
        <w:jc w:val="both"/>
      </w:pPr>
      <w:r w:rsidRPr="00CD5D26">
        <w:rPr>
          <w:rStyle w:val="Refdenotaderodap"/>
        </w:rPr>
        <w:footnoteRef/>
      </w:r>
      <w:r w:rsidRPr="00CD5D26">
        <w:t xml:space="preserve"> </w:t>
      </w:r>
      <w:r w:rsidRPr="00CD5D26">
        <w:rPr>
          <w:color w:val="000000"/>
        </w:rPr>
        <w:t>O IGP-DI (Índice Geral de Preços - Disponibilidade Interna) faz medições no mês cheio, de 1 a 30 ou 31 de cada mês. Ele é formado pelo IPA-DI (Índice de Preços por Atacado - Disponibilidade Interna), IPC-DI (Índice de Preços ao Consumidor - Disponibilidade Interna) e INCC-DI (Índice Nacional do Custo da Construção - Disponibilidade Interna), com pesos de 60%, 30% e 10%, respectivamente. O período de coleta dos três é o mesmo do IGP-DI.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5773"/>
      <w:docPartObj>
        <w:docPartGallery w:val="Page Numbers (Top of Page)"/>
        <w:docPartUnique/>
      </w:docPartObj>
    </w:sdtPr>
    <w:sdtEndPr/>
    <w:sdtContent>
      <w:p w:rsidR="00762292" w:rsidRDefault="00762292">
        <w:pPr>
          <w:pStyle w:val="Cabealho"/>
          <w:jc w:val="right"/>
        </w:pPr>
        <w:r>
          <w:fldChar w:fldCharType="begin"/>
        </w:r>
        <w:r>
          <w:instrText xml:space="preserve"> PAGE   \* MERGEFORMAT </w:instrText>
        </w:r>
        <w:r>
          <w:fldChar w:fldCharType="separate"/>
        </w:r>
        <w:r w:rsidR="0012653D">
          <w:rPr>
            <w:noProof/>
          </w:rPr>
          <w:t>1</w:t>
        </w:r>
        <w:r>
          <w:rPr>
            <w:noProof/>
          </w:rPr>
          <w:fldChar w:fldCharType="end"/>
        </w:r>
      </w:p>
    </w:sdtContent>
  </w:sdt>
  <w:p w:rsidR="00762292" w:rsidRDefault="0076229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CF1903"/>
    <w:multiLevelType w:val="hybridMultilevel"/>
    <w:tmpl w:val="4ACA871E"/>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9E446D7"/>
    <w:multiLevelType w:val="hybridMultilevel"/>
    <w:tmpl w:val="AD6A3B14"/>
    <w:lvl w:ilvl="0" w:tplc="0416000F">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B7D23A6"/>
    <w:multiLevelType w:val="hybridMultilevel"/>
    <w:tmpl w:val="865844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BB2"/>
    <w:rsid w:val="000016BF"/>
    <w:rsid w:val="00004894"/>
    <w:rsid w:val="0003526E"/>
    <w:rsid w:val="00042CEF"/>
    <w:rsid w:val="000801E3"/>
    <w:rsid w:val="00090145"/>
    <w:rsid w:val="00091C86"/>
    <w:rsid w:val="000942C4"/>
    <w:rsid w:val="000A1E55"/>
    <w:rsid w:val="000B0795"/>
    <w:rsid w:val="000D0A71"/>
    <w:rsid w:val="000D2F90"/>
    <w:rsid w:val="000E6FE1"/>
    <w:rsid w:val="000F0180"/>
    <w:rsid w:val="001024FB"/>
    <w:rsid w:val="0011186F"/>
    <w:rsid w:val="00112074"/>
    <w:rsid w:val="0011269D"/>
    <w:rsid w:val="00123817"/>
    <w:rsid w:val="0012653D"/>
    <w:rsid w:val="00127DC3"/>
    <w:rsid w:val="0013407C"/>
    <w:rsid w:val="00135A77"/>
    <w:rsid w:val="001434A3"/>
    <w:rsid w:val="00147028"/>
    <w:rsid w:val="00154B10"/>
    <w:rsid w:val="00181966"/>
    <w:rsid w:val="001A3BB2"/>
    <w:rsid w:val="001A5C5B"/>
    <w:rsid w:val="001A743E"/>
    <w:rsid w:val="001A765C"/>
    <w:rsid w:val="001B6CC1"/>
    <w:rsid w:val="001E1327"/>
    <w:rsid w:val="001F5775"/>
    <w:rsid w:val="001F6B5F"/>
    <w:rsid w:val="00203E86"/>
    <w:rsid w:val="002116A6"/>
    <w:rsid w:val="00213F7C"/>
    <w:rsid w:val="0021764B"/>
    <w:rsid w:val="00222277"/>
    <w:rsid w:val="002258D3"/>
    <w:rsid w:val="00230176"/>
    <w:rsid w:val="00230341"/>
    <w:rsid w:val="002374DF"/>
    <w:rsid w:val="002506EA"/>
    <w:rsid w:val="00257126"/>
    <w:rsid w:val="00270959"/>
    <w:rsid w:val="00274606"/>
    <w:rsid w:val="002749EC"/>
    <w:rsid w:val="00274F21"/>
    <w:rsid w:val="00281175"/>
    <w:rsid w:val="002836DE"/>
    <w:rsid w:val="002A3DC2"/>
    <w:rsid w:val="002A6E7B"/>
    <w:rsid w:val="002B09CC"/>
    <w:rsid w:val="002B5C8E"/>
    <w:rsid w:val="002B7596"/>
    <w:rsid w:val="002C69AF"/>
    <w:rsid w:val="002F17A9"/>
    <w:rsid w:val="00312755"/>
    <w:rsid w:val="003254FE"/>
    <w:rsid w:val="003424B1"/>
    <w:rsid w:val="0035363A"/>
    <w:rsid w:val="00361CAF"/>
    <w:rsid w:val="00370FC0"/>
    <w:rsid w:val="00380A87"/>
    <w:rsid w:val="003867CA"/>
    <w:rsid w:val="0039362A"/>
    <w:rsid w:val="00393B18"/>
    <w:rsid w:val="003E0504"/>
    <w:rsid w:val="003F0E5C"/>
    <w:rsid w:val="003F476A"/>
    <w:rsid w:val="00400FF9"/>
    <w:rsid w:val="00404DB8"/>
    <w:rsid w:val="00412CF6"/>
    <w:rsid w:val="00415969"/>
    <w:rsid w:val="004320B6"/>
    <w:rsid w:val="00434074"/>
    <w:rsid w:val="004419A9"/>
    <w:rsid w:val="00444E21"/>
    <w:rsid w:val="00444EAD"/>
    <w:rsid w:val="004547C4"/>
    <w:rsid w:val="00455270"/>
    <w:rsid w:val="004601A5"/>
    <w:rsid w:val="00460B2F"/>
    <w:rsid w:val="004678E7"/>
    <w:rsid w:val="00483801"/>
    <w:rsid w:val="00493F3E"/>
    <w:rsid w:val="00497F42"/>
    <w:rsid w:val="004A33B2"/>
    <w:rsid w:val="004A51F6"/>
    <w:rsid w:val="004B3779"/>
    <w:rsid w:val="004B3BEC"/>
    <w:rsid w:val="004B421B"/>
    <w:rsid w:val="004F7A6D"/>
    <w:rsid w:val="005125E2"/>
    <w:rsid w:val="0053101C"/>
    <w:rsid w:val="00540CD2"/>
    <w:rsid w:val="00541644"/>
    <w:rsid w:val="00555222"/>
    <w:rsid w:val="00570C64"/>
    <w:rsid w:val="00571F58"/>
    <w:rsid w:val="00586953"/>
    <w:rsid w:val="00593462"/>
    <w:rsid w:val="00596067"/>
    <w:rsid w:val="00596B3F"/>
    <w:rsid w:val="005B277F"/>
    <w:rsid w:val="005B4DD4"/>
    <w:rsid w:val="005B5D1B"/>
    <w:rsid w:val="005D4BA6"/>
    <w:rsid w:val="005E327E"/>
    <w:rsid w:val="005E5C38"/>
    <w:rsid w:val="005E74A5"/>
    <w:rsid w:val="00602A72"/>
    <w:rsid w:val="00602B66"/>
    <w:rsid w:val="00631AEC"/>
    <w:rsid w:val="0066318B"/>
    <w:rsid w:val="00677406"/>
    <w:rsid w:val="006774FF"/>
    <w:rsid w:val="00682A0A"/>
    <w:rsid w:val="00687384"/>
    <w:rsid w:val="00691362"/>
    <w:rsid w:val="0069468E"/>
    <w:rsid w:val="006A504B"/>
    <w:rsid w:val="006A5F90"/>
    <w:rsid w:val="006B598C"/>
    <w:rsid w:val="006C64D0"/>
    <w:rsid w:val="006D1DEA"/>
    <w:rsid w:val="006E2730"/>
    <w:rsid w:val="006E66D0"/>
    <w:rsid w:val="007065E4"/>
    <w:rsid w:val="007120EF"/>
    <w:rsid w:val="007140A0"/>
    <w:rsid w:val="00742E98"/>
    <w:rsid w:val="00756685"/>
    <w:rsid w:val="007571C7"/>
    <w:rsid w:val="00761D7C"/>
    <w:rsid w:val="00762292"/>
    <w:rsid w:val="007755E6"/>
    <w:rsid w:val="00783DE6"/>
    <w:rsid w:val="00786ABB"/>
    <w:rsid w:val="00797196"/>
    <w:rsid w:val="007D186C"/>
    <w:rsid w:val="007D7D21"/>
    <w:rsid w:val="007E4BA6"/>
    <w:rsid w:val="007F483B"/>
    <w:rsid w:val="00800C87"/>
    <w:rsid w:val="008011DC"/>
    <w:rsid w:val="0080168A"/>
    <w:rsid w:val="00803A58"/>
    <w:rsid w:val="00821A33"/>
    <w:rsid w:val="0083482F"/>
    <w:rsid w:val="0084193D"/>
    <w:rsid w:val="0085110A"/>
    <w:rsid w:val="00855C66"/>
    <w:rsid w:val="00856FAE"/>
    <w:rsid w:val="008579EE"/>
    <w:rsid w:val="00864A63"/>
    <w:rsid w:val="0086636C"/>
    <w:rsid w:val="00890893"/>
    <w:rsid w:val="00897FD8"/>
    <w:rsid w:val="008A47FB"/>
    <w:rsid w:val="008B2114"/>
    <w:rsid w:val="008B49E2"/>
    <w:rsid w:val="008C5E99"/>
    <w:rsid w:val="008C60F3"/>
    <w:rsid w:val="008D2551"/>
    <w:rsid w:val="008D6F70"/>
    <w:rsid w:val="008E4301"/>
    <w:rsid w:val="008F2E41"/>
    <w:rsid w:val="00903214"/>
    <w:rsid w:val="00910895"/>
    <w:rsid w:val="00910E5D"/>
    <w:rsid w:val="00911CE6"/>
    <w:rsid w:val="00936537"/>
    <w:rsid w:val="00942312"/>
    <w:rsid w:val="0095015E"/>
    <w:rsid w:val="009535EF"/>
    <w:rsid w:val="00962C01"/>
    <w:rsid w:val="00966799"/>
    <w:rsid w:val="0097252F"/>
    <w:rsid w:val="00974F89"/>
    <w:rsid w:val="00977EA2"/>
    <w:rsid w:val="00985493"/>
    <w:rsid w:val="0098556A"/>
    <w:rsid w:val="00990A4B"/>
    <w:rsid w:val="009C2A01"/>
    <w:rsid w:val="009C4AED"/>
    <w:rsid w:val="009C7B56"/>
    <w:rsid w:val="009D79AF"/>
    <w:rsid w:val="009F18F3"/>
    <w:rsid w:val="009F4EDF"/>
    <w:rsid w:val="00A06B49"/>
    <w:rsid w:val="00A10F43"/>
    <w:rsid w:val="00A25FEB"/>
    <w:rsid w:val="00A263F0"/>
    <w:rsid w:val="00A32536"/>
    <w:rsid w:val="00A3720D"/>
    <w:rsid w:val="00A44C51"/>
    <w:rsid w:val="00A5116D"/>
    <w:rsid w:val="00A574B0"/>
    <w:rsid w:val="00A63B28"/>
    <w:rsid w:val="00A67BF0"/>
    <w:rsid w:val="00A7687D"/>
    <w:rsid w:val="00A82A0D"/>
    <w:rsid w:val="00A84932"/>
    <w:rsid w:val="00A95299"/>
    <w:rsid w:val="00AC7054"/>
    <w:rsid w:val="00AD15C2"/>
    <w:rsid w:val="00AD2648"/>
    <w:rsid w:val="00AD460D"/>
    <w:rsid w:val="00AD6B0B"/>
    <w:rsid w:val="00B0583C"/>
    <w:rsid w:val="00B21C50"/>
    <w:rsid w:val="00B4414D"/>
    <w:rsid w:val="00B50A33"/>
    <w:rsid w:val="00B522BC"/>
    <w:rsid w:val="00B6220F"/>
    <w:rsid w:val="00B648A7"/>
    <w:rsid w:val="00B655F9"/>
    <w:rsid w:val="00B70856"/>
    <w:rsid w:val="00B72C03"/>
    <w:rsid w:val="00BA0759"/>
    <w:rsid w:val="00BA5288"/>
    <w:rsid w:val="00BB195F"/>
    <w:rsid w:val="00BC52FC"/>
    <w:rsid w:val="00BC6522"/>
    <w:rsid w:val="00BE7126"/>
    <w:rsid w:val="00BF3D70"/>
    <w:rsid w:val="00C00750"/>
    <w:rsid w:val="00C22E20"/>
    <w:rsid w:val="00C36F2D"/>
    <w:rsid w:val="00C5508F"/>
    <w:rsid w:val="00C6690D"/>
    <w:rsid w:val="00C6766C"/>
    <w:rsid w:val="00C83CB3"/>
    <w:rsid w:val="00C8561C"/>
    <w:rsid w:val="00C91531"/>
    <w:rsid w:val="00CB6DB1"/>
    <w:rsid w:val="00CB78E9"/>
    <w:rsid w:val="00CD0001"/>
    <w:rsid w:val="00CD27A5"/>
    <w:rsid w:val="00CE4452"/>
    <w:rsid w:val="00D00DD9"/>
    <w:rsid w:val="00D34E7E"/>
    <w:rsid w:val="00D37EF0"/>
    <w:rsid w:val="00D51B81"/>
    <w:rsid w:val="00D530B8"/>
    <w:rsid w:val="00D7028A"/>
    <w:rsid w:val="00D72417"/>
    <w:rsid w:val="00D74745"/>
    <w:rsid w:val="00D76C26"/>
    <w:rsid w:val="00D83C8C"/>
    <w:rsid w:val="00D92A99"/>
    <w:rsid w:val="00DB0235"/>
    <w:rsid w:val="00DB728A"/>
    <w:rsid w:val="00DC14DA"/>
    <w:rsid w:val="00DC5690"/>
    <w:rsid w:val="00DD04C4"/>
    <w:rsid w:val="00DE30D1"/>
    <w:rsid w:val="00DE3A51"/>
    <w:rsid w:val="00DF3040"/>
    <w:rsid w:val="00E02CFD"/>
    <w:rsid w:val="00E06DD2"/>
    <w:rsid w:val="00E07AB8"/>
    <w:rsid w:val="00E10AC8"/>
    <w:rsid w:val="00E17EF4"/>
    <w:rsid w:val="00E23014"/>
    <w:rsid w:val="00E25FF3"/>
    <w:rsid w:val="00E3088B"/>
    <w:rsid w:val="00E332D8"/>
    <w:rsid w:val="00E71669"/>
    <w:rsid w:val="00E76E58"/>
    <w:rsid w:val="00E845D9"/>
    <w:rsid w:val="00E869BA"/>
    <w:rsid w:val="00E870E2"/>
    <w:rsid w:val="00E92AFC"/>
    <w:rsid w:val="00E94572"/>
    <w:rsid w:val="00E96976"/>
    <w:rsid w:val="00EA4D99"/>
    <w:rsid w:val="00EA4E0B"/>
    <w:rsid w:val="00EA7632"/>
    <w:rsid w:val="00EB6427"/>
    <w:rsid w:val="00EC1CE8"/>
    <w:rsid w:val="00ED2996"/>
    <w:rsid w:val="00EF6904"/>
    <w:rsid w:val="00F02817"/>
    <w:rsid w:val="00F12EBE"/>
    <w:rsid w:val="00F14AD7"/>
    <w:rsid w:val="00F176ED"/>
    <w:rsid w:val="00F3210F"/>
    <w:rsid w:val="00F36789"/>
    <w:rsid w:val="00F42AFE"/>
    <w:rsid w:val="00F653CA"/>
    <w:rsid w:val="00F65F76"/>
    <w:rsid w:val="00F666C1"/>
    <w:rsid w:val="00F67142"/>
    <w:rsid w:val="00F80693"/>
    <w:rsid w:val="00F85EF3"/>
    <w:rsid w:val="00F92685"/>
    <w:rsid w:val="00F954BB"/>
    <w:rsid w:val="00FA0F38"/>
    <w:rsid w:val="00FE0FC5"/>
    <w:rsid w:val="00FE4276"/>
    <w:rsid w:val="00FE4F83"/>
    <w:rsid w:val="00FE7B32"/>
    <w:rsid w:val="00FF0713"/>
    <w:rsid w:val="00FF1EB1"/>
    <w:rsid w:val="00FF2E96"/>
    <w:rsid w:val="00FF4628"/>
    <w:rsid w:val="00FF57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214"/>
  </w:style>
  <w:style w:type="paragraph" w:styleId="Ttulo1">
    <w:name w:val="heading 1"/>
    <w:basedOn w:val="Normal"/>
    <w:next w:val="Normal"/>
    <w:link w:val="Ttulo1Char"/>
    <w:qFormat/>
    <w:rsid w:val="00942312"/>
    <w:pPr>
      <w:keepNext/>
      <w:spacing w:after="0" w:line="360" w:lineRule="auto"/>
      <w:jc w:val="both"/>
      <w:outlineLvl w:val="0"/>
    </w:pPr>
    <w:rPr>
      <w:rFonts w:ascii="Arial" w:eastAsia="Times New Roman" w:hAnsi="Arial" w:cs="Arial"/>
      <w:b/>
      <w:bCs/>
      <w:sz w:val="24"/>
      <w:szCs w:val="24"/>
    </w:rPr>
  </w:style>
  <w:style w:type="paragraph" w:styleId="Ttulo2">
    <w:name w:val="heading 2"/>
    <w:basedOn w:val="Normal"/>
    <w:next w:val="Normal"/>
    <w:link w:val="Ttulo2Char"/>
    <w:qFormat/>
    <w:rsid w:val="00942312"/>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1A3BB2"/>
    <w:pPr>
      <w:tabs>
        <w:tab w:val="center" w:pos="4513"/>
        <w:tab w:val="right" w:pos="9026"/>
      </w:tabs>
      <w:spacing w:after="0" w:line="240" w:lineRule="auto"/>
    </w:pPr>
  </w:style>
  <w:style w:type="character" w:customStyle="1" w:styleId="RodapChar">
    <w:name w:val="Rodapé Char"/>
    <w:basedOn w:val="Fontepargpadro"/>
    <w:link w:val="Rodap"/>
    <w:uiPriority w:val="99"/>
    <w:rsid w:val="001A3BB2"/>
  </w:style>
  <w:style w:type="paragraph" w:styleId="Corpodetexto">
    <w:name w:val="Body Text"/>
    <w:basedOn w:val="Normal"/>
    <w:link w:val="CorpodetextoChar"/>
    <w:rsid w:val="001A3BB2"/>
    <w:pPr>
      <w:spacing w:after="0" w:line="360" w:lineRule="auto"/>
      <w:jc w:val="both"/>
    </w:pPr>
    <w:rPr>
      <w:rFonts w:ascii="Arial" w:eastAsia="Times New Roman" w:hAnsi="Arial" w:cs="Arial"/>
      <w:sz w:val="24"/>
      <w:szCs w:val="24"/>
    </w:rPr>
  </w:style>
  <w:style w:type="character" w:customStyle="1" w:styleId="CorpodetextoChar">
    <w:name w:val="Corpo de texto Char"/>
    <w:basedOn w:val="Fontepargpadro"/>
    <w:link w:val="Corpodetexto"/>
    <w:rsid w:val="001A3BB2"/>
    <w:rPr>
      <w:rFonts w:ascii="Arial" w:eastAsia="Times New Roman" w:hAnsi="Arial" w:cs="Arial"/>
      <w:sz w:val="24"/>
      <w:szCs w:val="24"/>
      <w:lang w:eastAsia="pt-BR"/>
    </w:rPr>
  </w:style>
  <w:style w:type="paragraph" w:customStyle="1" w:styleId="minhaLegenda">
    <w:name w:val="minhaLegenda"/>
    <w:basedOn w:val="Normal"/>
    <w:rsid w:val="001A3BB2"/>
    <w:pPr>
      <w:spacing w:after="0" w:line="360" w:lineRule="auto"/>
      <w:ind w:left="708" w:right="57"/>
      <w:jc w:val="center"/>
    </w:pPr>
    <w:rPr>
      <w:rFonts w:ascii="Times New Roman" w:eastAsia="Times New Roman" w:hAnsi="Times New Roman" w:cs="Times New Roman"/>
      <w:sz w:val="24"/>
      <w:szCs w:val="20"/>
    </w:rPr>
  </w:style>
  <w:style w:type="paragraph" w:customStyle="1" w:styleId="Tabela">
    <w:name w:val="Tabela"/>
    <w:basedOn w:val="Normal"/>
    <w:next w:val="Normal"/>
    <w:autoRedefine/>
    <w:qFormat/>
    <w:rsid w:val="00AD6B0B"/>
    <w:pPr>
      <w:spacing w:before="360" w:after="120" w:line="240" w:lineRule="auto"/>
      <w:ind w:left="1134" w:right="1132"/>
      <w:contextualSpacing/>
      <w:jc w:val="both"/>
    </w:pPr>
    <w:rPr>
      <w:rFonts w:ascii="Times New Roman" w:eastAsia="Times New Roman" w:hAnsi="Times New Roman" w:cs="Times New Roman"/>
      <w:b/>
      <w:sz w:val="24"/>
      <w:szCs w:val="24"/>
    </w:rPr>
  </w:style>
  <w:style w:type="paragraph" w:styleId="Textodebalo">
    <w:name w:val="Balloon Text"/>
    <w:basedOn w:val="Normal"/>
    <w:link w:val="TextodebaloChar"/>
    <w:uiPriority w:val="99"/>
    <w:semiHidden/>
    <w:unhideWhenUsed/>
    <w:rsid w:val="001A3BB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A3BB2"/>
    <w:rPr>
      <w:rFonts w:ascii="Tahoma" w:hAnsi="Tahoma" w:cs="Tahoma"/>
      <w:sz w:val="16"/>
      <w:szCs w:val="16"/>
    </w:rPr>
  </w:style>
  <w:style w:type="paragraph" w:styleId="Recuodecorpodetexto">
    <w:name w:val="Body Text Indent"/>
    <w:basedOn w:val="Normal"/>
    <w:link w:val="RecuodecorpodetextoChar"/>
    <w:uiPriority w:val="99"/>
    <w:semiHidden/>
    <w:unhideWhenUsed/>
    <w:rsid w:val="00942312"/>
    <w:pPr>
      <w:spacing w:after="120"/>
      <w:ind w:left="360"/>
    </w:pPr>
  </w:style>
  <w:style w:type="character" w:customStyle="1" w:styleId="RecuodecorpodetextoChar">
    <w:name w:val="Recuo de corpo de texto Char"/>
    <w:basedOn w:val="Fontepargpadro"/>
    <w:link w:val="Recuodecorpodetexto"/>
    <w:uiPriority w:val="99"/>
    <w:semiHidden/>
    <w:rsid w:val="00942312"/>
  </w:style>
  <w:style w:type="character" w:customStyle="1" w:styleId="Ttulo1Char">
    <w:name w:val="Título 1 Char"/>
    <w:basedOn w:val="Fontepargpadro"/>
    <w:link w:val="Ttulo1"/>
    <w:rsid w:val="00942312"/>
    <w:rPr>
      <w:rFonts w:ascii="Arial" w:eastAsia="Times New Roman" w:hAnsi="Arial" w:cs="Arial"/>
      <w:b/>
      <w:bCs/>
      <w:sz w:val="24"/>
      <w:szCs w:val="24"/>
      <w:lang w:eastAsia="pt-BR"/>
    </w:rPr>
  </w:style>
  <w:style w:type="character" w:customStyle="1" w:styleId="Ttulo2Char">
    <w:name w:val="Título 2 Char"/>
    <w:basedOn w:val="Fontepargpadro"/>
    <w:link w:val="Ttulo2"/>
    <w:rsid w:val="00942312"/>
    <w:rPr>
      <w:rFonts w:ascii="Arial" w:eastAsia="Times New Roman" w:hAnsi="Arial" w:cs="Arial"/>
      <w:b/>
      <w:bCs/>
      <w:i/>
      <w:iCs/>
      <w:sz w:val="28"/>
      <w:szCs w:val="28"/>
      <w:lang w:eastAsia="pt-BR"/>
    </w:rPr>
  </w:style>
  <w:style w:type="paragraph" w:customStyle="1" w:styleId="texto">
    <w:name w:val="texto"/>
    <w:basedOn w:val="Normal"/>
    <w:autoRedefine/>
    <w:qFormat/>
    <w:rsid w:val="00EA7632"/>
    <w:pPr>
      <w:widowControl w:val="0"/>
      <w:suppressAutoHyphens/>
      <w:adjustRightInd w:val="0"/>
      <w:spacing w:after="0" w:line="360" w:lineRule="auto"/>
      <w:jc w:val="center"/>
      <w:textAlignment w:val="baseline"/>
    </w:pPr>
    <w:rPr>
      <w:rFonts w:ascii="Cambria Math" w:eastAsia="Calibri" w:hAnsi="Cambria Math" w:cs="Times New Roman"/>
      <w:sz w:val="24"/>
      <w:szCs w:val="24"/>
      <w:lang w:val="en-US" w:eastAsia="ar-SA"/>
    </w:rPr>
  </w:style>
  <w:style w:type="paragraph" w:styleId="PargrafodaLista">
    <w:name w:val="List Paragraph"/>
    <w:basedOn w:val="Normal"/>
    <w:uiPriority w:val="34"/>
    <w:qFormat/>
    <w:rsid w:val="00942312"/>
    <w:pPr>
      <w:ind w:left="720"/>
      <w:contextualSpacing/>
    </w:pPr>
  </w:style>
  <w:style w:type="character" w:customStyle="1" w:styleId="reference-text">
    <w:name w:val="reference-text"/>
    <w:basedOn w:val="Fontepargpadro"/>
    <w:rsid w:val="00DB0235"/>
  </w:style>
  <w:style w:type="paragraph" w:styleId="Pr-formataoHTML">
    <w:name w:val="HTML Preformatted"/>
    <w:basedOn w:val="Normal"/>
    <w:link w:val="Pr-formataoHTMLChar"/>
    <w:uiPriority w:val="99"/>
    <w:unhideWhenUsed/>
    <w:rsid w:val="00DB02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DB0235"/>
    <w:rPr>
      <w:rFonts w:ascii="Courier New" w:eastAsia="Times New Roman" w:hAnsi="Courier New" w:cs="Courier New"/>
      <w:sz w:val="20"/>
      <w:szCs w:val="20"/>
      <w:lang w:eastAsia="pt-BR"/>
    </w:rPr>
  </w:style>
  <w:style w:type="character" w:customStyle="1" w:styleId="st">
    <w:name w:val="st"/>
    <w:basedOn w:val="Fontepargpadro"/>
    <w:rsid w:val="00DB0235"/>
  </w:style>
  <w:style w:type="paragraph" w:styleId="Cabealho">
    <w:name w:val="header"/>
    <w:basedOn w:val="Normal"/>
    <w:link w:val="CabealhoChar"/>
    <w:uiPriority w:val="99"/>
    <w:unhideWhenUsed/>
    <w:rsid w:val="00DF30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F3040"/>
  </w:style>
  <w:style w:type="paragraph" w:styleId="Textodenotaderodap">
    <w:name w:val="footnote text"/>
    <w:basedOn w:val="Normal"/>
    <w:link w:val="TextodenotaderodapChar"/>
    <w:semiHidden/>
    <w:rsid w:val="002374DF"/>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semiHidden/>
    <w:rsid w:val="002374DF"/>
    <w:rPr>
      <w:rFonts w:ascii="Times New Roman" w:eastAsia="Times New Roman" w:hAnsi="Times New Roman" w:cs="Times New Roman"/>
      <w:sz w:val="20"/>
      <w:szCs w:val="20"/>
    </w:rPr>
  </w:style>
  <w:style w:type="character" w:styleId="Refdenotaderodap">
    <w:name w:val="footnote reference"/>
    <w:basedOn w:val="Fontepargpadro"/>
    <w:semiHidden/>
    <w:rsid w:val="002374DF"/>
    <w:rPr>
      <w:vertAlign w:val="superscript"/>
    </w:rPr>
  </w:style>
  <w:style w:type="character" w:customStyle="1" w:styleId="apple-converted-space">
    <w:name w:val="apple-converted-space"/>
    <w:basedOn w:val="Fontepargpadro"/>
    <w:rsid w:val="00D51B81"/>
  </w:style>
  <w:style w:type="character" w:styleId="Refdecomentrio">
    <w:name w:val="annotation reference"/>
    <w:basedOn w:val="Fontepargpadro"/>
    <w:uiPriority w:val="99"/>
    <w:semiHidden/>
    <w:unhideWhenUsed/>
    <w:rsid w:val="00404DB8"/>
    <w:rPr>
      <w:sz w:val="16"/>
      <w:szCs w:val="16"/>
    </w:rPr>
  </w:style>
  <w:style w:type="paragraph" w:styleId="Textodecomentrio">
    <w:name w:val="annotation text"/>
    <w:basedOn w:val="Normal"/>
    <w:link w:val="TextodecomentrioChar"/>
    <w:uiPriority w:val="99"/>
    <w:semiHidden/>
    <w:unhideWhenUsed/>
    <w:rsid w:val="00404DB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04DB8"/>
    <w:rPr>
      <w:sz w:val="20"/>
      <w:szCs w:val="20"/>
    </w:rPr>
  </w:style>
  <w:style w:type="paragraph" w:styleId="Assuntodocomentrio">
    <w:name w:val="annotation subject"/>
    <w:basedOn w:val="Textodecomentrio"/>
    <w:next w:val="Textodecomentrio"/>
    <w:link w:val="AssuntodocomentrioChar"/>
    <w:uiPriority w:val="99"/>
    <w:semiHidden/>
    <w:unhideWhenUsed/>
    <w:rsid w:val="00404DB8"/>
    <w:rPr>
      <w:b/>
      <w:bCs/>
    </w:rPr>
  </w:style>
  <w:style w:type="character" w:customStyle="1" w:styleId="AssuntodocomentrioChar">
    <w:name w:val="Assunto do comentário Char"/>
    <w:basedOn w:val="TextodecomentrioChar"/>
    <w:link w:val="Assuntodocomentrio"/>
    <w:uiPriority w:val="99"/>
    <w:semiHidden/>
    <w:rsid w:val="00404DB8"/>
    <w:rPr>
      <w:b/>
      <w:bCs/>
      <w:sz w:val="20"/>
      <w:szCs w:val="20"/>
    </w:rPr>
  </w:style>
  <w:style w:type="paragraph" w:styleId="Reviso">
    <w:name w:val="Revision"/>
    <w:hidden/>
    <w:uiPriority w:val="99"/>
    <w:semiHidden/>
    <w:rsid w:val="006A5F90"/>
    <w:pPr>
      <w:spacing w:after="0" w:line="240" w:lineRule="auto"/>
    </w:pPr>
  </w:style>
  <w:style w:type="character" w:customStyle="1" w:styleId="hps">
    <w:name w:val="hps"/>
    <w:basedOn w:val="Fontepargpadro"/>
    <w:rsid w:val="002301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214"/>
  </w:style>
  <w:style w:type="paragraph" w:styleId="Ttulo1">
    <w:name w:val="heading 1"/>
    <w:basedOn w:val="Normal"/>
    <w:next w:val="Normal"/>
    <w:link w:val="Ttulo1Char"/>
    <w:qFormat/>
    <w:rsid w:val="00942312"/>
    <w:pPr>
      <w:keepNext/>
      <w:spacing w:after="0" w:line="360" w:lineRule="auto"/>
      <w:jc w:val="both"/>
      <w:outlineLvl w:val="0"/>
    </w:pPr>
    <w:rPr>
      <w:rFonts w:ascii="Arial" w:eastAsia="Times New Roman" w:hAnsi="Arial" w:cs="Arial"/>
      <w:b/>
      <w:bCs/>
      <w:sz w:val="24"/>
      <w:szCs w:val="24"/>
    </w:rPr>
  </w:style>
  <w:style w:type="paragraph" w:styleId="Ttulo2">
    <w:name w:val="heading 2"/>
    <w:basedOn w:val="Normal"/>
    <w:next w:val="Normal"/>
    <w:link w:val="Ttulo2Char"/>
    <w:qFormat/>
    <w:rsid w:val="00942312"/>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1A3BB2"/>
    <w:pPr>
      <w:tabs>
        <w:tab w:val="center" w:pos="4513"/>
        <w:tab w:val="right" w:pos="9026"/>
      </w:tabs>
      <w:spacing w:after="0" w:line="240" w:lineRule="auto"/>
    </w:pPr>
  </w:style>
  <w:style w:type="character" w:customStyle="1" w:styleId="RodapChar">
    <w:name w:val="Rodapé Char"/>
    <w:basedOn w:val="Fontepargpadro"/>
    <w:link w:val="Rodap"/>
    <w:uiPriority w:val="99"/>
    <w:rsid w:val="001A3BB2"/>
  </w:style>
  <w:style w:type="paragraph" w:styleId="Corpodetexto">
    <w:name w:val="Body Text"/>
    <w:basedOn w:val="Normal"/>
    <w:link w:val="CorpodetextoChar"/>
    <w:rsid w:val="001A3BB2"/>
    <w:pPr>
      <w:spacing w:after="0" w:line="360" w:lineRule="auto"/>
      <w:jc w:val="both"/>
    </w:pPr>
    <w:rPr>
      <w:rFonts w:ascii="Arial" w:eastAsia="Times New Roman" w:hAnsi="Arial" w:cs="Arial"/>
      <w:sz w:val="24"/>
      <w:szCs w:val="24"/>
    </w:rPr>
  </w:style>
  <w:style w:type="character" w:customStyle="1" w:styleId="CorpodetextoChar">
    <w:name w:val="Corpo de texto Char"/>
    <w:basedOn w:val="Fontepargpadro"/>
    <w:link w:val="Corpodetexto"/>
    <w:rsid w:val="001A3BB2"/>
    <w:rPr>
      <w:rFonts w:ascii="Arial" w:eastAsia="Times New Roman" w:hAnsi="Arial" w:cs="Arial"/>
      <w:sz w:val="24"/>
      <w:szCs w:val="24"/>
      <w:lang w:eastAsia="pt-BR"/>
    </w:rPr>
  </w:style>
  <w:style w:type="paragraph" w:customStyle="1" w:styleId="minhaLegenda">
    <w:name w:val="minhaLegenda"/>
    <w:basedOn w:val="Normal"/>
    <w:rsid w:val="001A3BB2"/>
    <w:pPr>
      <w:spacing w:after="0" w:line="360" w:lineRule="auto"/>
      <w:ind w:left="708" w:right="57"/>
      <w:jc w:val="center"/>
    </w:pPr>
    <w:rPr>
      <w:rFonts w:ascii="Times New Roman" w:eastAsia="Times New Roman" w:hAnsi="Times New Roman" w:cs="Times New Roman"/>
      <w:sz w:val="24"/>
      <w:szCs w:val="20"/>
    </w:rPr>
  </w:style>
  <w:style w:type="paragraph" w:customStyle="1" w:styleId="Tabela">
    <w:name w:val="Tabela"/>
    <w:basedOn w:val="Normal"/>
    <w:next w:val="Normal"/>
    <w:autoRedefine/>
    <w:qFormat/>
    <w:rsid w:val="00AD6B0B"/>
    <w:pPr>
      <w:spacing w:before="360" w:after="120" w:line="240" w:lineRule="auto"/>
      <w:ind w:left="1134" w:right="1132"/>
      <w:contextualSpacing/>
      <w:jc w:val="both"/>
    </w:pPr>
    <w:rPr>
      <w:rFonts w:ascii="Times New Roman" w:eastAsia="Times New Roman" w:hAnsi="Times New Roman" w:cs="Times New Roman"/>
      <w:b/>
      <w:sz w:val="24"/>
      <w:szCs w:val="24"/>
    </w:rPr>
  </w:style>
  <w:style w:type="paragraph" w:styleId="Textodebalo">
    <w:name w:val="Balloon Text"/>
    <w:basedOn w:val="Normal"/>
    <w:link w:val="TextodebaloChar"/>
    <w:uiPriority w:val="99"/>
    <w:semiHidden/>
    <w:unhideWhenUsed/>
    <w:rsid w:val="001A3BB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A3BB2"/>
    <w:rPr>
      <w:rFonts w:ascii="Tahoma" w:hAnsi="Tahoma" w:cs="Tahoma"/>
      <w:sz w:val="16"/>
      <w:szCs w:val="16"/>
    </w:rPr>
  </w:style>
  <w:style w:type="paragraph" w:styleId="Recuodecorpodetexto">
    <w:name w:val="Body Text Indent"/>
    <w:basedOn w:val="Normal"/>
    <w:link w:val="RecuodecorpodetextoChar"/>
    <w:uiPriority w:val="99"/>
    <w:semiHidden/>
    <w:unhideWhenUsed/>
    <w:rsid w:val="00942312"/>
    <w:pPr>
      <w:spacing w:after="120"/>
      <w:ind w:left="360"/>
    </w:pPr>
  </w:style>
  <w:style w:type="character" w:customStyle="1" w:styleId="RecuodecorpodetextoChar">
    <w:name w:val="Recuo de corpo de texto Char"/>
    <w:basedOn w:val="Fontepargpadro"/>
    <w:link w:val="Recuodecorpodetexto"/>
    <w:uiPriority w:val="99"/>
    <w:semiHidden/>
    <w:rsid w:val="00942312"/>
  </w:style>
  <w:style w:type="character" w:customStyle="1" w:styleId="Ttulo1Char">
    <w:name w:val="Título 1 Char"/>
    <w:basedOn w:val="Fontepargpadro"/>
    <w:link w:val="Ttulo1"/>
    <w:rsid w:val="00942312"/>
    <w:rPr>
      <w:rFonts w:ascii="Arial" w:eastAsia="Times New Roman" w:hAnsi="Arial" w:cs="Arial"/>
      <w:b/>
      <w:bCs/>
      <w:sz w:val="24"/>
      <w:szCs w:val="24"/>
      <w:lang w:eastAsia="pt-BR"/>
    </w:rPr>
  </w:style>
  <w:style w:type="character" w:customStyle="1" w:styleId="Ttulo2Char">
    <w:name w:val="Título 2 Char"/>
    <w:basedOn w:val="Fontepargpadro"/>
    <w:link w:val="Ttulo2"/>
    <w:rsid w:val="00942312"/>
    <w:rPr>
      <w:rFonts w:ascii="Arial" w:eastAsia="Times New Roman" w:hAnsi="Arial" w:cs="Arial"/>
      <w:b/>
      <w:bCs/>
      <w:i/>
      <w:iCs/>
      <w:sz w:val="28"/>
      <w:szCs w:val="28"/>
      <w:lang w:eastAsia="pt-BR"/>
    </w:rPr>
  </w:style>
  <w:style w:type="paragraph" w:customStyle="1" w:styleId="texto">
    <w:name w:val="texto"/>
    <w:basedOn w:val="Normal"/>
    <w:autoRedefine/>
    <w:qFormat/>
    <w:rsid w:val="00EA7632"/>
    <w:pPr>
      <w:widowControl w:val="0"/>
      <w:suppressAutoHyphens/>
      <w:adjustRightInd w:val="0"/>
      <w:spacing w:after="0" w:line="360" w:lineRule="auto"/>
      <w:jc w:val="center"/>
      <w:textAlignment w:val="baseline"/>
    </w:pPr>
    <w:rPr>
      <w:rFonts w:ascii="Cambria Math" w:eastAsia="Calibri" w:hAnsi="Cambria Math" w:cs="Times New Roman"/>
      <w:sz w:val="24"/>
      <w:szCs w:val="24"/>
      <w:lang w:val="en-US" w:eastAsia="ar-SA"/>
    </w:rPr>
  </w:style>
  <w:style w:type="paragraph" w:styleId="PargrafodaLista">
    <w:name w:val="List Paragraph"/>
    <w:basedOn w:val="Normal"/>
    <w:uiPriority w:val="34"/>
    <w:qFormat/>
    <w:rsid w:val="00942312"/>
    <w:pPr>
      <w:ind w:left="720"/>
      <w:contextualSpacing/>
    </w:pPr>
  </w:style>
  <w:style w:type="character" w:customStyle="1" w:styleId="reference-text">
    <w:name w:val="reference-text"/>
    <w:basedOn w:val="Fontepargpadro"/>
    <w:rsid w:val="00DB0235"/>
  </w:style>
  <w:style w:type="paragraph" w:styleId="Pr-formataoHTML">
    <w:name w:val="HTML Preformatted"/>
    <w:basedOn w:val="Normal"/>
    <w:link w:val="Pr-formataoHTMLChar"/>
    <w:uiPriority w:val="99"/>
    <w:unhideWhenUsed/>
    <w:rsid w:val="00DB02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DB0235"/>
    <w:rPr>
      <w:rFonts w:ascii="Courier New" w:eastAsia="Times New Roman" w:hAnsi="Courier New" w:cs="Courier New"/>
      <w:sz w:val="20"/>
      <w:szCs w:val="20"/>
      <w:lang w:eastAsia="pt-BR"/>
    </w:rPr>
  </w:style>
  <w:style w:type="character" w:customStyle="1" w:styleId="st">
    <w:name w:val="st"/>
    <w:basedOn w:val="Fontepargpadro"/>
    <w:rsid w:val="00DB0235"/>
  </w:style>
  <w:style w:type="paragraph" w:styleId="Cabealho">
    <w:name w:val="header"/>
    <w:basedOn w:val="Normal"/>
    <w:link w:val="CabealhoChar"/>
    <w:uiPriority w:val="99"/>
    <w:unhideWhenUsed/>
    <w:rsid w:val="00DF30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F3040"/>
  </w:style>
  <w:style w:type="paragraph" w:styleId="Textodenotaderodap">
    <w:name w:val="footnote text"/>
    <w:basedOn w:val="Normal"/>
    <w:link w:val="TextodenotaderodapChar"/>
    <w:semiHidden/>
    <w:rsid w:val="002374DF"/>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semiHidden/>
    <w:rsid w:val="002374DF"/>
    <w:rPr>
      <w:rFonts w:ascii="Times New Roman" w:eastAsia="Times New Roman" w:hAnsi="Times New Roman" w:cs="Times New Roman"/>
      <w:sz w:val="20"/>
      <w:szCs w:val="20"/>
    </w:rPr>
  </w:style>
  <w:style w:type="character" w:styleId="Refdenotaderodap">
    <w:name w:val="footnote reference"/>
    <w:basedOn w:val="Fontepargpadro"/>
    <w:semiHidden/>
    <w:rsid w:val="002374DF"/>
    <w:rPr>
      <w:vertAlign w:val="superscript"/>
    </w:rPr>
  </w:style>
  <w:style w:type="character" w:customStyle="1" w:styleId="apple-converted-space">
    <w:name w:val="apple-converted-space"/>
    <w:basedOn w:val="Fontepargpadro"/>
    <w:rsid w:val="00D51B81"/>
  </w:style>
  <w:style w:type="character" w:styleId="Refdecomentrio">
    <w:name w:val="annotation reference"/>
    <w:basedOn w:val="Fontepargpadro"/>
    <w:uiPriority w:val="99"/>
    <w:semiHidden/>
    <w:unhideWhenUsed/>
    <w:rsid w:val="00404DB8"/>
    <w:rPr>
      <w:sz w:val="16"/>
      <w:szCs w:val="16"/>
    </w:rPr>
  </w:style>
  <w:style w:type="paragraph" w:styleId="Textodecomentrio">
    <w:name w:val="annotation text"/>
    <w:basedOn w:val="Normal"/>
    <w:link w:val="TextodecomentrioChar"/>
    <w:uiPriority w:val="99"/>
    <w:semiHidden/>
    <w:unhideWhenUsed/>
    <w:rsid w:val="00404DB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04DB8"/>
    <w:rPr>
      <w:sz w:val="20"/>
      <w:szCs w:val="20"/>
    </w:rPr>
  </w:style>
  <w:style w:type="paragraph" w:styleId="Assuntodocomentrio">
    <w:name w:val="annotation subject"/>
    <w:basedOn w:val="Textodecomentrio"/>
    <w:next w:val="Textodecomentrio"/>
    <w:link w:val="AssuntodocomentrioChar"/>
    <w:uiPriority w:val="99"/>
    <w:semiHidden/>
    <w:unhideWhenUsed/>
    <w:rsid w:val="00404DB8"/>
    <w:rPr>
      <w:b/>
      <w:bCs/>
    </w:rPr>
  </w:style>
  <w:style w:type="character" w:customStyle="1" w:styleId="AssuntodocomentrioChar">
    <w:name w:val="Assunto do comentário Char"/>
    <w:basedOn w:val="TextodecomentrioChar"/>
    <w:link w:val="Assuntodocomentrio"/>
    <w:uiPriority w:val="99"/>
    <w:semiHidden/>
    <w:rsid w:val="00404DB8"/>
    <w:rPr>
      <w:b/>
      <w:bCs/>
      <w:sz w:val="20"/>
      <w:szCs w:val="20"/>
    </w:rPr>
  </w:style>
  <w:style w:type="paragraph" w:styleId="Reviso">
    <w:name w:val="Revision"/>
    <w:hidden/>
    <w:uiPriority w:val="99"/>
    <w:semiHidden/>
    <w:rsid w:val="006A5F90"/>
    <w:pPr>
      <w:spacing w:after="0" w:line="240" w:lineRule="auto"/>
    </w:pPr>
  </w:style>
  <w:style w:type="character" w:customStyle="1" w:styleId="hps">
    <w:name w:val="hps"/>
    <w:basedOn w:val="Fontepargpadro"/>
    <w:rsid w:val="002301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13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emf"/><Relationship Id="rId30" Type="http://schemas.openxmlformats.org/officeDocument/2006/relationships/image" Target="media/image12.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2C39E-AE4E-422F-B1A8-AB557614A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7531</Words>
  <Characters>40669</Characters>
  <Application>Microsoft Office Word</Application>
  <DocSecurity>0</DocSecurity>
  <Lines>338</Lines>
  <Paragraphs>96</Paragraphs>
  <ScaleCrop>false</ScaleCrop>
  <HeadingPairs>
    <vt:vector size="2" baseType="variant">
      <vt:variant>
        <vt:lpstr>Título</vt:lpstr>
      </vt:variant>
      <vt:variant>
        <vt:i4>1</vt:i4>
      </vt:variant>
    </vt:vector>
  </HeadingPairs>
  <TitlesOfParts>
    <vt:vector size="1" baseType="lpstr">
      <vt:lpstr/>
    </vt:vector>
  </TitlesOfParts>
  <Company>HOUSE</Company>
  <LinksUpToDate>false</LinksUpToDate>
  <CharactersWithSpaces>48104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marcelalaiz</dc:creator>
  <cp:lastModifiedBy>MarcelaLaiz</cp:lastModifiedBy>
  <cp:revision>2</cp:revision>
  <dcterms:created xsi:type="dcterms:W3CDTF">2013-11-27T11:39:00Z</dcterms:created>
  <dcterms:modified xsi:type="dcterms:W3CDTF">2013-11-27T11:39:00Z</dcterms:modified>
</cp:coreProperties>
</file>