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299" w:rsidRPr="000E18A6" w:rsidRDefault="000A3E1C" w:rsidP="000E18A6">
      <w:pPr>
        <w:pStyle w:val="Ttulo"/>
        <w:widowControl/>
        <w:jc w:val="left"/>
        <w:rPr>
          <w:sz w:val="28"/>
          <w:szCs w:val="28"/>
        </w:rPr>
      </w:pPr>
      <w:bookmarkStart w:id="0" w:name="_GoBack"/>
      <w:bookmarkEnd w:id="0"/>
      <w:r w:rsidRPr="000E18A6">
        <w:rPr>
          <w:sz w:val="28"/>
          <w:szCs w:val="28"/>
        </w:rPr>
        <w:t>Dinâmica dos saltos condicionais na taxa de câmbio brasileira</w:t>
      </w:r>
    </w:p>
    <w:p w:rsidR="002E2661" w:rsidRDefault="000E18A6" w:rsidP="000E18A6">
      <w:pPr>
        <w:pStyle w:val="author"/>
        <w:jc w:val="left"/>
      </w:pPr>
      <w:r>
        <w:t>Regis Augusto Ely</w:t>
      </w:r>
      <w:r>
        <w:rPr>
          <w:rStyle w:val="Refdenotaderodap"/>
        </w:rPr>
        <w:footnoteReference w:id="1"/>
      </w:r>
    </w:p>
    <w:p w:rsidR="002E2661" w:rsidRPr="002E2661" w:rsidRDefault="002E2661" w:rsidP="002E2661"/>
    <w:p w:rsidR="00064299" w:rsidRDefault="00FB4AF7" w:rsidP="002E2600">
      <w:pPr>
        <w:pStyle w:val="author"/>
        <w:widowControl/>
        <w:ind w:firstLine="360"/>
      </w:pPr>
      <w:r>
        <w:fldChar w:fldCharType="begin"/>
      </w:r>
      <w:r>
        <w:instrText xml:space="preserve"> DATE  \@ "d' de 'MMMM' de 'yyyy" </w:instrText>
      </w:r>
      <w:r>
        <w:fldChar w:fldCharType="separate"/>
      </w:r>
      <w:r w:rsidR="00932723">
        <w:t>14 de fevereiro de 2014</w:t>
      </w:r>
      <w:r>
        <w:fldChar w:fldCharType="end"/>
      </w:r>
    </w:p>
    <w:p w:rsidR="002E2661" w:rsidRDefault="002E2661" w:rsidP="002E2600">
      <w:pPr>
        <w:pStyle w:val="abstracttitle"/>
        <w:widowControl/>
        <w:ind w:firstLine="360"/>
      </w:pPr>
    </w:p>
    <w:p w:rsidR="00064299" w:rsidRDefault="000A3E1C" w:rsidP="002E2600">
      <w:pPr>
        <w:pStyle w:val="abstracttitle"/>
        <w:widowControl/>
        <w:ind w:firstLine="360"/>
      </w:pPr>
      <w:r>
        <w:t>Resumo</w:t>
      </w:r>
    </w:p>
    <w:p w:rsidR="000B19F2" w:rsidRDefault="000A3E1C" w:rsidP="000B19F2">
      <w:pPr>
        <w:ind w:left="1024" w:right="1024" w:firstLine="360"/>
      </w:pPr>
      <w:r>
        <w:t xml:space="preserve"> </w:t>
      </w:r>
      <w:r w:rsidR="000B19F2" w:rsidRPr="000B19F2">
        <w:t>Este artigo estuda a dinâmica dos saltos condicionais na taxa de câmbio entre o Real e o Dólar desde a introdução do regime de câmbio flutuante no Brasil. Utilizamos um modelo de saltos condicionais constantes e três especificações diferentes do modelo ARJI-GARCH proposto por</w:t>
      </w:r>
      <w:r w:rsidR="000B19F2">
        <w:t xml:space="preserve"> </w:t>
      </w:r>
      <w:r w:rsidR="000B19F2" w:rsidRPr="000B19F2">
        <w:t>Chan</w:t>
      </w:r>
      <w:r w:rsidR="000B19F2">
        <w:t xml:space="preserve"> e </w:t>
      </w:r>
      <w:r w:rsidR="000B19F2" w:rsidRPr="000B19F2">
        <w:t>Maheu</w:t>
      </w:r>
      <w:r w:rsidR="000B19F2">
        <w:t xml:space="preserve"> (2002)</w:t>
      </w:r>
      <w:r w:rsidR="000B19F2" w:rsidRPr="000B19F2">
        <w:t xml:space="preserve"> para modelar a dinâmica dos saltos. Os resultados sugerem que (i) as variações na taxa de câmbio podem ser modeladas através de saltos condicionais que são variantes no tempo e sensíveis a choques passados, (ii) as depreciações cambiais apresentam pouca evidência de assimetria em relação à direção dos saltos, e (iii) a intensidade dos saltos é persistente, podendo ser modelada por um processo autorregressivo de médias móveis. Períodos como as crises de 2002 e 2008 e a recente política de intervenção do Banco Central em 2012 são analisados sob o ponto de vista do modelo. Também mostramos que os modelos utilizados têm menores erros de previsão do que modelos tradicionais.</w:t>
      </w:r>
    </w:p>
    <w:p w:rsidR="00064299" w:rsidRDefault="000A3E1C" w:rsidP="000B19F2">
      <w:pPr>
        <w:ind w:left="1024" w:right="1024" w:firstLine="360"/>
        <w:rPr>
          <w:sz w:val="22"/>
          <w:szCs w:val="22"/>
        </w:rPr>
      </w:pPr>
      <w:r>
        <w:rPr>
          <w:b/>
          <w:bCs/>
          <w:sz w:val="22"/>
          <w:szCs w:val="22"/>
        </w:rPr>
        <w:t>Palavras-chave:</w:t>
      </w:r>
      <w:r w:rsidR="00FB4AF7">
        <w:rPr>
          <w:sz w:val="22"/>
          <w:szCs w:val="22"/>
        </w:rPr>
        <w:t xml:space="preserve"> Saltos Condicionais; Taxa de Câmbio;</w:t>
      </w:r>
      <w:r>
        <w:rPr>
          <w:sz w:val="22"/>
          <w:szCs w:val="22"/>
        </w:rPr>
        <w:t xml:space="preserve"> Volatilidade. </w:t>
      </w:r>
    </w:p>
    <w:p w:rsidR="00064299" w:rsidRDefault="000A3E1C" w:rsidP="00F068A9">
      <w:pPr>
        <w:spacing w:before="120"/>
        <w:ind w:left="664" w:firstLine="720"/>
      </w:pPr>
      <w:r>
        <w:rPr>
          <w:b/>
          <w:bCs/>
          <w:sz w:val="22"/>
          <w:szCs w:val="22"/>
        </w:rPr>
        <w:t>Código JEL:</w:t>
      </w:r>
      <w:r w:rsidR="00FB4AF7">
        <w:rPr>
          <w:sz w:val="22"/>
          <w:szCs w:val="22"/>
        </w:rPr>
        <w:t xml:space="preserve"> C58; G14;</w:t>
      </w:r>
      <w:r>
        <w:rPr>
          <w:sz w:val="22"/>
          <w:szCs w:val="22"/>
        </w:rPr>
        <w:t xml:space="preserve"> G15</w:t>
      </w:r>
      <w:r>
        <w:t xml:space="preserve"> </w:t>
      </w:r>
    </w:p>
    <w:p w:rsidR="00064299" w:rsidRDefault="00064299" w:rsidP="002E2600"/>
    <w:p w:rsidR="00064299" w:rsidRDefault="000A3E1C" w:rsidP="002E2600">
      <w:pPr>
        <w:pStyle w:val="abstracttitle"/>
        <w:widowControl/>
        <w:ind w:firstLine="360"/>
      </w:pPr>
      <w:r>
        <w:t>Resumo</w:t>
      </w:r>
    </w:p>
    <w:p w:rsidR="00F068A9" w:rsidRDefault="000A3E1C" w:rsidP="00F068A9">
      <w:pPr>
        <w:ind w:left="1024" w:right="1024" w:firstLine="360"/>
        <w:rPr>
          <w:lang w:val="en-US"/>
        </w:rPr>
      </w:pPr>
      <w:r>
        <w:t xml:space="preserve"> </w:t>
      </w:r>
      <w:r w:rsidR="00F068A9" w:rsidRPr="00F068A9">
        <w:rPr>
          <w:lang w:val="en-US"/>
        </w:rPr>
        <w:t>This paper studies the conditional jump dynamics of the exchange rate between Real and U.S Dollar since the introduction of the floating regime in Brazil. We use a constant conditional jump model and three different specifications of the ARJI-GARCH model of Chan and Maheu (2002) to model jump dynamics. The results suggest that (i) exchange rate variations can be successfully modeled by conditional jumps, which are time-varying and sensitive to past shocks, (ii) currency depreciation presents little evidence of asymmetry in relation to jumps, and (iii) the jump intensity is highly persistent and behaves like an autorregressive moving average model. Events such as the 2002 and 2008 crisis and the recent intervention policy of the Central Bank in 2012 are discussed on the basis of the model. We also show that the forecast errors of the jump models are significant lower than traditional models.</w:t>
      </w:r>
    </w:p>
    <w:p w:rsidR="00064299" w:rsidRPr="000A3E1C" w:rsidRDefault="000A3E1C" w:rsidP="00F068A9">
      <w:pPr>
        <w:ind w:left="1024" w:right="1024" w:firstLine="360"/>
        <w:rPr>
          <w:sz w:val="22"/>
          <w:szCs w:val="22"/>
          <w:lang w:val="en-US"/>
        </w:rPr>
      </w:pPr>
      <w:r w:rsidRPr="000A3E1C">
        <w:rPr>
          <w:b/>
          <w:bCs/>
          <w:sz w:val="22"/>
          <w:szCs w:val="22"/>
          <w:lang w:val="en-US"/>
        </w:rPr>
        <w:t>Keywords:</w:t>
      </w:r>
      <w:r w:rsidR="00FB4AF7">
        <w:rPr>
          <w:sz w:val="22"/>
          <w:szCs w:val="22"/>
          <w:lang w:val="en-US"/>
        </w:rPr>
        <w:t xml:space="preserve"> Conditional Jumps; Exchange Rate;</w:t>
      </w:r>
      <w:r w:rsidRPr="000A3E1C">
        <w:rPr>
          <w:sz w:val="22"/>
          <w:szCs w:val="22"/>
          <w:lang w:val="en-US"/>
        </w:rPr>
        <w:t xml:space="preserve"> Volatility. </w:t>
      </w:r>
    </w:p>
    <w:p w:rsidR="00064299" w:rsidRPr="00CA4FAF" w:rsidRDefault="000A3E1C" w:rsidP="00F068A9">
      <w:pPr>
        <w:spacing w:before="120"/>
        <w:ind w:left="664" w:firstLine="720"/>
      </w:pPr>
      <w:r w:rsidRPr="00CA4FAF">
        <w:rPr>
          <w:b/>
          <w:bCs/>
          <w:sz w:val="22"/>
          <w:szCs w:val="22"/>
        </w:rPr>
        <w:t>JEL Code:</w:t>
      </w:r>
      <w:r w:rsidR="00FB4AF7">
        <w:rPr>
          <w:sz w:val="22"/>
          <w:szCs w:val="22"/>
        </w:rPr>
        <w:t xml:space="preserve"> C58; G14;</w:t>
      </w:r>
      <w:r w:rsidRPr="00CA4FAF">
        <w:rPr>
          <w:sz w:val="22"/>
          <w:szCs w:val="22"/>
        </w:rPr>
        <w:t xml:space="preserve"> G15</w:t>
      </w:r>
      <w:r w:rsidRPr="00CA4FAF">
        <w:t xml:space="preserve"> </w:t>
      </w:r>
    </w:p>
    <w:p w:rsidR="00064299" w:rsidRPr="00CA4FAF" w:rsidRDefault="00064299" w:rsidP="002E2600"/>
    <w:p w:rsidR="00064299" w:rsidRPr="0021130F" w:rsidRDefault="000A3E1C" w:rsidP="0021130F">
      <w:pPr>
        <w:pStyle w:val="PargrafodaLista"/>
        <w:numPr>
          <w:ilvl w:val="0"/>
          <w:numId w:val="1"/>
        </w:numPr>
        <w:spacing w:line="360" w:lineRule="auto"/>
        <w:rPr>
          <w:b/>
        </w:rPr>
      </w:pPr>
      <w:r w:rsidRPr="000A3E1C">
        <w:br w:type="column"/>
      </w:r>
      <w:r w:rsidRPr="0021130F">
        <w:rPr>
          <w:b/>
        </w:rPr>
        <w:lastRenderedPageBreak/>
        <w:t>Introdução</w:t>
      </w:r>
    </w:p>
    <w:p w:rsidR="000A3E1C" w:rsidRPr="00375EFF" w:rsidRDefault="000A3E1C" w:rsidP="002E2600">
      <w:pPr>
        <w:spacing w:line="360" w:lineRule="auto"/>
        <w:rPr>
          <w:b/>
        </w:rPr>
      </w:pPr>
    </w:p>
    <w:p w:rsidR="00064299" w:rsidRPr="00375EFF" w:rsidRDefault="000A3E1C" w:rsidP="002E2600">
      <w:pPr>
        <w:spacing w:line="360" w:lineRule="auto"/>
        <w:ind w:firstLine="360"/>
      </w:pPr>
      <w:r w:rsidRPr="00375EFF">
        <w:t xml:space="preserve">Desde a flexibilização cambial no Brasil em janeiro de 1999, o comportamento dinâmico da taxa de câmbio tem sido objeto de estudo da literatura especializada (Tabak e Lima, 2009; Oliveira e Plaga, 2011). Variações de taxas de câmbio exibem enviesamento negativo e excesso de curtose em suas distribuições, gerando persistência dos choques e quedas abruptas (Hsieh, 1988). </w:t>
      </w:r>
    </w:p>
    <w:p w:rsidR="00064299" w:rsidRPr="00375EFF" w:rsidRDefault="000A3E1C" w:rsidP="002E2600">
      <w:pPr>
        <w:spacing w:line="360" w:lineRule="auto"/>
        <w:ind w:firstLine="360"/>
      </w:pPr>
      <w:r w:rsidRPr="00375EFF">
        <w:t>O mercado cambial brasileiro é afetado por diversas forças externas e inclusive pela intervenção do Banco Central na oferta e demanda de divisas. Desde a flexibilização e principalmente ao longo do ano de 2012 observamos importantes mudanças no comportamento da taxa de câmbio. Entender o processo que governa o aparecimento de eventos que afetam o mercado cambial, e assim poder modelar satisfatoriamente a volatilidade do câmbio, é importante tanto para a administração de risco como para a formulação de políticas.</w:t>
      </w:r>
    </w:p>
    <w:p w:rsidR="00064299" w:rsidRPr="00375EFF" w:rsidRDefault="000A3E1C" w:rsidP="002E2600">
      <w:pPr>
        <w:spacing w:line="360" w:lineRule="auto"/>
        <w:ind w:firstLine="360"/>
      </w:pPr>
      <w:r w:rsidRPr="00375EFF">
        <w:t>Para modelar a curtose e a assimetria existentes em retornos financeiros, além da heteroscedasticidade condicional, normalmente são utilizados processos difusos com saltos para lidar com eventos “normais” e “raros” simultaneamente (Tauchen e Zhou, 2011; Todorov, 2011). Por outro lado, saltos discretos são difíceis de prever, por isso existem poucas evidências sobre o comportamentos dos saltos em tempo discreto nos mercados cambiais.</w:t>
      </w:r>
    </w:p>
    <w:p w:rsidR="00064299" w:rsidRPr="00375EFF" w:rsidRDefault="000A3E1C" w:rsidP="002E2600">
      <w:pPr>
        <w:spacing w:line="360" w:lineRule="auto"/>
        <w:ind w:firstLine="360"/>
      </w:pPr>
      <w:r w:rsidRPr="00375EFF">
        <w:t xml:space="preserve">Os modelos de saltos foram extendidos de diversas maneiras ao longo tempo (Andersen et al., 2002; Maheu e McCurdy, 2004), entretanto, ao se trabalhar em tempo discreto, é natural incluir uma especificação de hetoroscedasticidade condicional, visto que a variância condicional de retornos financeiros apresenta persistência. Nesse caso, a parametrização GARCH </w:t>
      </w:r>
      <w:r w:rsidRPr="00375EFF">
        <w:rPr>
          <w:i/>
          <w:iCs/>
        </w:rPr>
        <w:t>(Generalized Autoregressive Conditional Heteroskedasticity)</w:t>
      </w:r>
      <w:r w:rsidRPr="00375EFF">
        <w:t xml:space="preserve"> explica mudanças suaves na volatilidade, enquanto os saltos explicam grandes movimentos discretos na série.</w:t>
      </w:r>
    </w:p>
    <w:p w:rsidR="00064299" w:rsidRPr="00375EFF" w:rsidRDefault="000A3E1C" w:rsidP="002E2600">
      <w:pPr>
        <w:spacing w:line="360" w:lineRule="auto"/>
        <w:ind w:firstLine="360"/>
      </w:pPr>
      <w:r w:rsidRPr="00375EFF">
        <w:t xml:space="preserve">Este artigo estuda a dinâmica dos saltos condicionais na taxa de câmbio no Brasil através dos modelos de saltos discretos propostos por Chan e Maheu (2002). Com isso pretendemos responder as seguintes perguntas: 1) Qual a intensidade dos saltos condicionais na taxa de câmbio ao longo do período de flexibilização cambial?  2) Os saltos aparecem de maneira persistente ou se comportam como ruído branco?  3) Existe assimetria no comportamento dos saltos, ou seja, depreciações cambiais têm maiores efeitos na direção dos saltos do que apreciações do câmbio?  4) Os saltos modelam satisfatoriamente a chegada de novos eventos no mercado cambial?  Nesse sentido, qual o comportamento dos saltos durante </w:t>
      </w:r>
      <w:r w:rsidR="00614768">
        <w:t xml:space="preserve">períodos </w:t>
      </w:r>
      <w:r w:rsidR="00614768">
        <w:lastRenderedPageBreak/>
        <w:t>críticos do mercado cambial</w:t>
      </w:r>
      <w:r w:rsidRPr="00375EFF">
        <w:t xml:space="preserve">? </w:t>
      </w:r>
      <w:r w:rsidR="00614768">
        <w:t>5) A inclusão dos saltos melhora a capacidade preditiva do modelo em relação a volatilidade do câmbio?</w:t>
      </w:r>
    </w:p>
    <w:p w:rsidR="00064299" w:rsidRPr="00375EFF" w:rsidRDefault="000A3E1C" w:rsidP="00614768">
      <w:pPr>
        <w:spacing w:line="360" w:lineRule="auto"/>
        <w:ind w:firstLine="360"/>
      </w:pPr>
      <w:r w:rsidRPr="00375EFF">
        <w:t xml:space="preserve">Este estudo fornece evidências sobre como a chegada de novas informações ou eventos raros influenciam o mercado cambial através do surgimento de saltos discretos, além de contribuir para o entendimento do processo que governa a dinâmica da taxa de câmbio brasileira e para a previsão de volatilidade nesse mercado. </w:t>
      </w:r>
      <w:r w:rsidR="00614768" w:rsidRPr="00614768">
        <w:t>Demonstramos que a inclusão de modelos com saltos pode melhorar significativamente a previsão de volatilidade no mercado cambial. Essas previsões dão os subsídios necessários para a tomada de decisão de investidores e a formulação de política, uma vez que a volatilidade cambial está associada a diversas outras variáveis na economia, como a inflação, a balança comercial, os investimentos estrangeiros, entre outros. A literatura brasileira ainda carece de resultados que indiquem o comportamento dos saltos condicionais discretos na taxa de câmbio.</w:t>
      </w:r>
    </w:p>
    <w:p w:rsidR="004477BE" w:rsidRPr="00375EFF" w:rsidRDefault="004477BE" w:rsidP="004477BE">
      <w:pPr>
        <w:spacing w:line="360" w:lineRule="auto"/>
      </w:pPr>
    </w:p>
    <w:p w:rsidR="00064299" w:rsidRPr="0021130F" w:rsidRDefault="000A3E1C" w:rsidP="0021130F">
      <w:pPr>
        <w:pStyle w:val="PargrafodaLista"/>
        <w:numPr>
          <w:ilvl w:val="0"/>
          <w:numId w:val="1"/>
        </w:numPr>
        <w:spacing w:line="360" w:lineRule="auto"/>
        <w:rPr>
          <w:b/>
        </w:rPr>
      </w:pPr>
      <w:r w:rsidRPr="0021130F">
        <w:rPr>
          <w:b/>
        </w:rPr>
        <w:t>Revisão de literatura</w:t>
      </w:r>
    </w:p>
    <w:p w:rsidR="004477BE" w:rsidRPr="00375EFF" w:rsidRDefault="004477BE" w:rsidP="002E2600">
      <w:pPr>
        <w:spacing w:line="360" w:lineRule="auto"/>
        <w:ind w:firstLine="360"/>
      </w:pPr>
    </w:p>
    <w:p w:rsidR="00064299" w:rsidRPr="00375EFF" w:rsidRDefault="000A3E1C" w:rsidP="002E2600">
      <w:pPr>
        <w:spacing w:line="360" w:lineRule="auto"/>
        <w:ind w:firstLine="360"/>
      </w:pPr>
      <w:r w:rsidRPr="00375EFF">
        <w:t>A série das variações na taxa de câmbio, além de possuir distribuições condicionais com caudas espessas, possibilitando a modelagem da variância condicional, também apresenta movimentos repentinos que podem ser modelados por saltos discretos. Essas características fazem com que um modelo de heteroscedasticidade condicional com saltos capte boa parte da variabilidade nas taxas de câmbio.</w:t>
      </w:r>
    </w:p>
    <w:p w:rsidR="00064299" w:rsidRPr="00375EFF" w:rsidRDefault="000A3E1C" w:rsidP="002E2600">
      <w:pPr>
        <w:spacing w:line="360" w:lineRule="auto"/>
        <w:ind w:firstLine="360"/>
      </w:pPr>
      <w:r w:rsidRPr="00375EFF">
        <w:t>Press (1967) foi quem primeiro introduziu modelos de saltos onde o número de movimentos nos preços é governado por uma distribuição de Poisson. A partir daí, diversos estudos empíricos demonstraram a utilidade desses modelos. Mais especificamente, Akgiray e Booth (1988), Tucker e Pond (1988) e Hsieh (1989) concluíram que tais modelos fornecem boas caracterizações estatísticas de taxas de câmbio na frequência diária.</w:t>
      </w:r>
    </w:p>
    <w:p w:rsidR="00064299" w:rsidRPr="00375EFF" w:rsidRDefault="000A3E1C" w:rsidP="002E2600">
      <w:pPr>
        <w:spacing w:line="360" w:lineRule="auto"/>
        <w:ind w:firstLine="360"/>
      </w:pPr>
      <w:r w:rsidRPr="00375EFF">
        <w:t>Como a principal característica dos retornos financeiros é a presença de heteroscedasticidade condicional, a literatura empregou modelos de saltos com efeitos ARCH (Jorion, 1988; Vlaar e Palm, 1993; Nieuwland et al., 1994). Entretanto, é razoável supor que a probabilidade de ocorrer saltos em um dado período seja diferente de outros (Bates, 1991), de modo que os parâmetros do processo que determina a ocorrência de saltos são variantes no tempo.</w:t>
      </w:r>
    </w:p>
    <w:p w:rsidR="00064299" w:rsidRPr="00375EFF" w:rsidRDefault="000A3E1C" w:rsidP="002E2600">
      <w:pPr>
        <w:spacing w:line="360" w:lineRule="auto"/>
        <w:ind w:firstLine="360"/>
      </w:pPr>
      <w:r w:rsidRPr="00375EFF">
        <w:t xml:space="preserve">Alguns trabalhos exploraram essa propriedade. Fortune (1999) propôs o uso de variáveis </w:t>
      </w:r>
      <w:r w:rsidRPr="00375EFF">
        <w:rPr>
          <w:i/>
          <w:iCs/>
        </w:rPr>
        <w:t>dummy</w:t>
      </w:r>
      <w:r w:rsidRPr="00375EFF">
        <w:t xml:space="preserve"> para mudar a intensidade dos saltos em diferentes semanas. Chernov et al. (2003) </w:t>
      </w:r>
      <w:r w:rsidRPr="00375EFF">
        <w:lastRenderedPageBreak/>
        <w:t>estimaram modelos que permitem que a intensidade dos saltos dependa tanto de observações anteriores como de um fator de volatilidade estocástica. Chan e Maheu (2002) permitiram que a intensidade dos saltos condicionais seguisse um processo autorregressivo endógeno. Artigos mais recentes estudaram mudanças de regime na intensidade dos saltos (Liu, 2012), incorporaram medidas de prêmio pelo risco nos componentes de volatilidade e saltos (Christoffersen et al., 2012), e utilizaram procedimentos não-paramétricos para detectar saltos em dados intradiários (Evans, 2011).</w:t>
      </w:r>
    </w:p>
    <w:p w:rsidR="00064299" w:rsidRPr="00375EFF" w:rsidRDefault="000A3E1C" w:rsidP="002E2600">
      <w:pPr>
        <w:spacing w:line="360" w:lineRule="auto"/>
        <w:ind w:firstLine="360"/>
      </w:pPr>
      <w:r w:rsidRPr="00375EFF">
        <w:t>A dinâmica dos saltos em retornos financeiros foi objeto de estudo empírico de diversos artigos na literatura. Chan e Maheu (2002) encontraram significativa variação no tempo da intensidade dos saltos condicionais e dos parâmetros da distribuição do tamanho dos saltos para retornos do mercado acionário americano. Chan (2004) concluiu que as correlações entre variações nas taxas de câmbio Marco alemão/Libra esterlina e Yen/Dólar são reflexos dos saltos que ocorrem nesses mercados. Lee et al. (2010) utilizaram modelos com quebras estruturais no preço do petróleo, encontrando componentes de variação na intensidade dos saltos.</w:t>
      </w:r>
    </w:p>
    <w:p w:rsidR="00064299" w:rsidRPr="00375EFF" w:rsidRDefault="000A3E1C" w:rsidP="002E2600">
      <w:pPr>
        <w:spacing w:line="360" w:lineRule="auto"/>
        <w:ind w:firstLine="360"/>
      </w:pPr>
      <w:r w:rsidRPr="00375EFF">
        <w:t xml:space="preserve">Para o Brasil, a literatura ainda carece de estudos sobre o comportamento dos saltos na taxa de câmbio. Guimarães e Silva (2002) explicaram os </w:t>
      </w:r>
      <w:r w:rsidRPr="00375EFF">
        <w:rPr>
          <w:i/>
          <w:iCs/>
        </w:rPr>
        <w:t>smiles</w:t>
      </w:r>
      <w:r w:rsidRPr="00375EFF">
        <w:t xml:space="preserve"> de volatilidade no câmbio no período de janeiro de 1997 a janeiro de 1999 através da possibilidade de saltos discretos. Ferreira e de Melo Zachis (2012) concluíram que os saltos no Ibovespa estão associados a saltos conjuntos na taxa de câmbio e na taxa SELIC.</w:t>
      </w:r>
    </w:p>
    <w:p w:rsidR="004477BE" w:rsidRPr="00375EFF" w:rsidRDefault="004477BE" w:rsidP="002E2600">
      <w:pPr>
        <w:spacing w:line="360" w:lineRule="auto"/>
        <w:ind w:firstLine="360"/>
      </w:pPr>
    </w:p>
    <w:p w:rsidR="00064299" w:rsidRPr="0021130F" w:rsidRDefault="004477BE" w:rsidP="0021130F">
      <w:pPr>
        <w:pStyle w:val="PargrafodaLista"/>
        <w:numPr>
          <w:ilvl w:val="0"/>
          <w:numId w:val="1"/>
        </w:numPr>
        <w:spacing w:line="360" w:lineRule="auto"/>
        <w:rPr>
          <w:b/>
        </w:rPr>
      </w:pPr>
      <w:r w:rsidRPr="0021130F">
        <w:rPr>
          <w:b/>
        </w:rPr>
        <w:t>M</w:t>
      </w:r>
      <w:r w:rsidR="000A3E1C" w:rsidRPr="0021130F">
        <w:rPr>
          <w:b/>
        </w:rPr>
        <w:t>etodologia</w:t>
      </w:r>
    </w:p>
    <w:p w:rsidR="004477BE" w:rsidRPr="00375EFF" w:rsidRDefault="004477BE" w:rsidP="004477BE">
      <w:pPr>
        <w:spacing w:line="360" w:lineRule="auto"/>
      </w:pPr>
    </w:p>
    <w:p w:rsidR="004477BE" w:rsidRPr="0021130F" w:rsidRDefault="0021130F" w:rsidP="0021130F">
      <w:pPr>
        <w:pStyle w:val="PargrafodaLista"/>
        <w:numPr>
          <w:ilvl w:val="1"/>
          <w:numId w:val="1"/>
        </w:numPr>
        <w:spacing w:line="360" w:lineRule="auto"/>
        <w:rPr>
          <w:b/>
        </w:rPr>
      </w:pPr>
      <w:r>
        <w:rPr>
          <w:b/>
        </w:rPr>
        <w:t xml:space="preserve"> </w:t>
      </w:r>
      <w:r w:rsidR="004477BE" w:rsidRPr="0021130F">
        <w:rPr>
          <w:b/>
        </w:rPr>
        <w:t>Dados</w:t>
      </w:r>
    </w:p>
    <w:p w:rsidR="004477BE" w:rsidRPr="009D2AB4" w:rsidRDefault="004477BE" w:rsidP="004477BE">
      <w:pPr>
        <w:spacing w:line="360" w:lineRule="auto"/>
      </w:pPr>
    </w:p>
    <w:p w:rsidR="004477BE" w:rsidRPr="00375EFF" w:rsidRDefault="000A3E1C" w:rsidP="00B26372">
      <w:pPr>
        <w:spacing w:line="360" w:lineRule="auto"/>
        <w:ind w:firstLine="360"/>
      </w:pPr>
      <w:r w:rsidRPr="00375EFF">
        <w:t xml:space="preserve">Os dados consistem na taxa de câmbio nominal diária Real/Dólar entre o período de fevereiro de 1999 a dezembro de 2012, obtidos no sistema de séries temporais do Banco Central. O período amostral inclui todos os dados disponíveis desde a flexibilização do câmbio no Brasil até o final de 2012. Ao todo temos 3474 observações. As variações na taxa de câmbio são calculadas como: </w:t>
      </w:r>
    </w:p>
    <w:p w:rsidR="004477BE" w:rsidRPr="00375EFF" w:rsidRDefault="004477BE" w:rsidP="00481822">
      <w:pPr>
        <w:pStyle w:val="SemEspaamento"/>
      </w:pPr>
    </w:p>
    <w:p w:rsidR="00064299" w:rsidRPr="00375EFF" w:rsidRDefault="00236A0C" w:rsidP="005A5D93">
      <w:pPr>
        <w:spacing w:line="360" w:lineRule="auto"/>
        <w:ind w:firstLine="360"/>
        <w:jc w:val="right"/>
      </w:pPr>
      <m:oMath>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r>
          <m:rPr>
            <m:sty m:val="p"/>
          </m:rPr>
          <w:rPr>
            <w:rFonts w:ascii="Cambria Math" w:hAnsi="Cambria Math"/>
          </w:rPr>
          <m:t>ln⁡</m:t>
        </m:r>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t-1</m:t>
            </m:r>
          </m:sub>
        </m:sSub>
        <m:r>
          <w:rPr>
            <w:rFonts w:ascii="Cambria Math" w:hAnsi="Cambria Math"/>
          </w:rPr>
          <m:t>),</m:t>
        </m:r>
      </m:oMath>
      <w:r w:rsidR="000A3E1C" w:rsidRPr="00375EFF">
        <w:tab/>
      </w:r>
      <w:r w:rsidR="005A5D93" w:rsidRPr="00375EFF">
        <w:tab/>
      </w:r>
      <w:r w:rsidR="005A5D93" w:rsidRPr="00375EFF">
        <w:tab/>
      </w:r>
      <w:r w:rsidR="005A5D93" w:rsidRPr="00375EFF">
        <w:tab/>
      </w:r>
      <w:r w:rsidR="005A5D93" w:rsidRPr="00375EFF">
        <w:tab/>
      </w:r>
      <w:r w:rsidR="000A3E1C" w:rsidRPr="00375EFF">
        <w:t>(</w:t>
      </w:r>
      <w:bookmarkStart w:id="1" w:name="BMequ_vartxcambio"/>
      <w:r w:rsidR="000A3E1C" w:rsidRPr="00375EFF">
        <w:t>1</w:t>
      </w:r>
      <w:bookmarkEnd w:id="1"/>
      <w:r w:rsidR="000A3E1C" w:rsidRPr="00375EFF">
        <w:t>)</w:t>
      </w:r>
    </w:p>
    <w:p w:rsidR="004477BE" w:rsidRPr="00375EFF" w:rsidRDefault="004477BE" w:rsidP="00481822">
      <w:pPr>
        <w:pStyle w:val="SemEspaamento"/>
      </w:pPr>
    </w:p>
    <w:p w:rsidR="00064299" w:rsidRPr="00375EFF" w:rsidRDefault="000A3E1C" w:rsidP="00B26372">
      <w:pPr>
        <w:spacing w:line="360" w:lineRule="auto"/>
      </w:pPr>
      <w:r w:rsidRPr="00375EFF">
        <w:lastRenderedPageBreak/>
        <w:t xml:space="preserve">onde </w:t>
      </w:r>
      <w:r w:rsidR="000763FC" w:rsidRPr="00375EFF">
        <w:fldChar w:fldCharType="begin"/>
      </w:r>
      <w:r w:rsidRPr="00375EFF">
        <w:instrText xml:space="preserve"> EQ </w:instrText>
      </w:r>
      <w:r w:rsidRPr="00375EFF">
        <w:rPr>
          <w:i/>
          <w:iCs/>
        </w:rPr>
        <w:instrText>P</w:instrText>
      </w:r>
      <w:r w:rsidRPr="00375EFF">
        <w:instrText>\s\do6(</w:instrText>
      </w:r>
      <w:r w:rsidRPr="00375EFF">
        <w:rPr>
          <w:i/>
          <w:iCs/>
        </w:rPr>
        <w:instrText>t</w:instrText>
      </w:r>
      <w:r w:rsidRPr="00375EFF">
        <w:instrText>)</w:instrText>
      </w:r>
      <w:r w:rsidR="000763FC" w:rsidRPr="00375EFF">
        <w:fldChar w:fldCharType="end"/>
      </w:r>
      <w:r w:rsidRPr="00375EFF">
        <w:t xml:space="preserve"> é o valor da taxa de câmbio no tempo </w:t>
      </w:r>
      <w:r w:rsidRPr="00375EFF">
        <w:rPr>
          <w:i/>
          <w:iCs/>
        </w:rPr>
        <w:t>t</w:t>
      </w:r>
      <w:r w:rsidRPr="00375EFF">
        <w:t xml:space="preserve"> e ln é o logaritmo natural. Na Figura </w:t>
      </w:r>
      <w:fldSimple w:instr="REF BMfig_fig3_1 \* MERGEFORMAT ">
        <w:r w:rsidR="00C70689" w:rsidRPr="00C70689">
          <w:t>1</w:t>
        </w:r>
      </w:fldSimple>
      <w:r w:rsidRPr="00375EFF">
        <w:t xml:space="preserve"> vemos o comportamento da série ao longo do período analisado.</w:t>
      </w:r>
    </w:p>
    <w:p w:rsidR="004477BE" w:rsidRDefault="004477BE" w:rsidP="00B26372">
      <w:pPr>
        <w:spacing w:line="360" w:lineRule="auto"/>
      </w:pPr>
    </w:p>
    <w:p w:rsidR="00481822" w:rsidRDefault="006F4A25" w:rsidP="006F4A25">
      <w:pPr>
        <w:pStyle w:val="Legenda"/>
        <w:spacing w:line="360" w:lineRule="auto"/>
        <w:rPr>
          <w:sz w:val="22"/>
          <w:szCs w:val="22"/>
        </w:rPr>
      </w:pPr>
      <w:r w:rsidRPr="00481822">
        <w:rPr>
          <w:b/>
        </w:rPr>
        <w:t xml:space="preserve">Figura </w:t>
      </w:r>
      <w:bookmarkStart w:id="2" w:name="BMfig_fig3_1"/>
      <w:r w:rsidRPr="00481822">
        <w:rPr>
          <w:b/>
        </w:rPr>
        <w:t>1</w:t>
      </w:r>
      <w:bookmarkEnd w:id="2"/>
      <w:r>
        <w:rPr>
          <w:b/>
        </w:rPr>
        <w:t>.</w:t>
      </w:r>
      <w:r w:rsidRPr="00481822">
        <w:rPr>
          <w:b/>
        </w:rPr>
        <w:t xml:space="preserve"> Logaritmo das variações diárias na taxa de câmbio Real/Dólar</w:t>
      </w:r>
      <w:r w:rsidR="004477BE">
        <w:drawing>
          <wp:inline distT="0" distB="0" distL="0" distR="0">
            <wp:extent cx="5781675" cy="32766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31-page-001.jpg"/>
                    <pic:cNvPicPr/>
                  </pic:nvPicPr>
                  <pic:blipFill>
                    <a:blip r:embed="rId8">
                      <a:extLst>
                        <a:ext uri="{28A0092B-C50C-407E-A947-70E740481C1C}">
                          <a14:useLocalDpi xmlns:a14="http://schemas.microsoft.com/office/drawing/2010/main" val="0"/>
                        </a:ext>
                      </a:extLst>
                    </a:blip>
                    <a:stretch>
                      <a:fillRect/>
                    </a:stretch>
                  </pic:blipFill>
                  <pic:spPr>
                    <a:xfrm>
                      <a:off x="0" y="0"/>
                      <a:ext cx="5781675" cy="3276600"/>
                    </a:xfrm>
                    <a:prstGeom prst="rect">
                      <a:avLst/>
                    </a:prstGeom>
                  </pic:spPr>
                </pic:pic>
              </a:graphicData>
            </a:graphic>
          </wp:inline>
        </w:drawing>
      </w:r>
      <w:r w:rsidRPr="006F4A25">
        <w:rPr>
          <w:sz w:val="22"/>
          <w:szCs w:val="22"/>
        </w:rPr>
        <w:t>Fonte: Elaboração própria.</w:t>
      </w:r>
    </w:p>
    <w:p w:rsidR="009D2AB4" w:rsidRPr="009D2AB4" w:rsidRDefault="009D2AB4" w:rsidP="009D2AB4"/>
    <w:p w:rsidR="00481822" w:rsidRDefault="000A3E1C" w:rsidP="0020312E">
      <w:pPr>
        <w:spacing w:before="240" w:line="360" w:lineRule="auto"/>
        <w:ind w:firstLine="360"/>
        <w:jc w:val="left"/>
      </w:pPr>
      <w:r>
        <w:t xml:space="preserve">Os valores da série estão próximos de zero e apresentam períodos de agrupamento em torno de algumas observações importantes relacionadas a crises que afetaram o mercado cambial. Na Tabela </w:t>
      </w:r>
      <w:fldSimple w:instr="REF BMtab_tab31 \* MERGEFORMAT ">
        <w:r w:rsidR="00C70689" w:rsidRPr="00C70689">
          <w:t>1</w:t>
        </w:r>
      </w:fldSimple>
      <w:r>
        <w:t xml:space="preserve"> apresentamos as estatísticas descritivas para a série </w:t>
      </w:r>
      <w:r w:rsidR="00B26372">
        <w:t>de variações na taxa de câmbio.</w:t>
      </w:r>
    </w:p>
    <w:p w:rsidR="00481822" w:rsidRDefault="00481822" w:rsidP="00481822">
      <w:pPr>
        <w:pStyle w:val="SemEspaamento"/>
      </w:pPr>
    </w:p>
    <w:p w:rsidR="00064299" w:rsidRPr="00481822" w:rsidRDefault="000A3E1C" w:rsidP="00C8355B">
      <w:pPr>
        <w:spacing w:before="240" w:line="360" w:lineRule="auto"/>
        <w:ind w:left="360" w:firstLine="360"/>
      </w:pPr>
      <w:r w:rsidRPr="00481822">
        <w:rPr>
          <w:b/>
        </w:rPr>
        <w:t xml:space="preserve">Tabela </w:t>
      </w:r>
      <w:bookmarkStart w:id="3" w:name="BMtab_tab31"/>
      <w:r w:rsidRPr="00481822">
        <w:rPr>
          <w:b/>
        </w:rPr>
        <w:t>1</w:t>
      </w:r>
      <w:bookmarkEnd w:id="3"/>
      <w:r w:rsidR="006F4A25">
        <w:rPr>
          <w:b/>
        </w:rPr>
        <w:t>.</w:t>
      </w:r>
      <w:r w:rsidRPr="00481822">
        <w:rPr>
          <w:b/>
        </w:rPr>
        <w:t xml:space="preserve"> Estatísticas descritivas das variações na taxa de câmbio</w:t>
      </w:r>
      <w:r w:rsidR="000763FC" w:rsidRPr="00481822">
        <w:rPr>
          <w:b/>
        </w:rPr>
        <w:fldChar w:fldCharType="begin"/>
      </w:r>
      <w:r w:rsidRPr="00481822">
        <w:rPr>
          <w:b/>
        </w:rPr>
        <w:instrText>TC "1 Estatísticas descritivas das variações na taxa de câmbio" \f t</w:instrText>
      </w:r>
      <w:r w:rsidR="000763FC" w:rsidRPr="00481822">
        <w:rPr>
          <w:b/>
        </w:rPr>
        <w:fldChar w:fldCharType="end"/>
      </w:r>
    </w:p>
    <w:tbl>
      <w:tblPr>
        <w:tblW w:w="0" w:type="auto"/>
        <w:jc w:val="center"/>
        <w:tblLayout w:type="fixed"/>
        <w:tblCellMar>
          <w:left w:w="0" w:type="dxa"/>
          <w:right w:w="0" w:type="dxa"/>
        </w:tblCellMar>
        <w:tblLook w:val="0000" w:firstRow="0" w:lastRow="0" w:firstColumn="0" w:lastColumn="0" w:noHBand="0" w:noVBand="0"/>
      </w:tblPr>
      <w:tblGrid>
        <w:gridCol w:w="4016"/>
        <w:gridCol w:w="3603"/>
      </w:tblGrid>
      <w:tr w:rsidR="00064299" w:rsidTr="00C8355B">
        <w:trPr>
          <w:trHeight w:val="258"/>
          <w:jc w:val="center"/>
        </w:trPr>
        <w:tc>
          <w:tcPr>
            <w:tcW w:w="4016" w:type="dxa"/>
            <w:tcBorders>
              <w:top w:val="single" w:sz="6" w:space="0" w:color="auto"/>
              <w:left w:val="nil"/>
              <w:bottom w:val="single" w:sz="6" w:space="0" w:color="auto"/>
              <w:right w:val="nil"/>
            </w:tcBorders>
          </w:tcPr>
          <w:p w:rsidR="00064299" w:rsidRDefault="000A3E1C" w:rsidP="0020312E">
            <w:pPr>
              <w:jc w:val="left"/>
            </w:pPr>
            <w:r>
              <w:t>Estatísticas</w:t>
            </w:r>
          </w:p>
        </w:tc>
        <w:tc>
          <w:tcPr>
            <w:tcW w:w="3603" w:type="dxa"/>
            <w:tcBorders>
              <w:top w:val="single" w:sz="6" w:space="0" w:color="auto"/>
              <w:left w:val="nil"/>
              <w:bottom w:val="single" w:sz="6" w:space="0" w:color="auto"/>
              <w:right w:val="nil"/>
            </w:tcBorders>
          </w:tcPr>
          <w:p w:rsidR="00064299" w:rsidRDefault="000A3E1C" w:rsidP="002E2600">
            <w:pPr>
              <w:jc w:val="center"/>
            </w:pPr>
            <w:r>
              <w:t>Valor</w:t>
            </w:r>
          </w:p>
        </w:tc>
      </w:tr>
      <w:tr w:rsidR="00064299" w:rsidTr="00C8355B">
        <w:trPr>
          <w:trHeight w:val="242"/>
          <w:jc w:val="center"/>
        </w:trPr>
        <w:tc>
          <w:tcPr>
            <w:tcW w:w="4016" w:type="dxa"/>
            <w:tcBorders>
              <w:top w:val="nil"/>
              <w:left w:val="nil"/>
              <w:bottom w:val="nil"/>
              <w:right w:val="nil"/>
            </w:tcBorders>
          </w:tcPr>
          <w:p w:rsidR="00064299" w:rsidRDefault="000A3E1C" w:rsidP="0020312E">
            <w:pPr>
              <w:jc w:val="left"/>
            </w:pPr>
            <w:r>
              <w:t>Média</w:t>
            </w:r>
          </w:p>
        </w:tc>
        <w:tc>
          <w:tcPr>
            <w:tcW w:w="3603" w:type="dxa"/>
            <w:tcBorders>
              <w:top w:val="nil"/>
              <w:left w:val="nil"/>
              <w:bottom w:val="nil"/>
              <w:right w:val="nil"/>
            </w:tcBorders>
          </w:tcPr>
          <w:p w:rsidR="00064299" w:rsidRDefault="000A3E1C" w:rsidP="002E2600">
            <w:pPr>
              <w:jc w:val="center"/>
            </w:pPr>
            <w:r>
              <w:t>0,000009</w:t>
            </w:r>
          </w:p>
        </w:tc>
      </w:tr>
      <w:tr w:rsidR="00064299" w:rsidTr="00C8355B">
        <w:trPr>
          <w:trHeight w:val="258"/>
          <w:jc w:val="center"/>
        </w:trPr>
        <w:tc>
          <w:tcPr>
            <w:tcW w:w="4016" w:type="dxa"/>
            <w:tcBorders>
              <w:top w:val="nil"/>
              <w:left w:val="nil"/>
              <w:bottom w:val="nil"/>
              <w:right w:val="nil"/>
            </w:tcBorders>
          </w:tcPr>
          <w:p w:rsidR="00064299" w:rsidRDefault="000A3E1C" w:rsidP="0020312E">
            <w:pPr>
              <w:jc w:val="left"/>
            </w:pPr>
            <w:r>
              <w:t>Desvio-padrão</w:t>
            </w:r>
          </w:p>
        </w:tc>
        <w:tc>
          <w:tcPr>
            <w:tcW w:w="3603" w:type="dxa"/>
            <w:tcBorders>
              <w:top w:val="nil"/>
              <w:left w:val="nil"/>
              <w:bottom w:val="nil"/>
              <w:right w:val="nil"/>
            </w:tcBorders>
          </w:tcPr>
          <w:p w:rsidR="00064299" w:rsidRDefault="000A3E1C" w:rsidP="002E2600">
            <w:pPr>
              <w:jc w:val="center"/>
            </w:pPr>
            <w:r>
              <w:t>0,010027</w:t>
            </w:r>
          </w:p>
        </w:tc>
      </w:tr>
      <w:tr w:rsidR="00064299" w:rsidTr="00C8355B">
        <w:trPr>
          <w:trHeight w:val="318"/>
          <w:jc w:val="center"/>
        </w:trPr>
        <w:tc>
          <w:tcPr>
            <w:tcW w:w="4016" w:type="dxa"/>
            <w:tcBorders>
              <w:top w:val="nil"/>
              <w:left w:val="nil"/>
              <w:bottom w:val="nil"/>
              <w:right w:val="nil"/>
            </w:tcBorders>
          </w:tcPr>
          <w:p w:rsidR="00064299" w:rsidRDefault="000A3E1C" w:rsidP="0020312E">
            <w:pPr>
              <w:jc w:val="left"/>
            </w:pPr>
            <w:r>
              <w:rPr>
                <w:i/>
                <w:iCs/>
              </w:rPr>
              <w:t>LB</w:t>
            </w:r>
            <w:r>
              <w:t>(10)</w:t>
            </w:r>
          </w:p>
        </w:tc>
        <w:tc>
          <w:tcPr>
            <w:tcW w:w="3603" w:type="dxa"/>
            <w:tcBorders>
              <w:top w:val="nil"/>
              <w:left w:val="nil"/>
              <w:bottom w:val="nil"/>
              <w:right w:val="nil"/>
            </w:tcBorders>
          </w:tcPr>
          <w:p w:rsidR="00064299" w:rsidRDefault="000A3E1C" w:rsidP="002E2600">
            <w:pPr>
              <w:jc w:val="center"/>
            </w:pPr>
            <w:r>
              <w:t>35,7072</w:t>
            </w:r>
            <w:r w:rsidR="000763FC">
              <w:fldChar w:fldCharType="begin"/>
            </w:r>
            <w:r>
              <w:instrText xml:space="preserve"> EQ \s\up6(</w:instrText>
            </w:r>
            <w:r>
              <w:rPr>
                <w:sz w:val="20"/>
                <w:szCs w:val="20"/>
              </w:rPr>
              <w:instrText>‡</w:instrText>
            </w:r>
            <w:r>
              <w:instrText>)</w:instrText>
            </w:r>
            <w:r w:rsidR="000763FC">
              <w:fldChar w:fldCharType="end"/>
            </w:r>
          </w:p>
        </w:tc>
      </w:tr>
      <w:tr w:rsidR="00064299" w:rsidTr="00C8355B">
        <w:trPr>
          <w:trHeight w:val="318"/>
          <w:jc w:val="center"/>
        </w:trPr>
        <w:tc>
          <w:tcPr>
            <w:tcW w:w="4016" w:type="dxa"/>
            <w:tcBorders>
              <w:top w:val="nil"/>
              <w:left w:val="nil"/>
              <w:bottom w:val="nil"/>
              <w:right w:val="nil"/>
            </w:tcBorders>
          </w:tcPr>
          <w:p w:rsidR="00064299" w:rsidRDefault="000763FC" w:rsidP="0020312E">
            <w:pPr>
              <w:jc w:val="left"/>
            </w:pPr>
            <w:r>
              <w:fldChar w:fldCharType="begin"/>
            </w:r>
            <w:r w:rsidR="000A3E1C">
              <w:instrText xml:space="preserve"> EQ </w:instrText>
            </w:r>
            <w:r w:rsidR="000A3E1C">
              <w:rPr>
                <w:i/>
                <w:iCs/>
              </w:rPr>
              <w:instrText>LB</w:instrText>
            </w:r>
            <w:r w:rsidR="000A3E1C">
              <w:instrText>\s\up6(</w:instrText>
            </w:r>
            <w:r w:rsidR="000A3E1C">
              <w:rPr>
                <w:sz w:val="20"/>
                <w:szCs w:val="20"/>
              </w:rPr>
              <w:instrText>2</w:instrText>
            </w:r>
            <w:r w:rsidR="000A3E1C">
              <w:instrText>)(10)</w:instrText>
            </w:r>
            <w:r>
              <w:fldChar w:fldCharType="end"/>
            </w:r>
          </w:p>
        </w:tc>
        <w:tc>
          <w:tcPr>
            <w:tcW w:w="3603" w:type="dxa"/>
            <w:tcBorders>
              <w:top w:val="nil"/>
              <w:left w:val="nil"/>
              <w:bottom w:val="nil"/>
              <w:right w:val="nil"/>
            </w:tcBorders>
          </w:tcPr>
          <w:p w:rsidR="00064299" w:rsidRDefault="000A3E1C" w:rsidP="002E2600">
            <w:pPr>
              <w:jc w:val="center"/>
            </w:pPr>
            <w:r>
              <w:t>2383,2020</w:t>
            </w:r>
            <w:r w:rsidR="000763FC">
              <w:fldChar w:fldCharType="begin"/>
            </w:r>
            <w:r>
              <w:instrText xml:space="preserve"> EQ \s\up6(</w:instrText>
            </w:r>
            <w:r>
              <w:rPr>
                <w:sz w:val="20"/>
                <w:szCs w:val="20"/>
              </w:rPr>
              <w:instrText>‡</w:instrText>
            </w:r>
            <w:r>
              <w:instrText>)</w:instrText>
            </w:r>
            <w:r w:rsidR="000763FC">
              <w:fldChar w:fldCharType="end"/>
            </w:r>
          </w:p>
        </w:tc>
      </w:tr>
      <w:tr w:rsidR="00064299" w:rsidTr="00C8355B">
        <w:trPr>
          <w:trHeight w:val="333"/>
          <w:jc w:val="center"/>
        </w:trPr>
        <w:tc>
          <w:tcPr>
            <w:tcW w:w="4016" w:type="dxa"/>
            <w:tcBorders>
              <w:top w:val="nil"/>
              <w:left w:val="nil"/>
              <w:bottom w:val="nil"/>
              <w:right w:val="nil"/>
            </w:tcBorders>
          </w:tcPr>
          <w:p w:rsidR="00064299" w:rsidRDefault="000A3E1C" w:rsidP="0020312E">
            <w:pPr>
              <w:jc w:val="left"/>
            </w:pPr>
            <w:r>
              <w:t>Phillips-Perron</w:t>
            </w:r>
          </w:p>
        </w:tc>
        <w:tc>
          <w:tcPr>
            <w:tcW w:w="3603" w:type="dxa"/>
            <w:tcBorders>
              <w:top w:val="nil"/>
              <w:left w:val="nil"/>
              <w:bottom w:val="nil"/>
              <w:right w:val="nil"/>
            </w:tcBorders>
          </w:tcPr>
          <w:p w:rsidR="00064299" w:rsidRDefault="00CA4FAF" w:rsidP="002E2600">
            <w:pPr>
              <w:jc w:val="center"/>
            </w:pPr>
            <w:r>
              <w:rPr>
                <w:noProof w:val="0"/>
              </w:rPr>
              <w:t>-</w:t>
            </w:r>
            <w:r w:rsidRPr="00CA4FAF">
              <w:rPr>
                <w:noProof w:val="0"/>
              </w:rPr>
              <w:t>54</w:t>
            </w:r>
            <w:r>
              <w:rPr>
                <w:noProof w:val="0"/>
              </w:rPr>
              <w:t>,</w:t>
            </w:r>
            <w:r w:rsidRPr="00CA4FAF">
              <w:rPr>
                <w:noProof w:val="0"/>
              </w:rPr>
              <w:t>4362</w:t>
            </w:r>
            <w:r w:rsidR="000763FC">
              <w:fldChar w:fldCharType="begin"/>
            </w:r>
            <w:r>
              <w:instrText xml:space="preserve"> EQ \s\up6(</w:instrText>
            </w:r>
            <w:r>
              <w:rPr>
                <w:sz w:val="20"/>
                <w:szCs w:val="20"/>
              </w:rPr>
              <w:instrText>‡</w:instrText>
            </w:r>
            <w:r>
              <w:instrText>)</w:instrText>
            </w:r>
            <w:r w:rsidR="000763FC">
              <w:fldChar w:fldCharType="end"/>
            </w:r>
          </w:p>
        </w:tc>
      </w:tr>
      <w:tr w:rsidR="00064299" w:rsidTr="00C8355B">
        <w:trPr>
          <w:trHeight w:val="242"/>
          <w:jc w:val="center"/>
        </w:trPr>
        <w:tc>
          <w:tcPr>
            <w:tcW w:w="4016" w:type="dxa"/>
            <w:tcBorders>
              <w:top w:val="nil"/>
              <w:left w:val="nil"/>
              <w:bottom w:val="nil"/>
              <w:right w:val="nil"/>
            </w:tcBorders>
          </w:tcPr>
          <w:p w:rsidR="00064299" w:rsidRDefault="000A3E1C" w:rsidP="0020312E">
            <w:pPr>
              <w:jc w:val="left"/>
            </w:pPr>
            <w:r>
              <w:t>Assimetria</w:t>
            </w:r>
          </w:p>
        </w:tc>
        <w:tc>
          <w:tcPr>
            <w:tcW w:w="3603" w:type="dxa"/>
            <w:tcBorders>
              <w:top w:val="nil"/>
              <w:left w:val="nil"/>
              <w:bottom w:val="nil"/>
              <w:right w:val="nil"/>
            </w:tcBorders>
          </w:tcPr>
          <w:p w:rsidR="00064299" w:rsidRDefault="000A3E1C" w:rsidP="002E2600">
            <w:pPr>
              <w:jc w:val="center"/>
            </w:pPr>
            <w:r>
              <w:t>-0,13182</w:t>
            </w:r>
          </w:p>
        </w:tc>
      </w:tr>
      <w:tr w:rsidR="00064299" w:rsidTr="00C8355B">
        <w:trPr>
          <w:trHeight w:val="258"/>
          <w:jc w:val="center"/>
        </w:trPr>
        <w:tc>
          <w:tcPr>
            <w:tcW w:w="4016" w:type="dxa"/>
            <w:tcBorders>
              <w:top w:val="nil"/>
              <w:left w:val="nil"/>
              <w:bottom w:val="nil"/>
              <w:right w:val="nil"/>
            </w:tcBorders>
          </w:tcPr>
          <w:p w:rsidR="00064299" w:rsidRDefault="000A3E1C" w:rsidP="0020312E">
            <w:pPr>
              <w:jc w:val="left"/>
            </w:pPr>
            <w:r>
              <w:t>Excesso de curtose</w:t>
            </w:r>
          </w:p>
        </w:tc>
        <w:tc>
          <w:tcPr>
            <w:tcW w:w="3603" w:type="dxa"/>
            <w:tcBorders>
              <w:top w:val="nil"/>
              <w:left w:val="nil"/>
              <w:bottom w:val="nil"/>
              <w:right w:val="nil"/>
            </w:tcBorders>
          </w:tcPr>
          <w:p w:rsidR="00064299" w:rsidRDefault="000A3E1C" w:rsidP="002E2600">
            <w:pPr>
              <w:jc w:val="center"/>
            </w:pPr>
            <w:r>
              <w:t>12,179</w:t>
            </w:r>
          </w:p>
        </w:tc>
      </w:tr>
      <w:tr w:rsidR="00064299" w:rsidTr="00C8355B">
        <w:trPr>
          <w:trHeight w:val="318"/>
          <w:jc w:val="center"/>
        </w:trPr>
        <w:tc>
          <w:tcPr>
            <w:tcW w:w="4016" w:type="dxa"/>
            <w:tcBorders>
              <w:top w:val="nil"/>
              <w:left w:val="nil"/>
              <w:bottom w:val="single" w:sz="6" w:space="0" w:color="auto"/>
              <w:right w:val="nil"/>
            </w:tcBorders>
          </w:tcPr>
          <w:p w:rsidR="00064299" w:rsidRDefault="000A3E1C" w:rsidP="0020312E">
            <w:pPr>
              <w:jc w:val="left"/>
            </w:pPr>
            <w:r>
              <w:t>Jarque-Bera</w:t>
            </w:r>
          </w:p>
        </w:tc>
        <w:tc>
          <w:tcPr>
            <w:tcW w:w="3603" w:type="dxa"/>
            <w:tcBorders>
              <w:top w:val="nil"/>
              <w:left w:val="nil"/>
              <w:bottom w:val="single" w:sz="6" w:space="0" w:color="auto"/>
              <w:right w:val="nil"/>
            </w:tcBorders>
          </w:tcPr>
          <w:p w:rsidR="00064299" w:rsidRDefault="000A3E1C" w:rsidP="002E2600">
            <w:pPr>
              <w:jc w:val="center"/>
            </w:pPr>
            <w:r>
              <w:t>21473,3</w:t>
            </w:r>
            <w:r w:rsidR="000763FC">
              <w:fldChar w:fldCharType="begin"/>
            </w:r>
            <w:r>
              <w:instrText xml:space="preserve"> EQ \s\up6(</w:instrText>
            </w:r>
            <w:r>
              <w:rPr>
                <w:sz w:val="20"/>
                <w:szCs w:val="20"/>
              </w:rPr>
              <w:instrText>‡</w:instrText>
            </w:r>
            <w:r>
              <w:instrText>)</w:instrText>
            </w:r>
            <w:r w:rsidR="000763FC">
              <w:fldChar w:fldCharType="end"/>
            </w:r>
          </w:p>
        </w:tc>
      </w:tr>
      <w:tr w:rsidR="000A3E1C" w:rsidTr="00C8355B">
        <w:trPr>
          <w:trHeight w:val="454"/>
          <w:jc w:val="center"/>
        </w:trPr>
        <w:tc>
          <w:tcPr>
            <w:tcW w:w="7619" w:type="dxa"/>
            <w:gridSpan w:val="2"/>
            <w:tcBorders>
              <w:top w:val="nil"/>
              <w:left w:val="nil"/>
              <w:bottom w:val="nil"/>
              <w:right w:val="nil"/>
            </w:tcBorders>
          </w:tcPr>
          <w:p w:rsidR="00064299" w:rsidRPr="007334B7" w:rsidRDefault="000A3E1C" w:rsidP="006F4A25">
            <w:pPr>
              <w:jc w:val="left"/>
              <w:rPr>
                <w:sz w:val="22"/>
                <w:szCs w:val="22"/>
              </w:rPr>
            </w:pPr>
            <w:r w:rsidRPr="007334B7">
              <w:rPr>
                <w:sz w:val="22"/>
                <w:szCs w:val="22"/>
              </w:rPr>
              <w:t>Os símbolos ‡, † e * denotam significância ao nível de</w:t>
            </w:r>
            <w:r w:rsidR="007334B7">
              <w:rPr>
                <w:sz w:val="22"/>
                <w:szCs w:val="22"/>
              </w:rPr>
              <w:t xml:space="preserve"> 1%, 5% e 10%, </w:t>
            </w:r>
            <w:r w:rsidRPr="007334B7">
              <w:rPr>
                <w:sz w:val="22"/>
                <w:szCs w:val="22"/>
              </w:rPr>
              <w:t>respectivamente.</w:t>
            </w:r>
            <w:r w:rsidR="00C8355B">
              <w:rPr>
                <w:sz w:val="22"/>
                <w:szCs w:val="22"/>
              </w:rPr>
              <w:t xml:space="preserve"> </w:t>
            </w:r>
            <w:r w:rsidR="00C8355B" w:rsidRPr="007334B7">
              <w:rPr>
                <w:sz w:val="22"/>
                <w:szCs w:val="22"/>
              </w:rPr>
              <w:t>Fonte: Elaboração própria.</w:t>
            </w:r>
          </w:p>
        </w:tc>
      </w:tr>
    </w:tbl>
    <w:p w:rsidR="00064299" w:rsidRPr="00A945B1" w:rsidRDefault="000A3E1C" w:rsidP="002E2600">
      <w:pPr>
        <w:spacing w:before="240" w:line="360" w:lineRule="auto"/>
        <w:ind w:firstLine="360"/>
      </w:pPr>
      <w:r w:rsidRPr="00A945B1">
        <w:lastRenderedPageBreak/>
        <w:t>A série apresenta média próxima de zero, divergindo da distribuição normal por apresentar assimetria negativa e excesso de curtose, ou seja, a série é enviesada e altamente leptocúrtica. O teste de Ljung-Box indica a presença de autocorrelação na série, bem como no quadrado das variações da taxa de câmbio, dando evidência da presença de heteroscedasticidade condicional. As variações da taxa de câmbio são estacionárias, conforme indica a rejeição da hipótese nula de raíz unitária do teste de Phillips-Perron.</w:t>
      </w:r>
    </w:p>
    <w:p w:rsidR="00D1148F" w:rsidRPr="00A945B1" w:rsidRDefault="00D1148F" w:rsidP="00D1148F">
      <w:pPr>
        <w:spacing w:line="360" w:lineRule="auto"/>
      </w:pPr>
    </w:p>
    <w:p w:rsidR="00064299" w:rsidRPr="0021130F" w:rsidRDefault="0021130F" w:rsidP="0021130F">
      <w:pPr>
        <w:pStyle w:val="PargrafodaLista"/>
        <w:numPr>
          <w:ilvl w:val="1"/>
          <w:numId w:val="1"/>
        </w:numPr>
        <w:spacing w:line="360" w:lineRule="auto"/>
        <w:rPr>
          <w:b/>
        </w:rPr>
      </w:pPr>
      <w:r>
        <w:rPr>
          <w:b/>
        </w:rPr>
        <w:t xml:space="preserve"> </w:t>
      </w:r>
      <w:r w:rsidR="000A3E1C" w:rsidRPr="0021130F">
        <w:rPr>
          <w:b/>
        </w:rPr>
        <w:t>Modelos dinâmicos de saltos condicionais</w:t>
      </w:r>
    </w:p>
    <w:p w:rsidR="00D1148F" w:rsidRPr="00A945B1" w:rsidRDefault="00D1148F" w:rsidP="00D1148F">
      <w:pPr>
        <w:spacing w:line="360" w:lineRule="auto"/>
        <w:rPr>
          <w:i/>
        </w:rPr>
      </w:pPr>
    </w:p>
    <w:p w:rsidR="00064299" w:rsidRPr="00A945B1" w:rsidRDefault="000A3E1C" w:rsidP="002E2600">
      <w:pPr>
        <w:spacing w:line="360" w:lineRule="auto"/>
        <w:ind w:firstLine="360"/>
      </w:pPr>
      <w:r w:rsidRPr="00A945B1">
        <w:t>A idéia por trás dos modelos de saltos condicionais é incorporar um componente que possibilite modelar a ocorrência de grandes variações discretas em uma série. Esses movimentos podem ser interpretados como a chegada de novos eventos informacionais, ou mesmo a intervenção proposital do governo no mercado analisado.</w:t>
      </w:r>
    </w:p>
    <w:p w:rsidR="00064299" w:rsidRPr="00A945B1" w:rsidRDefault="000A3E1C" w:rsidP="002E2600">
      <w:pPr>
        <w:spacing w:line="360" w:lineRule="auto"/>
        <w:ind w:firstLine="360"/>
      </w:pPr>
      <w:r w:rsidRPr="00A945B1">
        <w:t xml:space="preserve">Para avaliar o comportamento dos saltos nas variações da taxa de câmbio, utilizamos um modelo de saltos em tempo discreto com intensidades variantes no tempo, proposto por Chan e Maheu (2002). A especificação dos saltos é combinada com uma parametrização GARCH da volatilidade, devido à presença de heteroscedasticidade condicional na série, conforme a Tabela </w:t>
      </w:r>
      <w:fldSimple w:instr="REF BMtab_tab31 \* MERGEFORMAT ">
        <w:r w:rsidR="00C70689" w:rsidRPr="00C70689">
          <w:t>1</w:t>
        </w:r>
      </w:fldSimple>
      <w:r w:rsidRPr="00A945B1">
        <w:t>.</w:t>
      </w:r>
    </w:p>
    <w:p w:rsidR="00B26372" w:rsidRPr="00A945B1" w:rsidRDefault="000A3E1C" w:rsidP="00B26372">
      <w:pPr>
        <w:spacing w:line="360" w:lineRule="auto"/>
        <w:ind w:firstLine="360"/>
      </w:pPr>
      <w:r w:rsidRPr="00A945B1">
        <w:t xml:space="preserve">Sendo o conjunto de informação no tempo </w:t>
      </w:r>
      <w:r w:rsidRPr="00A945B1">
        <w:rPr>
          <w:i/>
          <w:iCs/>
        </w:rPr>
        <w:t>t</w:t>
      </w:r>
      <w:r w:rsidRPr="00A945B1">
        <w:t xml:space="preserve"> dado por</w:t>
      </w:r>
      <w:r w:rsidR="008C56B4" w:rsidRPr="00A945B1">
        <w:t xml:space="preserve"> </w:t>
      </w:r>
      <m:oMath>
        <m:sSub>
          <m:sSubPr>
            <m:ctrlPr>
              <w:rPr>
                <w:rFonts w:ascii="Cambria Math" w:hAnsi="Cambria Math"/>
              </w:rPr>
            </m:ctrlPr>
          </m:sSubPr>
          <m:e>
            <m:r>
              <m:rPr>
                <m:sty m:val="p"/>
              </m:rPr>
              <w:rPr>
                <w:rFonts w:ascii="Cambria Math" w:hAnsi="Cambria Math"/>
              </w:rPr>
              <m:t>Φ</m:t>
            </m:r>
          </m:e>
          <m:sub>
            <m:r>
              <m:rPr>
                <m:sty m:val="p"/>
              </m:rPr>
              <w:rPr>
                <w:rFonts w:ascii="Cambria Math" w:hAnsi="Cambria Math"/>
              </w:rPr>
              <m:t>t</m:t>
            </m:r>
          </m:sub>
        </m:sSub>
        <m:r>
          <m:rPr>
            <m:sty m:val="p"/>
          </m:rP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1</m:t>
                </m:r>
              </m:sub>
            </m:sSub>
          </m:e>
        </m:d>
      </m:oMath>
      <w:r w:rsidRPr="00A945B1">
        <w:t>, com</w:t>
      </w:r>
      <w:r w:rsidR="00D1148F" w:rsidRPr="00A945B1">
        <w:t xml:space="preserve"> </w:t>
      </w:r>
      <m:oMath>
        <m:sSub>
          <m:sSubPr>
            <m:ctrlPr>
              <w:rPr>
                <w:rFonts w:ascii="Cambria Math" w:hAnsi="Cambria Math"/>
                <w:i/>
              </w:rPr>
            </m:ctrlPr>
          </m:sSubPr>
          <m:e>
            <m:r>
              <w:rPr>
                <w:rFonts w:ascii="Cambria Math" w:hAnsi="Cambria Math"/>
              </w:rPr>
              <m:t>R</m:t>
            </m:r>
          </m:e>
          <m:sub>
            <m:r>
              <w:rPr>
                <w:rFonts w:ascii="Cambria Math" w:hAnsi="Cambria Math"/>
              </w:rPr>
              <m:t>t</m:t>
            </m:r>
          </m:sub>
        </m:sSub>
      </m:oMath>
      <w:r w:rsidR="00DF2709" w:rsidRPr="00A945B1">
        <w:t xml:space="preserve"> </w:t>
      </w:r>
      <w:r w:rsidRPr="00A945B1">
        <w:t>definido conforme equação (</w:t>
      </w:r>
      <w:fldSimple w:instr="REF BMequ_vartxcambio \* MERGEFORMAT ">
        <w:r w:rsidR="00C70689" w:rsidRPr="00375EFF">
          <w:t>1</w:t>
        </w:r>
      </w:fldSimple>
      <w:r w:rsidRPr="00A945B1">
        <w:t>), o modelo é descrito por:</w:t>
      </w:r>
    </w:p>
    <w:p w:rsidR="00481822" w:rsidRPr="00A945B1" w:rsidRDefault="00481822" w:rsidP="00481822">
      <w:pPr>
        <w:pStyle w:val="SemEspaamento"/>
      </w:pPr>
    </w:p>
    <w:p w:rsidR="00B26372" w:rsidRPr="00A945B1" w:rsidRDefault="00236A0C" w:rsidP="005A5D93">
      <w:pPr>
        <w:spacing w:line="360" w:lineRule="auto"/>
        <w:ind w:firstLine="360"/>
        <w:jc w:val="right"/>
      </w:pPr>
      <m:oMath>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=μ+</m:t>
        </m:r>
        <m:nary>
          <m:naryPr>
            <m:chr m:val="∑"/>
            <m:limLoc m:val="undOvr"/>
            <m:ctrlPr>
              <w:rPr>
                <w:rFonts w:ascii="Cambria Math" w:hAnsi="Cambria Math"/>
                <w:i/>
              </w:rPr>
            </m:ctrlPr>
          </m:naryPr>
          <m:sub>
            <m:r>
              <w:rPr>
                <w:rFonts w:ascii="Cambria Math" w:hAnsi="Cambria Math"/>
              </w:rPr>
              <m:t>i=1</m:t>
            </m:r>
          </m:sub>
          <m:sup>
            <m:r>
              <w:rPr>
                <w:rFonts w:ascii="Cambria Math" w:hAnsi="Cambria Math"/>
              </w:rPr>
              <m:t>l</m:t>
            </m:r>
          </m:sup>
          <m:e>
            <m:sSub>
              <m:sSubPr>
                <m:ctrlPr>
                  <w:rPr>
                    <w:rFonts w:ascii="Cambria Math" w:hAnsi="Cambria Math"/>
                    <w:i/>
                  </w:rPr>
                </m:ctrlPr>
              </m:sSubPr>
              <m:e>
                <m:r>
                  <w:rPr>
                    <w:rFonts w:ascii="Cambria Math" w:hAnsi="Cambria Math"/>
                  </w:rPr>
                  <m:t>ϕ</m:t>
                </m:r>
              </m:e>
              <m:sub>
                <m:r>
                  <w:rPr>
                    <w:rFonts w:ascii="Cambria Math" w:hAnsi="Cambria Math"/>
                  </w:rPr>
                  <m:t>i</m:t>
                </m:r>
              </m:sub>
            </m:sSub>
            <m:sSub>
              <m:sSubPr>
                <m:ctrlPr>
                  <w:rPr>
                    <w:rFonts w:ascii="Cambria Math" w:hAnsi="Cambria Math"/>
                    <w:i/>
                  </w:rPr>
                </m:ctrlPr>
              </m:sSubPr>
              <m:e>
                <m:r>
                  <w:rPr>
                    <w:rFonts w:ascii="Cambria Math" w:hAnsi="Cambria Math"/>
                  </w:rPr>
                  <m:t>R</m:t>
                </m:r>
              </m:e>
              <m:sub>
                <m:r>
                  <w:rPr>
                    <w:rFonts w:ascii="Cambria Math" w:hAnsi="Cambria Math"/>
                  </w:rPr>
                  <m:t>t-i</m:t>
                </m:r>
              </m:sub>
            </m:sSub>
            <m:r>
              <w:rPr>
                <w:rFonts w:ascii="Cambria Math" w:hAnsi="Cambria Math"/>
              </w:rPr>
              <m:t>+</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h</m:t>
                    </m:r>
                  </m:e>
                  <m:sub>
                    <m:r>
                      <w:rPr>
                        <w:rFonts w:ascii="Cambria Math" w:hAnsi="Cambria Math"/>
                      </w:rPr>
                      <m:t>t</m:t>
                    </m:r>
                  </m:sub>
                </m:sSub>
              </m:e>
            </m:rad>
          </m:e>
        </m:nary>
        <m:sSub>
          <m:sSubPr>
            <m:ctrlPr>
              <w:rPr>
                <w:rFonts w:ascii="Cambria Math" w:hAnsi="Cambria Math"/>
                <w:i/>
              </w:rPr>
            </m:ctrlPr>
          </m:sSubPr>
          <m:e>
            <m:r>
              <w:rPr>
                <w:rFonts w:ascii="Cambria Math" w:hAnsi="Cambria Math"/>
              </w:rPr>
              <m:t>z</m:t>
            </m:r>
          </m:e>
          <m:sub>
            <m:r>
              <w:rPr>
                <w:rFonts w:ascii="Cambria Math" w:hAnsi="Cambria Math"/>
              </w:rPr>
              <m:t>t</m:t>
            </m:r>
          </m:sub>
        </m:sSub>
        <m:r>
          <w:rPr>
            <w:rFonts w:ascii="Cambria Math" w:hAnsi="Cambria Math"/>
          </w:rPr>
          <m:t>+</m:t>
        </m:r>
        <m:nary>
          <m:naryPr>
            <m:chr m:val="∑"/>
            <m:limLoc m:val="undOvr"/>
            <m:ctrlPr>
              <w:rPr>
                <w:rFonts w:ascii="Cambria Math" w:hAnsi="Cambria Math"/>
                <w:i/>
              </w:rPr>
            </m:ctrlPr>
          </m:naryPr>
          <m:sub>
            <m:r>
              <w:rPr>
                <w:rFonts w:ascii="Cambria Math" w:hAnsi="Cambria Math"/>
              </w:rPr>
              <m:t>k=1</m:t>
            </m:r>
          </m:sub>
          <m:sup>
            <m:sSub>
              <m:sSubPr>
                <m:ctrlPr>
                  <w:rPr>
                    <w:rFonts w:ascii="Cambria Math" w:hAnsi="Cambria Math"/>
                    <w:i/>
                  </w:rPr>
                </m:ctrlPr>
              </m:sSubPr>
              <m:e>
                <m:r>
                  <w:rPr>
                    <w:rFonts w:ascii="Cambria Math" w:hAnsi="Cambria Math"/>
                  </w:rPr>
                  <m:t>n</m:t>
                </m:r>
              </m:e>
              <m:sub>
                <m:r>
                  <w:rPr>
                    <w:rFonts w:ascii="Cambria Math" w:hAnsi="Cambria Math"/>
                  </w:rPr>
                  <m:t>t</m:t>
                </m:r>
              </m:sub>
            </m:sSub>
          </m:sup>
          <m:e>
            <m:sSub>
              <m:sSubPr>
                <m:ctrlPr>
                  <w:rPr>
                    <w:rFonts w:ascii="Cambria Math" w:hAnsi="Cambria Math"/>
                    <w:i/>
                  </w:rPr>
                </m:ctrlPr>
              </m:sSubPr>
              <m:e>
                <m:r>
                  <w:rPr>
                    <w:rFonts w:ascii="Cambria Math" w:hAnsi="Cambria Math"/>
                  </w:rPr>
                  <m:t>J</m:t>
                </m:r>
              </m:e>
              <m:sub>
                <m:r>
                  <w:rPr>
                    <w:rFonts w:ascii="Cambria Math" w:hAnsi="Cambria Math"/>
                  </w:rPr>
                  <m:t>t,k</m:t>
                </m:r>
              </m:sub>
            </m:sSub>
          </m:e>
        </m:nary>
        <m:r>
          <w:rPr>
            <w:rFonts w:ascii="Cambria Math" w:hAnsi="Cambria Math"/>
          </w:rPr>
          <m:t>,  com</m:t>
        </m:r>
      </m:oMath>
      <w:r w:rsidR="002E2600" w:rsidRPr="00A945B1">
        <w:tab/>
      </w:r>
      <w:r w:rsidR="000965DA" w:rsidRPr="00A945B1">
        <w:tab/>
      </w:r>
      <w:r w:rsidR="000A3E1C" w:rsidRPr="00A945B1">
        <w:t>(2)</w:t>
      </w:r>
    </w:p>
    <w:p w:rsidR="00064299" w:rsidRPr="00A945B1" w:rsidRDefault="00236A0C" w:rsidP="005A5D93">
      <w:pPr>
        <w:spacing w:line="360" w:lineRule="auto"/>
        <w:ind w:firstLine="360"/>
        <w:jc w:val="right"/>
      </w:pPr>
      <m:oMath>
        <m:sSub>
          <m:sSubPr>
            <m:ctrlPr>
              <w:rPr>
                <w:rFonts w:ascii="Cambria Math" w:hAnsi="Cambria Math"/>
                <w:i/>
              </w:rPr>
            </m:ctrlPr>
          </m:sSubPr>
          <m:e>
            <m:r>
              <w:rPr>
                <w:rFonts w:ascii="Cambria Math" w:hAnsi="Cambria Math"/>
              </w:rPr>
              <m:t>z</m:t>
            </m:r>
          </m:e>
          <m:sub>
            <m:r>
              <w:rPr>
                <w:rFonts w:ascii="Cambria Math" w:hAnsi="Cambria Math"/>
              </w:rPr>
              <m:t>t</m:t>
            </m:r>
          </m:sub>
        </m:sSub>
        <m:r>
          <w:rPr>
            <w:rFonts w:ascii="Cambria Math" w:hAnsi="Cambria Math"/>
          </w:rPr>
          <m:t>~NID</m:t>
        </m:r>
        <m:d>
          <m:dPr>
            <m:ctrlPr>
              <w:rPr>
                <w:rFonts w:ascii="Cambria Math" w:hAnsi="Cambria Math"/>
                <w:i/>
              </w:rPr>
            </m:ctrlPr>
          </m:dPr>
          <m:e>
            <m:r>
              <w:rPr>
                <w:rFonts w:ascii="Cambria Math" w:hAnsi="Cambria Math"/>
              </w:rPr>
              <m:t>0,1</m:t>
            </m:r>
          </m:e>
        </m:d>
        <m:r>
          <w:rPr>
            <w:rFonts w:ascii="Cambria Math" w:hAnsi="Cambria Math"/>
          </w:rPr>
          <m:t xml:space="preserve"> e </m:t>
        </m:r>
        <m:sSub>
          <m:sSubPr>
            <m:ctrlPr>
              <w:rPr>
                <w:rFonts w:ascii="Cambria Math" w:hAnsi="Cambria Math"/>
                <w:i/>
              </w:rPr>
            </m:ctrlPr>
          </m:sSubPr>
          <m:e>
            <m:r>
              <w:rPr>
                <w:rFonts w:ascii="Cambria Math" w:hAnsi="Cambria Math"/>
              </w:rPr>
              <m:t>J</m:t>
            </m:r>
          </m:e>
          <m:sub>
            <m:r>
              <w:rPr>
                <w:rFonts w:ascii="Cambria Math" w:hAnsi="Cambria Math"/>
              </w:rPr>
              <m:t>t,k</m:t>
            </m:r>
          </m:sub>
        </m:sSub>
        <m:r>
          <w:rPr>
            <w:rFonts w:ascii="Cambria Math" w:hAnsi="Cambria Math"/>
          </w:rPr>
          <m:t>~ N</m:t>
        </m:r>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t</m:t>
                </m:r>
              </m:sub>
            </m:sSub>
            <m:r>
              <w:rPr>
                <w:rFonts w:ascii="Cambria Math" w:hAnsi="Cambria Math"/>
              </w:rPr>
              <m:t>,</m:t>
            </m:r>
            <m:sSubSup>
              <m:sSubSupPr>
                <m:ctrlPr>
                  <w:rPr>
                    <w:rFonts w:ascii="Cambria Math" w:hAnsi="Cambria Math"/>
                    <w:i/>
                  </w:rPr>
                </m:ctrlPr>
              </m:sSubSupPr>
              <m:e>
                <m:r>
                  <w:rPr>
                    <w:rFonts w:ascii="Cambria Math" w:hAnsi="Cambria Math"/>
                  </w:rPr>
                  <m:t>δ</m:t>
                </m:r>
              </m:e>
              <m:sub>
                <m:r>
                  <w:rPr>
                    <w:rFonts w:ascii="Cambria Math" w:hAnsi="Cambria Math"/>
                  </w:rPr>
                  <m:t>t</m:t>
                </m:r>
              </m:sub>
              <m:sup>
                <m:r>
                  <w:rPr>
                    <w:rFonts w:ascii="Cambria Math" w:hAnsi="Cambria Math"/>
                  </w:rPr>
                  <m:t>2</m:t>
                </m:r>
              </m:sup>
            </m:sSubSup>
          </m:e>
        </m:d>
      </m:oMath>
      <w:r w:rsidR="003E588A" w:rsidRPr="00A945B1">
        <w:t>,</w:t>
      </w:r>
      <w:r w:rsidR="002E2600" w:rsidRPr="00A945B1">
        <w:tab/>
      </w:r>
      <w:r w:rsidR="005A5D93" w:rsidRPr="00A945B1">
        <w:tab/>
      </w:r>
      <w:r w:rsidR="005A5D93" w:rsidRPr="00A945B1">
        <w:tab/>
      </w:r>
      <w:r w:rsidR="005A5D93" w:rsidRPr="00A945B1">
        <w:tab/>
      </w:r>
      <w:r w:rsidR="005A5D93" w:rsidRPr="00A945B1">
        <w:tab/>
      </w:r>
      <w:r w:rsidR="000A3E1C" w:rsidRPr="00A945B1">
        <w:t>(</w:t>
      </w:r>
      <w:bookmarkStart w:id="4" w:name="BMequ_arji_mean"/>
      <w:r w:rsidR="000A3E1C" w:rsidRPr="00A945B1">
        <w:t>3</w:t>
      </w:r>
      <w:bookmarkEnd w:id="4"/>
      <w:r w:rsidR="000A3E1C" w:rsidRPr="00A945B1">
        <w:t>)</w:t>
      </w:r>
    </w:p>
    <w:p w:rsidR="00481822" w:rsidRPr="00A945B1" w:rsidRDefault="00481822" w:rsidP="00481822">
      <w:pPr>
        <w:pStyle w:val="SemEspaamento"/>
      </w:pPr>
    </w:p>
    <w:p w:rsidR="00064299" w:rsidRPr="00A945B1" w:rsidRDefault="000A3E1C" w:rsidP="002E2600">
      <w:pPr>
        <w:spacing w:line="360" w:lineRule="auto"/>
      </w:pPr>
      <w:r w:rsidRPr="00A945B1">
        <w:t xml:space="preserve">onde μ é a média do processo, </w:t>
      </w:r>
      <m:oMath>
        <m:sSub>
          <m:sSubPr>
            <m:ctrlPr>
              <w:rPr>
                <w:rFonts w:ascii="Cambria Math" w:hAnsi="Cambria Math"/>
                <w:i/>
              </w:rPr>
            </m:ctrlPr>
          </m:sSubPr>
          <m:e>
            <m:r>
              <w:rPr>
                <w:rFonts w:ascii="Cambria Math" w:hAnsi="Cambria Math"/>
              </w:rPr>
              <m:t>ϕ</m:t>
            </m:r>
          </m:e>
          <m:sub>
            <m:r>
              <w:rPr>
                <w:rFonts w:ascii="Cambria Math" w:hAnsi="Cambria Math"/>
              </w:rPr>
              <m:t>i</m:t>
            </m:r>
          </m:sub>
        </m:sSub>
      </m:oMath>
      <w:r w:rsidRPr="00A945B1">
        <w:t xml:space="preserve"> são os parâmetros do componente autorregressivo do modelo, </w:t>
      </w:r>
      <m:oMath>
        <m:sSub>
          <m:sSubPr>
            <m:ctrlPr>
              <w:rPr>
                <w:rFonts w:ascii="Cambria Math" w:hAnsi="Cambria Math"/>
                <w:i/>
              </w:rPr>
            </m:ctrlPr>
          </m:sSubPr>
          <m:e>
            <m:r>
              <w:rPr>
                <w:rFonts w:ascii="Cambria Math" w:hAnsi="Cambria Math"/>
              </w:rPr>
              <m:t>h</m:t>
            </m:r>
          </m:e>
          <m:sub>
            <m:r>
              <w:rPr>
                <w:rFonts w:ascii="Cambria Math" w:hAnsi="Cambria Math"/>
              </w:rPr>
              <m:t>t</m:t>
            </m:r>
          </m:sub>
        </m:sSub>
      </m:oMath>
      <w:r w:rsidRPr="00A945B1">
        <w:t xml:space="preserve"> é a variância condicional, </w:t>
      </w:r>
      <m:oMath>
        <m:sSub>
          <m:sSubPr>
            <m:ctrlPr>
              <w:rPr>
                <w:rFonts w:ascii="Cambria Math" w:hAnsi="Cambria Math"/>
                <w:i/>
              </w:rPr>
            </m:ctrlPr>
          </m:sSubPr>
          <m:e>
            <m:r>
              <w:rPr>
                <w:rFonts w:ascii="Cambria Math" w:hAnsi="Cambria Math"/>
              </w:rPr>
              <m:t>z</m:t>
            </m:r>
          </m:e>
          <m:sub>
            <m:r>
              <w:rPr>
                <w:rFonts w:ascii="Cambria Math" w:hAnsi="Cambria Math"/>
              </w:rPr>
              <m:t>t</m:t>
            </m:r>
          </m:sub>
        </m:sSub>
      </m:oMath>
      <w:r w:rsidRPr="00A945B1">
        <w:t xml:space="preserve"> é um ruído branco gaussiano independente e </w:t>
      </w:r>
      <m:oMath>
        <m:sSub>
          <m:sSubPr>
            <m:ctrlPr>
              <w:rPr>
                <w:rFonts w:ascii="Cambria Math" w:hAnsi="Cambria Math"/>
                <w:i/>
              </w:rPr>
            </m:ctrlPr>
          </m:sSubPr>
          <m:e>
            <m:r>
              <w:rPr>
                <w:rFonts w:ascii="Cambria Math" w:hAnsi="Cambria Math"/>
              </w:rPr>
              <m:t>J</m:t>
            </m:r>
          </m:e>
          <m:sub>
            <m:r>
              <w:rPr>
                <w:rFonts w:ascii="Cambria Math" w:hAnsi="Cambria Math"/>
              </w:rPr>
              <m:t>t,k</m:t>
            </m:r>
          </m:sub>
        </m:sSub>
      </m:oMath>
      <w:r w:rsidRPr="00A945B1">
        <w:t xml:space="preserve"> é o tamanho do salto condicional ao conjunto informacional </w:t>
      </w:r>
      <m:oMath>
        <m:sSub>
          <m:sSubPr>
            <m:ctrlPr>
              <w:rPr>
                <w:rFonts w:ascii="Cambria Math" w:hAnsi="Cambria Math"/>
                <w:i/>
              </w:rPr>
            </m:ctrlPr>
          </m:sSubPr>
          <m:e>
            <m:r>
              <w:rPr>
                <w:rFonts w:ascii="Cambria Math" w:hAnsi="Cambria Math"/>
              </w:rPr>
              <m:t>ϕ</m:t>
            </m:r>
          </m:e>
          <m:sub>
            <m:r>
              <w:rPr>
                <w:rFonts w:ascii="Cambria Math" w:hAnsi="Cambria Math"/>
              </w:rPr>
              <m:t>t-1</m:t>
            </m:r>
          </m:sub>
        </m:sSub>
      </m:oMath>
      <w:r w:rsidRPr="00A945B1">
        <w:t xml:space="preserve">, que se distribui normalmente, com média </w:t>
      </w:r>
      <m:oMath>
        <m:sSub>
          <m:sSubPr>
            <m:ctrlPr>
              <w:rPr>
                <w:rFonts w:ascii="Cambria Math" w:hAnsi="Cambria Math"/>
                <w:i/>
              </w:rPr>
            </m:ctrlPr>
          </m:sSubPr>
          <m:e>
            <m:r>
              <w:rPr>
                <w:rFonts w:ascii="Cambria Math" w:hAnsi="Cambria Math"/>
              </w:rPr>
              <m:t>θ</m:t>
            </m:r>
          </m:e>
          <m:sub>
            <m:r>
              <w:rPr>
                <w:rFonts w:ascii="Cambria Math" w:hAnsi="Cambria Math"/>
              </w:rPr>
              <m:t>t</m:t>
            </m:r>
          </m:sub>
        </m:sSub>
      </m:oMath>
      <w:r w:rsidRPr="00A945B1">
        <w:t xml:space="preserve"> e variância </w:t>
      </w:r>
      <m:oMath>
        <m:sSubSup>
          <m:sSubSupPr>
            <m:ctrlPr>
              <w:rPr>
                <w:rFonts w:ascii="Cambria Math" w:hAnsi="Cambria Math"/>
                <w:i/>
              </w:rPr>
            </m:ctrlPr>
          </m:sSubSupPr>
          <m:e>
            <m:r>
              <w:rPr>
                <w:rFonts w:ascii="Cambria Math" w:hAnsi="Cambria Math"/>
              </w:rPr>
              <m:t>δ</m:t>
            </m:r>
          </m:e>
          <m:sub>
            <m:r>
              <w:rPr>
                <w:rFonts w:ascii="Cambria Math" w:hAnsi="Cambria Math"/>
              </w:rPr>
              <m:t>t</m:t>
            </m:r>
          </m:sub>
          <m:sup>
            <m:r>
              <w:rPr>
                <w:rFonts w:ascii="Cambria Math" w:hAnsi="Cambria Math"/>
              </w:rPr>
              <m:t>2</m:t>
            </m:r>
          </m:sup>
        </m:sSubSup>
      </m:oMath>
      <w:r w:rsidRPr="00A945B1">
        <w:t xml:space="preserve">. Por simplificação, supomos que as variáveis </w:t>
      </w:r>
      <m:oMath>
        <m:sSub>
          <m:sSubPr>
            <m:ctrlPr>
              <w:rPr>
                <w:rFonts w:ascii="Cambria Math" w:hAnsi="Cambria Math"/>
                <w:i/>
              </w:rPr>
            </m:ctrlPr>
          </m:sSubPr>
          <m:e>
            <m:r>
              <w:rPr>
                <w:rFonts w:ascii="Cambria Math" w:hAnsi="Cambria Math"/>
              </w:rPr>
              <m:t>z</m:t>
            </m:r>
          </m:e>
          <m:sub>
            <m:r>
              <w:rPr>
                <w:rFonts w:ascii="Cambria Math" w:hAnsi="Cambria Math"/>
              </w:rPr>
              <m:t>t</m:t>
            </m:r>
          </m:sub>
        </m:sSub>
      </m:oMath>
      <w:r w:rsidRPr="00A945B1">
        <w:t xml:space="preserve"> e </w:t>
      </w:r>
      <m:oMath>
        <m:sSub>
          <m:sSubPr>
            <m:ctrlPr>
              <w:rPr>
                <w:rFonts w:ascii="Cambria Math" w:hAnsi="Cambria Math"/>
                <w:i/>
              </w:rPr>
            </m:ctrlPr>
          </m:sSubPr>
          <m:e>
            <m:r>
              <w:rPr>
                <w:rFonts w:ascii="Cambria Math" w:hAnsi="Cambria Math"/>
              </w:rPr>
              <m:t>J</m:t>
            </m:r>
          </m:e>
          <m:sub>
            <m:r>
              <w:rPr>
                <w:rFonts w:ascii="Cambria Math" w:hAnsi="Cambria Math"/>
              </w:rPr>
              <m:t>t,k</m:t>
            </m:r>
          </m:sub>
        </m:sSub>
      </m:oMath>
      <w:r w:rsidRPr="00A945B1">
        <w:t xml:space="preserve"> são independentes.</w:t>
      </w:r>
    </w:p>
    <w:p w:rsidR="003E588A" w:rsidRPr="00A945B1" w:rsidRDefault="000A3E1C" w:rsidP="003E588A">
      <w:pPr>
        <w:spacing w:line="360" w:lineRule="auto"/>
        <w:ind w:firstLine="360"/>
      </w:pPr>
      <w:r w:rsidRPr="00A945B1">
        <w:t xml:space="preserve">A variância condicional </w:t>
      </w:r>
      <m:oMath>
        <m:sSub>
          <m:sSubPr>
            <m:ctrlPr>
              <w:rPr>
                <w:rFonts w:ascii="Cambria Math" w:hAnsi="Cambria Math"/>
                <w:i/>
              </w:rPr>
            </m:ctrlPr>
          </m:sSubPr>
          <m:e>
            <m:r>
              <w:rPr>
                <w:rFonts w:ascii="Cambria Math" w:hAnsi="Cambria Math"/>
              </w:rPr>
              <m:t>h</m:t>
            </m:r>
          </m:e>
          <m:sub>
            <m:r>
              <w:rPr>
                <w:rFonts w:ascii="Cambria Math" w:hAnsi="Cambria Math"/>
              </w:rPr>
              <m:t>t</m:t>
            </m:r>
          </m:sub>
        </m:sSub>
      </m:oMath>
      <w:r w:rsidR="009D2AB4">
        <w:t xml:space="preserve"> segue um processo GARCH(p,q)</w:t>
      </w:r>
      <m:oMath>
        <m:r>
          <w:rPr>
            <w:rFonts w:ascii="Cambria Math" w:hAnsi="Cambria Math"/>
          </w:rPr>
          <m:t>:</m:t>
        </m:r>
      </m:oMath>
    </w:p>
    <w:p w:rsidR="003E588A" w:rsidRPr="00A945B1" w:rsidRDefault="003E588A" w:rsidP="003E588A">
      <w:pPr>
        <w:pStyle w:val="SemEspaamento"/>
      </w:pPr>
    </w:p>
    <w:p w:rsidR="00064299" w:rsidRPr="00A945B1" w:rsidRDefault="00236A0C" w:rsidP="005A5D93">
      <w:pPr>
        <w:pStyle w:val="equationAlignNum"/>
        <w:spacing w:line="360" w:lineRule="auto"/>
        <w:jc w:val="right"/>
      </w:pPr>
      <m:oMath>
        <m:sSub>
          <m:sSubPr>
            <m:ctrlPr>
              <w:rPr>
                <w:rFonts w:ascii="Cambria Math" w:hAnsi="Cambria Math"/>
                <w:i/>
              </w:rPr>
            </m:ctrlPr>
          </m:sSubPr>
          <m:e>
            <m:r>
              <w:rPr>
                <w:rFonts w:ascii="Cambria Math" w:hAnsi="Cambria Math"/>
              </w:rPr>
              <m:t>h</m:t>
            </m:r>
          </m:e>
          <m:sub>
            <m:r>
              <w:rPr>
                <w:rFonts w:ascii="Cambria Math" w:hAnsi="Cambria Math"/>
              </w:rPr>
              <m:t>t</m:t>
            </m:r>
          </m:sub>
        </m:sSub>
        <m:r>
          <w:rPr>
            <w:rFonts w:ascii="Cambria Math" w:hAnsi="Cambria Math"/>
          </w:rPr>
          <m:t>=ω+</m:t>
        </m:r>
        <m:nary>
          <m:naryPr>
            <m:chr m:val="∑"/>
            <m:limLoc m:val="undOvr"/>
            <m:ctrlPr>
              <w:rPr>
                <w:rFonts w:ascii="Cambria Math" w:hAnsi="Cambria Math"/>
                <w:i/>
              </w:rPr>
            </m:ctrlPr>
          </m:naryPr>
          <m:sub>
            <m:r>
              <w:rPr>
                <w:rFonts w:ascii="Cambria Math" w:hAnsi="Cambria Math"/>
              </w:rPr>
              <m:t>i=1</m:t>
            </m:r>
          </m:sub>
          <m:sup>
            <m:r>
              <w:rPr>
                <w:rFonts w:ascii="Cambria Math" w:hAnsi="Cambria Math"/>
              </w:rPr>
              <m:t>q</m:t>
            </m:r>
          </m:sup>
          <m:e>
            <m:sSub>
              <m:sSubPr>
                <m:ctrlPr>
                  <w:rPr>
                    <w:rFonts w:ascii="Cambria Math" w:hAnsi="Cambria Math"/>
                    <w:i/>
                  </w:rPr>
                </m:ctrlPr>
              </m:sSubPr>
              <m:e>
                <m:r>
                  <w:rPr>
                    <w:rFonts w:ascii="Cambria Math" w:hAnsi="Cambria Math"/>
                  </w:rPr>
                  <m:t>α</m:t>
                </m:r>
              </m:e>
              <m:sub>
                <m:r>
                  <w:rPr>
                    <w:rFonts w:ascii="Cambria Math" w:hAnsi="Cambria Math"/>
                  </w:rPr>
                  <m:t>i</m:t>
                </m:r>
              </m:sub>
            </m:sSub>
            <m:sSubSup>
              <m:sSubSupPr>
                <m:ctrlPr>
                  <w:rPr>
                    <w:rFonts w:ascii="Cambria Math" w:hAnsi="Cambria Math"/>
                    <w:i/>
                  </w:rPr>
                </m:ctrlPr>
              </m:sSubSupPr>
              <m:e>
                <m:r>
                  <w:rPr>
                    <w:rFonts w:ascii="Cambria Math" w:hAnsi="Cambria Math"/>
                  </w:rPr>
                  <m:t>ε</m:t>
                </m:r>
              </m:e>
              <m:sub>
                <m:r>
                  <w:rPr>
                    <w:rFonts w:ascii="Cambria Math" w:hAnsi="Cambria Math"/>
                  </w:rPr>
                  <m:t>t-i</m:t>
                </m:r>
              </m:sub>
              <m:sup>
                <m:r>
                  <w:rPr>
                    <w:rFonts w:ascii="Cambria Math" w:hAnsi="Cambria Math"/>
                  </w:rPr>
                  <m:t>2</m:t>
                </m:r>
              </m:sup>
            </m:sSubSup>
          </m:e>
        </m:nary>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p</m:t>
            </m:r>
          </m:sup>
          <m:e>
            <m:sSub>
              <m:sSubPr>
                <m:ctrlPr>
                  <w:rPr>
                    <w:rFonts w:ascii="Cambria Math" w:hAnsi="Cambria Math"/>
                    <w:i/>
                  </w:rPr>
                </m:ctrlPr>
              </m:sSubPr>
              <m:e>
                <m:r>
                  <w:rPr>
                    <w:rFonts w:ascii="Cambria Math" w:hAnsi="Cambria Math"/>
                  </w:rPr>
                  <m:t>β</m:t>
                </m:r>
              </m:e>
              <m:sub>
                <m:r>
                  <w:rPr>
                    <w:rFonts w:ascii="Cambria Math" w:hAnsi="Cambria Math"/>
                  </w:rPr>
                  <m:t>i</m:t>
                </m:r>
              </m:sub>
            </m:sSub>
            <m:sSub>
              <m:sSubPr>
                <m:ctrlPr>
                  <w:rPr>
                    <w:rFonts w:ascii="Cambria Math" w:hAnsi="Cambria Math"/>
                    <w:i/>
                  </w:rPr>
                </m:ctrlPr>
              </m:sSubPr>
              <m:e>
                <m:r>
                  <w:rPr>
                    <w:rFonts w:ascii="Cambria Math" w:hAnsi="Cambria Math"/>
                  </w:rPr>
                  <m:t>h</m:t>
                </m:r>
              </m:e>
              <m:sub>
                <m:r>
                  <w:rPr>
                    <w:rFonts w:ascii="Cambria Math" w:hAnsi="Cambria Math"/>
                  </w:rPr>
                  <m:t>t-i</m:t>
                </m:r>
              </m:sub>
            </m:sSub>
          </m:e>
        </m:nary>
      </m:oMath>
      <w:r w:rsidR="009D2AB4">
        <w:t>,</w:t>
      </w:r>
      <w:r w:rsidR="000A3E1C" w:rsidRPr="00A945B1">
        <w:tab/>
      </w:r>
      <w:r w:rsidR="005A5D93" w:rsidRPr="00A945B1">
        <w:tab/>
      </w:r>
      <w:r w:rsidR="00B01CA6" w:rsidRPr="00A945B1">
        <w:tab/>
      </w:r>
      <w:r w:rsidR="005A5D93" w:rsidRPr="00A945B1">
        <w:tab/>
      </w:r>
      <w:r w:rsidR="000A3E1C" w:rsidRPr="00A945B1">
        <w:t>(</w:t>
      </w:r>
      <w:bookmarkStart w:id="5" w:name="BMequ_arji_garch"/>
      <w:r w:rsidR="000A3E1C" w:rsidRPr="00A945B1">
        <w:t>4</w:t>
      </w:r>
      <w:bookmarkEnd w:id="5"/>
      <w:r w:rsidR="000A3E1C" w:rsidRPr="00A945B1">
        <w:t>)</w:t>
      </w:r>
    </w:p>
    <w:p w:rsidR="003E588A" w:rsidRPr="00A945B1" w:rsidRDefault="003E588A" w:rsidP="003E588A">
      <w:pPr>
        <w:pStyle w:val="SemEspaamento"/>
      </w:pPr>
    </w:p>
    <w:p w:rsidR="00064299" w:rsidRPr="00A945B1" w:rsidRDefault="000A3E1C" w:rsidP="002E2600">
      <w:pPr>
        <w:spacing w:line="360" w:lineRule="auto"/>
      </w:pPr>
      <w:r w:rsidRPr="00A945B1">
        <w:lastRenderedPageBreak/>
        <w:t>sendo que</w:t>
      </w:r>
      <w:r w:rsidR="00944EE0" w:rsidRPr="00A945B1">
        <w:t xml:space="preserve"> </w:t>
      </w:r>
      <m:oMath>
        <m:sSub>
          <m:sSubPr>
            <m:ctrlPr>
              <w:rPr>
                <w:rFonts w:ascii="Cambria Math" w:hAnsi="Cambria Math"/>
                <w:i/>
              </w:rPr>
            </m:ctrlPr>
          </m:sSubPr>
          <m:e>
            <m:r>
              <w:rPr>
                <w:rFonts w:ascii="Cambria Math" w:hAnsi="Cambria Math"/>
              </w:rPr>
              <m:t>ε</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-μ-</m:t>
        </m:r>
        <m:nary>
          <m:naryPr>
            <m:chr m:val="∑"/>
            <m:limLoc m:val="undOvr"/>
            <m:ctrlPr>
              <w:rPr>
                <w:rFonts w:ascii="Cambria Math" w:hAnsi="Cambria Math"/>
                <w:i/>
              </w:rPr>
            </m:ctrlPr>
          </m:naryPr>
          <m:sub>
            <m:r>
              <w:rPr>
                <w:rFonts w:ascii="Cambria Math" w:hAnsi="Cambria Math"/>
              </w:rPr>
              <m:t>i=1</m:t>
            </m:r>
          </m:sub>
          <m:sup>
            <m:r>
              <w:rPr>
                <w:rFonts w:ascii="Cambria Math" w:hAnsi="Cambria Math"/>
              </w:rPr>
              <m:t>l</m:t>
            </m:r>
          </m:sup>
          <m:e>
            <m:sSub>
              <m:sSubPr>
                <m:ctrlPr>
                  <w:rPr>
                    <w:rFonts w:ascii="Cambria Math" w:hAnsi="Cambria Math"/>
                    <w:i/>
                  </w:rPr>
                </m:ctrlPr>
              </m:sSubPr>
              <m:e>
                <m:r>
                  <m:rPr>
                    <m:sty m:val="p"/>
                  </m:rPr>
                  <w:rPr>
                    <w:rFonts w:ascii="Cambria Math" w:hAnsi="Cambria Math"/>
                  </w:rPr>
                  <m:t>ϕ</m:t>
                </m:r>
              </m:e>
              <m:sub>
                <m:r>
                  <w:rPr>
                    <w:rFonts w:ascii="Cambria Math" w:hAnsi="Cambria Math"/>
                  </w:rPr>
                  <m:t>i</m:t>
                </m:r>
              </m:sub>
            </m:sSub>
            <m:sSub>
              <m:sSubPr>
                <m:ctrlPr>
                  <w:rPr>
                    <w:rFonts w:ascii="Cambria Math" w:hAnsi="Cambria Math"/>
                    <w:i/>
                  </w:rPr>
                </m:ctrlPr>
              </m:sSubPr>
              <m:e>
                <m:r>
                  <w:rPr>
                    <w:rFonts w:ascii="Cambria Math" w:hAnsi="Cambria Math"/>
                  </w:rPr>
                  <m:t>R</m:t>
                </m:r>
              </m:e>
              <m:sub>
                <m:r>
                  <w:rPr>
                    <w:rFonts w:ascii="Cambria Math" w:hAnsi="Cambria Math"/>
                  </w:rPr>
                  <m:t>t-i</m:t>
                </m:r>
              </m:sub>
            </m:sSub>
          </m:e>
        </m:nary>
      </m:oMath>
      <w:r w:rsidRPr="00A945B1">
        <w:t xml:space="preserve">. Note que essa especificação do resíduo </w:t>
      </w:r>
      <w:r w:rsidR="000763FC" w:rsidRPr="00A945B1">
        <w:fldChar w:fldCharType="begin"/>
      </w:r>
      <w:r w:rsidRPr="00A945B1">
        <w:instrText xml:space="preserve"> EQ ε\s\do6(</w:instrText>
      </w:r>
      <w:r w:rsidRPr="00A945B1">
        <w:rPr>
          <w:i/>
          <w:iCs/>
        </w:rPr>
        <w:instrText>t</w:instrText>
      </w:r>
      <w:r w:rsidRPr="00A945B1">
        <w:instrText>)</w:instrText>
      </w:r>
      <w:r w:rsidR="000763FC" w:rsidRPr="00A945B1">
        <w:fldChar w:fldCharType="end"/>
      </w:r>
      <w:r w:rsidRPr="00A945B1">
        <w:t xml:space="preserve"> contém os saltos esperados, possibilitando que eles afetem a volatilidade do processo.</w:t>
      </w:r>
    </w:p>
    <w:p w:rsidR="00064299" w:rsidRPr="00A945B1" w:rsidRDefault="000A3E1C" w:rsidP="002E2600">
      <w:pPr>
        <w:spacing w:line="360" w:lineRule="auto"/>
        <w:ind w:firstLine="360"/>
      </w:pPr>
      <w:r w:rsidRPr="00A945B1">
        <w:t xml:space="preserve">O número de saltos que acontece durante os períodos </w:t>
      </w:r>
      <w:r w:rsidRPr="00A945B1">
        <w:rPr>
          <w:i/>
          <w:iCs/>
        </w:rPr>
        <w:t>t</w:t>
      </w:r>
      <w:r w:rsidRPr="00A945B1">
        <w:t xml:space="preserve">−1 e </w:t>
      </w:r>
      <w:r w:rsidRPr="00A945B1">
        <w:rPr>
          <w:i/>
          <w:iCs/>
        </w:rPr>
        <w:t>t</w:t>
      </w:r>
      <w:r w:rsidRPr="00A945B1">
        <w:t xml:space="preserve"> é dado por </w:t>
      </w:r>
      <m:oMath>
        <m:sSub>
          <m:sSubPr>
            <m:ctrlPr>
              <w:rPr>
                <w:rFonts w:ascii="Cambria Math" w:hAnsi="Cambria Math"/>
                <w:i/>
              </w:rPr>
            </m:ctrlPr>
          </m:sSubPr>
          <m:e>
            <m:r>
              <w:rPr>
                <w:rFonts w:ascii="Cambria Math" w:hAnsi="Cambria Math"/>
              </w:rPr>
              <m:t>n</m:t>
            </m:r>
          </m:e>
          <m:sub>
            <m:r>
              <w:rPr>
                <w:rFonts w:ascii="Cambria Math" w:hAnsi="Cambria Math"/>
              </w:rPr>
              <m:t>t</m:t>
            </m:r>
          </m:sub>
        </m:sSub>
      </m:oMath>
      <w:r w:rsidRPr="00A945B1">
        <w:t>, que é governado por um processo discreto com distribuição de Poisson:</w:t>
      </w:r>
    </w:p>
    <w:p w:rsidR="007A54AF" w:rsidRPr="00A945B1" w:rsidRDefault="007A54AF" w:rsidP="007A54AF">
      <w:pPr>
        <w:pStyle w:val="SemEspaamento"/>
      </w:pPr>
    </w:p>
    <w:p w:rsidR="00064299" w:rsidRPr="00A945B1" w:rsidRDefault="00944EE0" w:rsidP="005A5D93">
      <w:pPr>
        <w:pStyle w:val="equationAlignNum"/>
        <w:spacing w:line="360" w:lineRule="auto"/>
        <w:jc w:val="right"/>
      </w:pPr>
      <m:oMath>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t</m:t>
                </m:r>
              </m:sub>
            </m:sSub>
            <m:r>
              <w:rPr>
                <w:rFonts w:ascii="Cambria Math" w:hAnsi="Cambria Math"/>
              </w:rPr>
              <m:t>=j</m:t>
            </m:r>
          </m:e>
          <m:e>
            <m:sSub>
              <m:sSubPr>
                <m:ctrlPr>
                  <w:rPr>
                    <w:rFonts w:ascii="Cambria Math" w:hAnsi="Cambria Math"/>
                    <w:i/>
                  </w:rPr>
                </m:ctrlPr>
              </m:sSubPr>
              <m:e>
                <m:r>
                  <m:rPr>
                    <m:sty m:val="p"/>
                  </m:rPr>
                  <w:rPr>
                    <w:rFonts w:ascii="Cambria Math" w:hAnsi="Cambria Math"/>
                  </w:rPr>
                  <m:t>Φ</m:t>
                </m:r>
              </m:e>
              <m:sub>
                <m:r>
                  <w:rPr>
                    <w:rFonts w:ascii="Cambria Math" w:hAnsi="Cambria Math"/>
                  </w:rPr>
                  <m:t>t-1</m:t>
                </m:r>
              </m:sub>
            </m:sSub>
          </m:e>
        </m:d>
        <m:r>
          <w:rPr>
            <w:rFonts w:ascii="Cambria Math" w:hAnsi="Cambria Math"/>
          </w:rPr>
          <m:t>=</m:t>
        </m:r>
        <m:f>
          <m:fPr>
            <m:ctrlPr>
              <w:rPr>
                <w:rFonts w:ascii="Cambria Math" w:hAnsi="Cambria Math"/>
                <w:i/>
              </w:rPr>
            </m:ctrlPr>
          </m:fPr>
          <m:num>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m:rPr>
                        <m:sty m:val="p"/>
                      </m:rP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t</m:t>
                        </m:r>
                      </m:sub>
                    </m:sSub>
                    <m:ctrlPr>
                      <w:rPr>
                        <w:rFonts w:ascii="Cambria Math" w:hAnsi="Cambria Math"/>
                        <w:i/>
                      </w:rPr>
                    </m:ctrlPr>
                  </m:e>
                </m:d>
                <m:ctrlPr>
                  <w:rPr>
                    <w:rFonts w:ascii="Cambria Math" w:hAnsi="Cambria Math"/>
                    <w:i/>
                  </w:rPr>
                </m:ctrlPr>
              </m:e>
            </m:func>
            <m:sSubSup>
              <m:sSubSupPr>
                <m:ctrlPr>
                  <w:rPr>
                    <w:rFonts w:ascii="Cambria Math" w:hAnsi="Cambria Math"/>
                    <w:i/>
                  </w:rPr>
                </m:ctrlPr>
              </m:sSubSupPr>
              <m:e>
                <m:r>
                  <w:rPr>
                    <w:rFonts w:ascii="Cambria Math" w:hAnsi="Cambria Math"/>
                  </w:rPr>
                  <m:t>λ</m:t>
                </m:r>
              </m:e>
              <m:sub>
                <m:r>
                  <w:rPr>
                    <w:rFonts w:ascii="Cambria Math" w:hAnsi="Cambria Math"/>
                  </w:rPr>
                  <m:t>t</m:t>
                </m:r>
              </m:sub>
              <m:sup>
                <m:r>
                  <w:rPr>
                    <w:rFonts w:ascii="Cambria Math" w:hAnsi="Cambria Math"/>
                  </w:rPr>
                  <m:t>j</m:t>
                </m:r>
              </m:sup>
            </m:sSubSup>
          </m:num>
          <m:den>
            <m:r>
              <w:rPr>
                <w:rFonts w:ascii="Cambria Math" w:hAnsi="Cambria Math"/>
              </w:rPr>
              <m:t>j!</m:t>
            </m:r>
          </m:den>
        </m:f>
        <m:r>
          <w:rPr>
            <w:rFonts w:ascii="Cambria Math" w:hAnsi="Cambria Math"/>
          </w:rPr>
          <m:t>, j=0,1,2,⋯,</m:t>
        </m:r>
      </m:oMath>
      <w:r w:rsidR="00B26372" w:rsidRPr="00A945B1">
        <w:tab/>
      </w:r>
      <w:r w:rsidR="005A5D93" w:rsidRPr="00A945B1">
        <w:tab/>
      </w:r>
      <w:r w:rsidR="005A5D93" w:rsidRPr="00A945B1">
        <w:tab/>
      </w:r>
      <w:r w:rsidR="000A3E1C" w:rsidRPr="00A945B1">
        <w:t>(</w:t>
      </w:r>
      <w:bookmarkStart w:id="6" w:name="BMequ_poisson"/>
      <w:r w:rsidR="000A3E1C" w:rsidRPr="00A945B1">
        <w:t>5</w:t>
      </w:r>
      <w:bookmarkEnd w:id="6"/>
      <w:r w:rsidR="000A3E1C" w:rsidRPr="00A945B1">
        <w:t>)</w:t>
      </w:r>
    </w:p>
    <w:p w:rsidR="003E588A" w:rsidRPr="00A945B1" w:rsidRDefault="003E588A" w:rsidP="003E588A">
      <w:pPr>
        <w:pStyle w:val="SemEspaamento"/>
      </w:pPr>
    </w:p>
    <w:p w:rsidR="00064299" w:rsidRPr="00A945B1" w:rsidRDefault="000A3E1C" w:rsidP="002E2600">
      <w:pPr>
        <w:spacing w:line="360" w:lineRule="auto"/>
      </w:pPr>
      <w:r w:rsidRPr="00A945B1">
        <w:t xml:space="preserve">onde </w:t>
      </w:r>
      <m:oMath>
        <m:sSub>
          <m:sSubPr>
            <m:ctrlPr>
              <w:rPr>
                <w:rFonts w:ascii="Cambria Math" w:hAnsi="Cambria Math"/>
                <w:i/>
              </w:rPr>
            </m:ctrlPr>
          </m:sSubPr>
          <m:e>
            <m:r>
              <w:rPr>
                <w:rFonts w:ascii="Cambria Math" w:hAnsi="Cambria Math"/>
              </w:rPr>
              <m:t>λ</m:t>
            </m:r>
          </m:e>
          <m:sub>
            <m:r>
              <w:rPr>
                <w:rFonts w:ascii="Cambria Math" w:hAnsi="Cambria Math"/>
              </w:rPr>
              <m:t>t</m:t>
            </m:r>
          </m:sub>
        </m:sSub>
        <m:r>
          <w:rPr>
            <w:rFonts w:ascii="Cambria Math" w:hAnsi="Cambria Math"/>
          </w:rPr>
          <m:t>&gt;0</m:t>
        </m:r>
      </m:oMath>
      <w:r w:rsidRPr="00A945B1">
        <w:t xml:space="preserve"> é o parâmetro da distribuição, que corresponde à média e à variância do processo, sendo interpretado como a intensidade dos saltos.</w:t>
      </w:r>
    </w:p>
    <w:p w:rsidR="00064299" w:rsidRPr="00A945B1" w:rsidRDefault="000A3E1C" w:rsidP="002E2600">
      <w:pPr>
        <w:spacing w:line="360" w:lineRule="auto"/>
        <w:ind w:firstLine="360"/>
      </w:pPr>
      <w:r w:rsidRPr="00A945B1">
        <w:t xml:space="preserve">Para calcular o comportamento dos saltos na taxa de câmbio brasileira, utilizamos quatro modelos distintos de acordo com a dinâmica dos coeficientes </w:t>
      </w:r>
      <m:oMath>
        <m:sSub>
          <m:sSubPr>
            <m:ctrlPr>
              <w:rPr>
                <w:rFonts w:ascii="Cambria Math" w:hAnsi="Cambria Math"/>
                <w:i/>
              </w:rPr>
            </m:ctrlPr>
          </m:sSubPr>
          <m:e>
            <m:r>
              <w:rPr>
                <w:rFonts w:ascii="Cambria Math" w:hAnsi="Cambria Math"/>
              </w:rPr>
              <m:t>λ</m:t>
            </m:r>
          </m:e>
          <m:sub>
            <m:r>
              <w:rPr>
                <w:rFonts w:ascii="Cambria Math" w:hAnsi="Cambria Math"/>
              </w:rPr>
              <m:t>t</m:t>
            </m:r>
          </m:sub>
        </m:sSub>
      </m:oMath>
      <w:r w:rsidRPr="00A945B1">
        <w:t xml:space="preserve">, </w:t>
      </w:r>
      <m:oMath>
        <m:sSub>
          <m:sSubPr>
            <m:ctrlPr>
              <w:rPr>
                <w:rFonts w:ascii="Cambria Math" w:hAnsi="Cambria Math"/>
                <w:i/>
              </w:rPr>
            </m:ctrlPr>
          </m:sSubPr>
          <m:e>
            <m:r>
              <w:rPr>
                <w:rFonts w:ascii="Cambria Math" w:hAnsi="Cambria Math"/>
              </w:rPr>
              <m:t>θ</m:t>
            </m:r>
          </m:e>
          <m:sub>
            <m:r>
              <w:rPr>
                <w:rFonts w:ascii="Cambria Math" w:hAnsi="Cambria Math"/>
              </w:rPr>
              <m:t>t</m:t>
            </m:r>
          </m:sub>
        </m:sSub>
      </m:oMath>
      <w:r w:rsidRPr="00A945B1">
        <w:t xml:space="preserve"> e </w:t>
      </w:r>
      <m:oMath>
        <m:sSubSup>
          <m:sSubSupPr>
            <m:ctrlPr>
              <w:rPr>
                <w:rFonts w:ascii="Cambria Math" w:hAnsi="Cambria Math"/>
                <w:i/>
              </w:rPr>
            </m:ctrlPr>
          </m:sSubSupPr>
          <m:e>
            <m:r>
              <w:rPr>
                <w:rFonts w:ascii="Cambria Math" w:hAnsi="Cambria Math"/>
              </w:rPr>
              <m:t>δ</m:t>
            </m:r>
          </m:e>
          <m:sub>
            <m:r>
              <w:rPr>
                <w:rFonts w:ascii="Cambria Math" w:hAnsi="Cambria Math"/>
              </w:rPr>
              <m:t>t</m:t>
            </m:r>
          </m:sub>
          <m:sup>
            <m:r>
              <w:rPr>
                <w:rFonts w:ascii="Cambria Math" w:hAnsi="Cambria Math"/>
              </w:rPr>
              <m:t>2</m:t>
            </m:r>
          </m:sup>
        </m:sSubSup>
      </m:oMath>
      <w:r w:rsidRPr="00A945B1">
        <w:t xml:space="preserve">. O primeiro modelo é o de intensidade e distribuição do tamanho dos saltos constantes, onde </w:t>
      </w:r>
      <m:oMath>
        <m:sSub>
          <m:sSubPr>
            <m:ctrlPr>
              <w:rPr>
                <w:rFonts w:ascii="Cambria Math" w:hAnsi="Cambria Math"/>
                <w:i/>
              </w:rPr>
            </m:ctrlPr>
          </m:sSubPr>
          <m:e>
            <m:r>
              <w:rPr>
                <w:rFonts w:ascii="Cambria Math" w:hAnsi="Cambria Math"/>
              </w:rPr>
              <m:t>λ</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0</m:t>
            </m:r>
          </m:sub>
        </m:sSub>
      </m:oMath>
      <w:r w:rsidRPr="00A945B1">
        <w:t xml:space="preserve">, </w:t>
      </w:r>
      <m:oMath>
        <m:sSub>
          <m:sSubPr>
            <m:ctrlPr>
              <w:rPr>
                <w:rFonts w:ascii="Cambria Math" w:hAnsi="Cambria Math"/>
                <w:i/>
              </w:rPr>
            </m:ctrlPr>
          </m:sSubPr>
          <m:e>
            <m:r>
              <w:rPr>
                <w:rFonts w:ascii="Cambria Math" w:hAnsi="Cambria Math"/>
              </w:rPr>
              <m:t>θ</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0</m:t>
            </m:r>
          </m:sub>
        </m:sSub>
      </m:oMath>
      <w:r w:rsidRPr="00A945B1">
        <w:t xml:space="preserve"> e </w:t>
      </w:r>
      <m:oMath>
        <m:sSubSup>
          <m:sSubSupPr>
            <m:ctrlPr>
              <w:rPr>
                <w:rFonts w:ascii="Cambria Math" w:hAnsi="Cambria Math"/>
                <w:i/>
              </w:rPr>
            </m:ctrlPr>
          </m:sSubSupPr>
          <m:e>
            <m:r>
              <w:rPr>
                <w:rFonts w:ascii="Cambria Math" w:hAnsi="Cambria Math"/>
              </w:rPr>
              <m:t>δ</m:t>
            </m:r>
          </m:e>
          <m:sub>
            <m:r>
              <w:rPr>
                <w:rFonts w:ascii="Cambria Math" w:hAnsi="Cambria Math"/>
              </w:rPr>
              <m:t>t</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δ</m:t>
            </m:r>
          </m:e>
          <m:sub>
            <m:r>
              <w:rPr>
                <w:rFonts w:ascii="Cambria Math" w:hAnsi="Cambria Math"/>
              </w:rPr>
              <m:t>0</m:t>
            </m:r>
          </m:sub>
          <m:sup>
            <m:r>
              <w:rPr>
                <w:rFonts w:ascii="Cambria Math" w:hAnsi="Cambria Math"/>
              </w:rPr>
              <m:t>2</m:t>
            </m:r>
          </m:sup>
        </m:sSubSup>
      </m:oMath>
      <w:r w:rsidRPr="00A945B1">
        <w:t xml:space="preserve">. O segundo modelo, denotado </w:t>
      </w:r>
      <m:oMath>
        <m:r>
          <w:rPr>
            <w:rFonts w:ascii="Cambria Math" w:hAnsi="Cambria Math"/>
          </w:rPr>
          <m:t>ARJI(r,s)</m:t>
        </m:r>
      </m:oMath>
      <w:r w:rsidRPr="00A945B1">
        <w:t xml:space="preserve">, considera os parâmetros da distribuição de </w:t>
      </w:r>
      <m:oMath>
        <m:sSub>
          <m:sSubPr>
            <m:ctrlPr>
              <w:rPr>
                <w:rFonts w:ascii="Cambria Math" w:hAnsi="Cambria Math"/>
                <w:i/>
              </w:rPr>
            </m:ctrlPr>
          </m:sSubPr>
          <m:e>
            <m:r>
              <w:rPr>
                <w:rFonts w:ascii="Cambria Math" w:hAnsi="Cambria Math"/>
              </w:rPr>
              <m:t>J</m:t>
            </m:r>
          </m:e>
          <m:sub>
            <m:r>
              <w:rPr>
                <w:rFonts w:ascii="Cambria Math" w:hAnsi="Cambria Math"/>
              </w:rPr>
              <m:t>t,k</m:t>
            </m:r>
          </m:sub>
        </m:sSub>
      </m:oMath>
      <w:r w:rsidRPr="00A945B1">
        <w:t xml:space="preserve"> constantes, mas a intensidade dos saltos segue um processo autorregressivo de</w:t>
      </w:r>
      <w:r w:rsidR="003E588A" w:rsidRPr="00A945B1">
        <w:t xml:space="preserve"> médias móveis (ARMA) dado por:</w:t>
      </w:r>
    </w:p>
    <w:p w:rsidR="003E588A" w:rsidRPr="00A945B1" w:rsidRDefault="003E588A" w:rsidP="003E588A">
      <w:pPr>
        <w:pStyle w:val="SemEspaamento"/>
      </w:pPr>
    </w:p>
    <w:p w:rsidR="00064299" w:rsidRPr="00A945B1" w:rsidRDefault="00236A0C" w:rsidP="005A5D93">
      <w:pPr>
        <w:pStyle w:val="equationAlignNum"/>
        <w:spacing w:line="360" w:lineRule="auto"/>
        <w:jc w:val="right"/>
      </w:pPr>
      <m:oMath>
        <m:sSub>
          <m:sSubPr>
            <m:ctrlPr>
              <w:rPr>
                <w:rFonts w:ascii="Cambria Math" w:hAnsi="Cambria Math"/>
                <w:i/>
              </w:rPr>
            </m:ctrlPr>
          </m:sSubPr>
          <m:e>
            <m:r>
              <w:rPr>
                <w:rFonts w:ascii="Cambria Math" w:hAnsi="Cambria Math"/>
              </w:rPr>
              <m:t>λ</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0</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r</m:t>
            </m:r>
          </m:sup>
          <m:e>
            <m:sSub>
              <m:sSubPr>
                <m:ctrlPr>
                  <w:rPr>
                    <w:rFonts w:ascii="Cambria Math" w:hAnsi="Cambria Math"/>
                    <w:i/>
                  </w:rPr>
                </m:ctrlPr>
              </m:sSubPr>
              <m:e>
                <m:r>
                  <w:rPr>
                    <w:rFonts w:ascii="Cambria Math" w:hAnsi="Cambria Math"/>
                  </w:rPr>
                  <m:t>ρ</m:t>
                </m:r>
              </m:e>
              <m:sub>
                <m:r>
                  <w:rPr>
                    <w:rFonts w:ascii="Cambria Math" w:hAnsi="Cambria Math"/>
                  </w:rPr>
                  <m:t>i</m:t>
                </m:r>
              </m:sub>
            </m:sSub>
            <m:sSub>
              <m:sSubPr>
                <m:ctrlPr>
                  <w:rPr>
                    <w:rFonts w:ascii="Cambria Math" w:hAnsi="Cambria Math"/>
                    <w:i/>
                  </w:rPr>
                </m:ctrlPr>
              </m:sSubPr>
              <m:e>
                <m:r>
                  <w:rPr>
                    <w:rFonts w:ascii="Cambria Math" w:hAnsi="Cambria Math"/>
                  </w:rPr>
                  <m:t>λ</m:t>
                </m:r>
              </m:e>
              <m:sub>
                <m:r>
                  <w:rPr>
                    <w:rFonts w:ascii="Cambria Math" w:hAnsi="Cambria Math"/>
                  </w:rPr>
                  <m:t>t-i</m:t>
                </m:r>
              </m:sub>
            </m:sSub>
          </m:e>
        </m:nary>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s</m:t>
            </m:r>
          </m:sup>
          <m:e>
            <m:sSub>
              <m:sSubPr>
                <m:ctrlPr>
                  <w:rPr>
                    <w:rFonts w:ascii="Cambria Math" w:hAnsi="Cambria Math"/>
                    <w:i/>
                  </w:rPr>
                </m:ctrlPr>
              </m:sSubPr>
              <m:e>
                <m:r>
                  <w:rPr>
                    <w:rFonts w:ascii="Cambria Math" w:hAnsi="Cambria Math"/>
                  </w:rPr>
                  <m:t>γ</m:t>
                </m:r>
              </m:e>
              <m:sub>
                <m:r>
                  <w:rPr>
                    <w:rFonts w:ascii="Cambria Math" w:hAnsi="Cambria Math"/>
                  </w:rPr>
                  <m:t>i</m:t>
                </m:r>
              </m:sub>
            </m:sSub>
            <m:sSub>
              <m:sSubPr>
                <m:ctrlPr>
                  <w:rPr>
                    <w:rFonts w:ascii="Cambria Math" w:hAnsi="Cambria Math"/>
                    <w:i/>
                  </w:rPr>
                </m:ctrlPr>
              </m:sSubPr>
              <m:e>
                <m:r>
                  <w:rPr>
                    <w:rFonts w:ascii="Cambria Math" w:hAnsi="Cambria Math"/>
                  </w:rPr>
                  <m:t>ξ</m:t>
                </m:r>
              </m:e>
              <m:sub>
                <m:r>
                  <w:rPr>
                    <w:rFonts w:ascii="Cambria Math" w:hAnsi="Cambria Math"/>
                  </w:rPr>
                  <m:t>t-i</m:t>
                </m:r>
              </m:sub>
            </m:sSub>
          </m:e>
        </m:nary>
      </m:oMath>
      <w:r w:rsidR="000A3E1C" w:rsidRPr="00A945B1">
        <w:tab/>
      </w:r>
      <w:r w:rsidR="000A3E1C" w:rsidRPr="00A945B1">
        <w:tab/>
      </w:r>
      <w:r w:rsidR="00B01CA6" w:rsidRPr="00A945B1">
        <w:tab/>
      </w:r>
      <w:r w:rsidR="00B01CA6" w:rsidRPr="00A945B1">
        <w:tab/>
      </w:r>
      <w:r w:rsidR="000A3E1C" w:rsidRPr="00A945B1">
        <w:t>(</w:t>
      </w:r>
      <w:bookmarkStart w:id="7" w:name="BMequ_arji_lambda"/>
      <w:r w:rsidR="000A3E1C" w:rsidRPr="00A945B1">
        <w:t>6</w:t>
      </w:r>
      <w:bookmarkEnd w:id="7"/>
      <w:r w:rsidR="000A3E1C" w:rsidRPr="00A945B1">
        <w:t>)</w:t>
      </w:r>
    </w:p>
    <w:p w:rsidR="003E588A" w:rsidRPr="00A945B1" w:rsidRDefault="003E588A" w:rsidP="003E588A">
      <w:pPr>
        <w:pStyle w:val="SemEspaamento"/>
      </w:pPr>
    </w:p>
    <w:p w:rsidR="00064299" w:rsidRPr="00A945B1" w:rsidRDefault="000A3E1C" w:rsidP="002E2600">
      <w:pPr>
        <w:spacing w:line="360" w:lineRule="auto"/>
        <w:ind w:firstLine="360"/>
      </w:pPr>
      <w:r w:rsidRPr="00A945B1">
        <w:t>Note que</w:t>
      </w:r>
      <w:r w:rsidR="00CE3D0C" w:rsidRPr="00A945B1">
        <w:t xml:space="preserve"> </w:t>
      </w:r>
      <m:oMath>
        <m:sSub>
          <m:sSubPr>
            <m:ctrlPr>
              <w:rPr>
                <w:rFonts w:ascii="Cambria Math" w:hAnsi="Cambria Math"/>
                <w:i/>
              </w:rPr>
            </m:ctrlPr>
          </m:sSubPr>
          <m:e>
            <m:r>
              <w:rPr>
                <w:rFonts w:ascii="Cambria Math" w:hAnsi="Cambria Math"/>
              </w:rPr>
              <m:t>λ</m:t>
            </m:r>
          </m:e>
          <m:sub>
            <m:r>
              <w:rPr>
                <w:rFonts w:ascii="Cambria Math" w:hAnsi="Cambria Math"/>
              </w:rPr>
              <m:t>t</m:t>
            </m:r>
          </m:sub>
        </m:sSub>
        <m:r>
          <w:rPr>
            <w:rFonts w:ascii="Cambria Math" w:hAnsi="Cambria Math"/>
          </w:rPr>
          <m:t>≡E[</m:t>
        </m:r>
        <m:sSub>
          <m:sSubPr>
            <m:ctrlPr>
              <w:rPr>
                <w:rFonts w:ascii="Cambria Math" w:hAnsi="Cambria Math"/>
                <w:i/>
              </w:rPr>
            </m:ctrlPr>
          </m:sSubPr>
          <m:e>
            <m:r>
              <w:rPr>
                <w:rFonts w:ascii="Cambria Math" w:hAnsi="Cambria Math"/>
              </w:rPr>
              <m:t>n</m:t>
            </m:r>
          </m:e>
          <m:sub>
            <m:r>
              <w:rPr>
                <w:rFonts w:ascii="Cambria Math" w:hAnsi="Cambria Math"/>
              </w:rPr>
              <m:t>t</m:t>
            </m:r>
          </m:sub>
        </m:sSub>
        <m:r>
          <w:rPr>
            <w:rFonts w:ascii="Cambria Math" w:hAnsi="Cambria Math"/>
          </w:rPr>
          <m:t>|</m:t>
        </m:r>
        <m:sSub>
          <m:sSubPr>
            <m:ctrlPr>
              <w:rPr>
                <w:rFonts w:ascii="Cambria Math" w:hAnsi="Cambria Math"/>
                <w:i/>
              </w:rPr>
            </m:ctrlPr>
          </m:sSubPr>
          <m:e>
            <m:r>
              <m:rPr>
                <m:sty m:val="p"/>
              </m:rPr>
              <w:rPr>
                <w:rFonts w:ascii="Cambria Math" w:hAnsi="Cambria Math"/>
              </w:rPr>
              <m:t>Φ</m:t>
            </m:r>
          </m:e>
          <m:sub>
            <m:r>
              <w:rPr>
                <w:rFonts w:ascii="Cambria Math" w:hAnsi="Cambria Math"/>
              </w:rPr>
              <m:t>t-1</m:t>
            </m:r>
          </m:sub>
        </m:sSub>
        <m:r>
          <w:rPr>
            <w:rFonts w:ascii="Cambria Math" w:hAnsi="Cambria Math"/>
          </w:rPr>
          <m:t>]</m:t>
        </m:r>
      </m:oMath>
      <w:r w:rsidRPr="00A945B1">
        <w:t xml:space="preserve"> é a expectativa condicional do número de saltos que ocorrerá no instante </w:t>
      </w:r>
      <w:r w:rsidRPr="00A945B1">
        <w:rPr>
          <w:i/>
          <w:iCs/>
        </w:rPr>
        <w:t>t</w:t>
      </w:r>
      <w:r w:rsidRPr="00A945B1">
        <w:t xml:space="preserve"> dado o conjunto de informação em </w:t>
      </w:r>
      <w:r w:rsidRPr="00A945B1">
        <w:rPr>
          <w:i/>
          <w:iCs/>
        </w:rPr>
        <w:t>t</w:t>
      </w:r>
      <w:r w:rsidRPr="00A945B1">
        <w:t xml:space="preserve">−1, </w:t>
      </w:r>
      <m:oMath>
        <m:sSub>
          <m:sSubPr>
            <m:ctrlPr>
              <w:rPr>
                <w:rFonts w:ascii="Cambria Math" w:hAnsi="Cambria Math"/>
                <w:i/>
              </w:rPr>
            </m:ctrlPr>
          </m:sSubPr>
          <m:e>
            <m:r>
              <m:rPr>
                <m:sty m:val="p"/>
              </m:rPr>
              <w:rPr>
                <w:rFonts w:ascii="Cambria Math" w:hAnsi="Cambria Math"/>
              </w:rPr>
              <m:t>Φ</m:t>
            </m:r>
          </m:e>
          <m:sub>
            <m:r>
              <w:rPr>
                <w:rFonts w:ascii="Cambria Math" w:hAnsi="Cambria Math"/>
              </w:rPr>
              <m:t>t-1</m:t>
            </m:r>
          </m:sub>
        </m:sSub>
      </m:oMath>
      <w:r w:rsidRPr="00A945B1">
        <w:t xml:space="preserve">. Iremos nos referir a </w:t>
      </w:r>
      <m:oMath>
        <m:sSub>
          <m:sSubPr>
            <m:ctrlPr>
              <w:rPr>
                <w:rFonts w:ascii="Cambria Math" w:hAnsi="Cambria Math"/>
                <w:i/>
              </w:rPr>
            </m:ctrlPr>
          </m:sSubPr>
          <m:e>
            <m:r>
              <w:rPr>
                <w:rFonts w:ascii="Cambria Math" w:hAnsi="Cambria Math"/>
              </w:rPr>
              <m:t>λ</m:t>
            </m:r>
          </m:e>
          <m:sub>
            <m:r>
              <w:rPr>
                <w:rFonts w:ascii="Cambria Math" w:hAnsi="Cambria Math"/>
              </w:rPr>
              <m:t>t</m:t>
            </m:r>
          </m:sub>
        </m:sSub>
      </m:oMath>
      <w:r w:rsidRPr="00A945B1">
        <w:t xml:space="preserve"> como a intensidade dos saltos no período </w:t>
      </w:r>
      <w:r w:rsidRPr="00A945B1">
        <w:rPr>
          <w:i/>
          <w:iCs/>
        </w:rPr>
        <w:t>t</w:t>
      </w:r>
      <w:r w:rsidRPr="00A945B1">
        <w:t xml:space="preserve">. </w:t>
      </w:r>
      <m:oMath>
        <m:sSub>
          <m:sSubPr>
            <m:ctrlPr>
              <w:rPr>
                <w:rFonts w:ascii="Cambria Math" w:hAnsi="Cambria Math"/>
                <w:i/>
              </w:rPr>
            </m:ctrlPr>
          </m:sSubPr>
          <m:e>
            <m:r>
              <w:rPr>
                <w:rFonts w:ascii="Cambria Math" w:hAnsi="Cambria Math"/>
              </w:rPr>
              <m:t>ξ</m:t>
            </m:r>
          </m:e>
          <m:sub>
            <m:r>
              <w:rPr>
                <w:rFonts w:ascii="Cambria Math" w:hAnsi="Cambria Math"/>
              </w:rPr>
              <m:t>t</m:t>
            </m:r>
          </m:sub>
        </m:sSub>
      </m:oMath>
      <w:r w:rsidRPr="00A945B1">
        <w:t xml:space="preserve"> é um choque que corresponde ao componente não previsível que afeta a quantidade de saltos, ou seja,</w:t>
      </w:r>
      <w:r w:rsidR="007A54AF" w:rsidRPr="00A945B1">
        <w:t xml:space="preserve"> </w:t>
      </w:r>
      <m:oMath>
        <m:sSub>
          <m:sSubPr>
            <m:ctrlPr>
              <w:rPr>
                <w:rFonts w:ascii="Cambria Math" w:hAnsi="Cambria Math"/>
                <w:i/>
              </w:rPr>
            </m:ctrlPr>
          </m:sSubPr>
          <m:e>
            <m:r>
              <w:rPr>
                <w:rFonts w:ascii="Cambria Math" w:hAnsi="Cambria Math"/>
              </w:rPr>
              <m:t>ξ</m:t>
            </m:r>
          </m:e>
          <m:sub>
            <m:r>
              <w:rPr>
                <w:rFonts w:ascii="Cambria Math" w:hAnsi="Cambria Math"/>
              </w:rPr>
              <m:t>t-i</m:t>
            </m:r>
          </m:sub>
        </m:sSub>
        <m:r>
          <w:rPr>
            <w:rFonts w:ascii="Cambria Math" w:hAnsi="Cambria Math"/>
          </w:rPr>
          <m:t>≡E</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t-i</m:t>
                </m:r>
              </m:sub>
            </m:sSub>
          </m:e>
          <m:e>
            <m:sSub>
              <m:sSubPr>
                <m:ctrlPr>
                  <w:rPr>
                    <w:rFonts w:ascii="Cambria Math" w:hAnsi="Cambria Math"/>
                    <w:i/>
                  </w:rPr>
                </m:ctrlPr>
              </m:sSubPr>
              <m:e>
                <m:r>
                  <m:rPr>
                    <m:sty m:val="p"/>
                  </m:rPr>
                  <w:rPr>
                    <w:rFonts w:ascii="Cambria Math" w:hAnsi="Cambria Math"/>
                  </w:rPr>
                  <m:t>Φ</m:t>
                </m:r>
              </m:e>
              <m:sub>
                <m:r>
                  <w:rPr>
                    <w:rFonts w:ascii="Cambria Math" w:hAnsi="Cambria Math"/>
                  </w:rPr>
                  <m:t>t-i</m:t>
                </m:r>
              </m:sub>
            </m:sSub>
          </m:e>
        </m:d>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t-i</m:t>
            </m:r>
          </m:sub>
        </m:sSub>
      </m:oMath>
      <w:r w:rsidRPr="00A945B1">
        <w:t>.</w:t>
      </w:r>
    </w:p>
    <w:p w:rsidR="007A54AF" w:rsidRPr="00A945B1" w:rsidRDefault="000A3E1C" w:rsidP="007A54AF">
      <w:pPr>
        <w:spacing w:line="360" w:lineRule="auto"/>
        <w:ind w:firstLine="360"/>
      </w:pPr>
      <w:r w:rsidRPr="00A945B1">
        <w:t xml:space="preserve">O termo </w:t>
      </w:r>
      <m:oMath>
        <m:sSub>
          <m:sSubPr>
            <m:ctrlPr>
              <w:rPr>
                <w:rFonts w:ascii="Cambria Math" w:hAnsi="Cambria Math"/>
                <w:i/>
              </w:rPr>
            </m:ctrlPr>
          </m:sSubPr>
          <m:e>
            <m:r>
              <w:rPr>
                <w:rFonts w:ascii="Cambria Math" w:hAnsi="Cambria Math"/>
              </w:rPr>
              <m:t>ξ</m:t>
            </m:r>
          </m:e>
          <m:sub>
            <m:r>
              <w:rPr>
                <w:rFonts w:ascii="Cambria Math" w:hAnsi="Cambria Math"/>
              </w:rPr>
              <m:t>t-i</m:t>
            </m:r>
          </m:sub>
        </m:sSub>
      </m:oMath>
      <w:r w:rsidRPr="00A945B1">
        <w:t xml:space="preserve"> é medido </w:t>
      </w:r>
      <w:r w:rsidRPr="00A945B1">
        <w:rPr>
          <w:i/>
          <w:iCs/>
        </w:rPr>
        <w:t>ex post</w:t>
      </w:r>
      <w:r w:rsidRPr="00A945B1">
        <w:t xml:space="preserve"> utilizando-se o valor esperado </w:t>
      </w:r>
      <m:oMath>
        <m:r>
          <w:rPr>
            <w:rFonts w:ascii="Cambria Math" w:hAnsi="Cambria Math"/>
          </w:rPr>
          <m:t>E</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t-i</m:t>
                </m:r>
              </m:sub>
            </m:sSub>
          </m:e>
          <m:e>
            <m:sSub>
              <m:sSubPr>
                <m:ctrlPr>
                  <w:rPr>
                    <w:rFonts w:ascii="Cambria Math" w:hAnsi="Cambria Math"/>
                    <w:i/>
                  </w:rPr>
                </m:ctrlPr>
              </m:sSubPr>
              <m:e>
                <m:r>
                  <m:rPr>
                    <m:sty m:val="p"/>
                  </m:rPr>
                  <w:rPr>
                    <w:rFonts w:ascii="Cambria Math" w:hAnsi="Cambria Math"/>
                  </w:rPr>
                  <m:t>Φ</m:t>
                </m:r>
              </m:e>
              <m:sub>
                <m:r>
                  <w:rPr>
                    <w:rFonts w:ascii="Cambria Math" w:hAnsi="Cambria Math"/>
                  </w:rPr>
                  <m:t>t-i</m:t>
                </m:r>
              </m:sub>
            </m:sSub>
          </m:e>
        </m:d>
        <m:r>
          <w:rPr>
            <w:rFonts w:ascii="Cambria Math" w:hAnsi="Cambria Math"/>
          </w:rPr>
          <m:t>=</m:t>
        </m:r>
        <m:nary>
          <m:naryPr>
            <m:chr m:val="∑"/>
            <m:limLoc m:val="undOvr"/>
            <m:ctrlPr>
              <w:rPr>
                <w:rFonts w:ascii="Cambria Math" w:hAnsi="Cambria Math"/>
                <w:i/>
              </w:rPr>
            </m:ctrlPr>
          </m:naryPr>
          <m:sub>
            <m:r>
              <w:rPr>
                <w:rFonts w:ascii="Cambria Math" w:hAnsi="Cambria Math"/>
              </w:rPr>
              <m:t>j=0</m:t>
            </m:r>
          </m:sub>
          <m:sup>
            <m:r>
              <w:rPr>
                <w:rFonts w:ascii="Cambria Math" w:hAnsi="Cambria Math"/>
              </w:rPr>
              <m:t>∞</m:t>
            </m:r>
          </m:sup>
          <m:e>
            <m:r>
              <w:rPr>
                <w:rFonts w:ascii="Cambria Math" w:hAnsi="Cambria Math"/>
              </w:rPr>
              <m:t>j</m:t>
            </m:r>
          </m:e>
        </m:nary>
        <m:r>
          <w:rPr>
            <w:rFonts w:ascii="Cambria Math" w:hAnsi="Cambria Math"/>
          </w:rPr>
          <m:t>P(</m:t>
        </m:r>
        <m:sSub>
          <m:sSubPr>
            <m:ctrlPr>
              <w:rPr>
                <w:rFonts w:ascii="Cambria Math" w:hAnsi="Cambria Math"/>
                <w:i/>
              </w:rPr>
            </m:ctrlPr>
          </m:sSubPr>
          <m:e>
            <m:r>
              <w:rPr>
                <w:rFonts w:ascii="Cambria Math" w:hAnsi="Cambria Math"/>
              </w:rPr>
              <m:t>n</m:t>
            </m:r>
          </m:e>
          <m:sub>
            <m:r>
              <w:rPr>
                <w:rFonts w:ascii="Cambria Math" w:hAnsi="Cambria Math"/>
              </w:rPr>
              <m:t>t-i</m:t>
            </m:r>
          </m:sub>
        </m:sSub>
        <m:r>
          <w:rPr>
            <w:rFonts w:ascii="Cambria Math" w:hAnsi="Cambria Math"/>
          </w:rPr>
          <m:t>=j|</m:t>
        </m:r>
        <m:sSub>
          <m:sSubPr>
            <m:ctrlPr>
              <w:rPr>
                <w:rFonts w:ascii="Cambria Math" w:hAnsi="Cambria Math"/>
                <w:i/>
              </w:rPr>
            </m:ctrlPr>
          </m:sSubPr>
          <m:e>
            <m:r>
              <m:rPr>
                <m:sty m:val="p"/>
              </m:rPr>
              <w:rPr>
                <w:rFonts w:ascii="Cambria Math" w:hAnsi="Cambria Math"/>
              </w:rPr>
              <m:t>Φ</m:t>
            </m:r>
          </m:e>
          <m:sub>
            <m:r>
              <w:rPr>
                <w:rFonts w:ascii="Cambria Math" w:hAnsi="Cambria Math"/>
              </w:rPr>
              <m:t>t-i</m:t>
            </m:r>
          </m:sub>
        </m:sSub>
        <m:r>
          <w:rPr>
            <w:rFonts w:ascii="Cambria Math" w:hAnsi="Cambria Math"/>
          </w:rPr>
          <m:t>)</m:t>
        </m:r>
      </m:oMath>
      <w:r w:rsidR="007A54AF" w:rsidRPr="00A945B1">
        <w:t xml:space="preserve"> e a regra de Bayes:</w:t>
      </w:r>
    </w:p>
    <w:p w:rsidR="007A54AF" w:rsidRPr="00A945B1" w:rsidRDefault="007A54AF" w:rsidP="007A54AF">
      <w:pPr>
        <w:pStyle w:val="SemEspaamento"/>
      </w:pPr>
    </w:p>
    <w:p w:rsidR="00C70689" w:rsidRPr="00C70689" w:rsidRDefault="00343F98" w:rsidP="00C70689">
      <w:pPr>
        <w:pStyle w:val="equationAlignNum"/>
        <w:spacing w:line="360" w:lineRule="auto"/>
        <w:jc w:val="right"/>
      </w:pPr>
      <m:oMath>
        <m:r>
          <w:rPr>
            <w:rFonts w:ascii="Cambria Math" w:hAnsi="Cambria Math"/>
            <w:sz w:val="28"/>
            <w:szCs w:val="28"/>
          </w:rPr>
          <m:t>P</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t</m:t>
                </m:r>
              </m:sub>
            </m:sSub>
            <m:r>
              <w:rPr>
                <w:rFonts w:ascii="Cambria Math" w:hAnsi="Cambria Math"/>
                <w:sz w:val="28"/>
                <w:szCs w:val="28"/>
              </w:rPr>
              <m:t>=j</m:t>
            </m:r>
          </m:e>
          <m:e>
            <m:sSub>
              <m:sSubPr>
                <m:ctrlPr>
                  <w:rPr>
                    <w:rFonts w:ascii="Cambria Math" w:hAnsi="Cambria Math"/>
                    <w:i/>
                    <w:sz w:val="28"/>
                    <w:szCs w:val="28"/>
                  </w:rPr>
                </m:ctrlPr>
              </m:sSubPr>
              <m:e>
                <m:r>
                  <m:rPr>
                    <m:sty m:val="p"/>
                  </m:rPr>
                  <w:rPr>
                    <w:rFonts w:ascii="Cambria Math" w:hAnsi="Cambria Math"/>
                    <w:sz w:val="28"/>
                    <w:szCs w:val="28"/>
                  </w:rPr>
                  <m:t>Φ</m:t>
                </m:r>
                <m:ctrlPr>
                  <w:rPr>
                    <w:rFonts w:ascii="Cambria Math" w:hAnsi="Cambria Math"/>
                    <w:sz w:val="28"/>
                    <w:szCs w:val="28"/>
                  </w:rPr>
                </m:ctrlPr>
              </m:e>
              <m:sub>
                <m:r>
                  <w:rPr>
                    <w:rFonts w:ascii="Cambria Math" w:hAnsi="Cambria Math"/>
                    <w:sz w:val="28"/>
                    <w:szCs w:val="28"/>
                  </w:rPr>
                  <m:t>t</m:t>
                </m:r>
              </m:sub>
            </m:sSub>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f</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t</m:t>
                    </m:r>
                  </m:sub>
                </m:sSub>
              </m:e>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t</m:t>
                    </m:r>
                  </m:sub>
                </m:sSub>
                <m:r>
                  <w:rPr>
                    <w:rFonts w:ascii="Cambria Math" w:hAnsi="Cambria Math"/>
                    <w:sz w:val="28"/>
                    <w:szCs w:val="28"/>
                  </w:rPr>
                  <m:t>=j,</m:t>
                </m:r>
                <m:sSub>
                  <m:sSubPr>
                    <m:ctrlPr>
                      <w:rPr>
                        <w:rFonts w:ascii="Cambria Math" w:hAnsi="Cambria Math"/>
                        <w:i/>
                        <w:sz w:val="28"/>
                        <w:szCs w:val="28"/>
                      </w:rPr>
                    </m:ctrlPr>
                  </m:sSubPr>
                  <m:e>
                    <m:r>
                      <m:rPr>
                        <m:sty m:val="p"/>
                      </m:rPr>
                      <w:rPr>
                        <w:rFonts w:ascii="Cambria Math" w:hAnsi="Cambria Math"/>
                        <w:sz w:val="28"/>
                        <w:szCs w:val="28"/>
                      </w:rPr>
                      <m:t>Φ</m:t>
                    </m:r>
                    <m:ctrlPr>
                      <w:rPr>
                        <w:rFonts w:ascii="Cambria Math" w:hAnsi="Cambria Math"/>
                        <w:sz w:val="28"/>
                        <w:szCs w:val="28"/>
                      </w:rPr>
                    </m:ctrlPr>
                  </m:e>
                  <m:sub>
                    <m:r>
                      <w:rPr>
                        <w:rFonts w:ascii="Cambria Math" w:hAnsi="Cambria Math"/>
                        <w:sz w:val="28"/>
                        <w:szCs w:val="28"/>
                      </w:rPr>
                      <m:t>t-1</m:t>
                    </m:r>
                  </m:sub>
                </m:sSub>
              </m:e>
            </m:d>
            <m:r>
              <w:rPr>
                <w:rFonts w:ascii="Cambria Math" w:hAnsi="Cambria Math"/>
                <w:sz w:val="28"/>
                <w:szCs w:val="28"/>
              </w:rPr>
              <m:t>P</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t</m:t>
                    </m:r>
                  </m:sub>
                </m:sSub>
                <m:r>
                  <w:rPr>
                    <w:rFonts w:ascii="Cambria Math" w:hAnsi="Cambria Math"/>
                    <w:sz w:val="28"/>
                    <w:szCs w:val="28"/>
                  </w:rPr>
                  <m:t>=j,</m:t>
                </m:r>
                <m:sSub>
                  <m:sSubPr>
                    <m:ctrlPr>
                      <w:rPr>
                        <w:rFonts w:ascii="Cambria Math" w:hAnsi="Cambria Math"/>
                        <w:i/>
                        <w:sz w:val="28"/>
                        <w:szCs w:val="28"/>
                      </w:rPr>
                    </m:ctrlPr>
                  </m:sSubPr>
                  <m:e>
                    <m:r>
                      <m:rPr>
                        <m:sty m:val="p"/>
                      </m:rPr>
                      <w:rPr>
                        <w:rFonts w:ascii="Cambria Math" w:hAnsi="Cambria Math"/>
                        <w:sz w:val="28"/>
                        <w:szCs w:val="28"/>
                      </w:rPr>
                      <m:t>Φ</m:t>
                    </m:r>
                    <m:ctrlPr>
                      <w:rPr>
                        <w:rFonts w:ascii="Cambria Math" w:hAnsi="Cambria Math"/>
                        <w:sz w:val="28"/>
                        <w:szCs w:val="28"/>
                      </w:rPr>
                    </m:ctrlPr>
                  </m:e>
                  <m:sub>
                    <m:r>
                      <w:rPr>
                        <w:rFonts w:ascii="Cambria Math" w:hAnsi="Cambria Math"/>
                        <w:sz w:val="28"/>
                        <w:szCs w:val="28"/>
                      </w:rPr>
                      <m:t>t-1</m:t>
                    </m:r>
                  </m:sub>
                </m:sSub>
              </m:e>
            </m:d>
          </m:num>
          <m:den>
            <m:nary>
              <m:naryPr>
                <m:chr m:val="∑"/>
                <m:limLoc m:val="undOvr"/>
                <m:ctrlPr>
                  <w:rPr>
                    <w:rFonts w:ascii="Cambria Math" w:hAnsi="Cambria Math"/>
                    <w:i/>
                    <w:sz w:val="28"/>
                    <w:szCs w:val="28"/>
                  </w:rPr>
                </m:ctrlPr>
              </m:naryPr>
              <m:sub>
                <m:r>
                  <w:rPr>
                    <w:rFonts w:ascii="Cambria Math" w:hAnsi="Cambria Math"/>
                    <w:sz w:val="28"/>
                    <w:szCs w:val="28"/>
                  </w:rPr>
                  <m:t>j=0</m:t>
                </m:r>
              </m:sub>
              <m:sup>
                <m:r>
                  <w:rPr>
                    <w:rFonts w:ascii="Cambria Math" w:hAnsi="Cambria Math"/>
                    <w:sz w:val="28"/>
                    <w:szCs w:val="28"/>
                  </w:rPr>
                  <m:t>∞</m:t>
                </m:r>
              </m:sup>
              <m:e>
                <m:r>
                  <w:rPr>
                    <w:rFonts w:ascii="Cambria Math" w:hAnsi="Cambria Math"/>
                    <w:sz w:val="28"/>
                    <w:szCs w:val="28"/>
                  </w:rPr>
                  <m:t>f</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t</m:t>
                        </m:r>
                      </m:sub>
                    </m:sSub>
                  </m:e>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t</m:t>
                        </m:r>
                      </m:sub>
                    </m:sSub>
                    <m:r>
                      <w:rPr>
                        <w:rFonts w:ascii="Cambria Math" w:hAnsi="Cambria Math"/>
                        <w:sz w:val="28"/>
                        <w:szCs w:val="28"/>
                      </w:rPr>
                      <m:t>=j,</m:t>
                    </m:r>
                    <m:sSub>
                      <m:sSubPr>
                        <m:ctrlPr>
                          <w:rPr>
                            <w:rFonts w:ascii="Cambria Math" w:hAnsi="Cambria Math"/>
                            <w:i/>
                            <w:sz w:val="28"/>
                            <w:szCs w:val="28"/>
                          </w:rPr>
                        </m:ctrlPr>
                      </m:sSubPr>
                      <m:e>
                        <m:r>
                          <m:rPr>
                            <m:sty m:val="p"/>
                          </m:rPr>
                          <w:rPr>
                            <w:rFonts w:ascii="Cambria Math" w:hAnsi="Cambria Math"/>
                            <w:sz w:val="28"/>
                            <w:szCs w:val="28"/>
                          </w:rPr>
                          <m:t>Φ</m:t>
                        </m:r>
                        <m:ctrlPr>
                          <w:rPr>
                            <w:rFonts w:ascii="Cambria Math" w:hAnsi="Cambria Math"/>
                            <w:sz w:val="28"/>
                            <w:szCs w:val="28"/>
                          </w:rPr>
                        </m:ctrlPr>
                      </m:e>
                      <m:sub>
                        <m:r>
                          <w:rPr>
                            <w:rFonts w:ascii="Cambria Math" w:hAnsi="Cambria Math"/>
                            <w:sz w:val="28"/>
                            <w:szCs w:val="28"/>
                          </w:rPr>
                          <m:t>t-1</m:t>
                        </m:r>
                      </m:sub>
                    </m:sSub>
                  </m:e>
                </m:d>
                <m:r>
                  <w:rPr>
                    <w:rFonts w:ascii="Cambria Math" w:hAnsi="Cambria Math"/>
                    <w:sz w:val="28"/>
                    <w:szCs w:val="28"/>
                  </w:rPr>
                  <m:t>P</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t</m:t>
                        </m:r>
                      </m:sub>
                    </m:sSub>
                    <m:r>
                      <w:rPr>
                        <w:rFonts w:ascii="Cambria Math" w:hAnsi="Cambria Math"/>
                        <w:sz w:val="28"/>
                        <w:szCs w:val="28"/>
                      </w:rPr>
                      <m:t>=j,</m:t>
                    </m:r>
                    <m:sSub>
                      <m:sSubPr>
                        <m:ctrlPr>
                          <w:rPr>
                            <w:rFonts w:ascii="Cambria Math" w:hAnsi="Cambria Math"/>
                            <w:i/>
                            <w:sz w:val="28"/>
                            <w:szCs w:val="28"/>
                          </w:rPr>
                        </m:ctrlPr>
                      </m:sSubPr>
                      <m:e>
                        <m:r>
                          <m:rPr>
                            <m:sty m:val="p"/>
                          </m:rPr>
                          <w:rPr>
                            <w:rFonts w:ascii="Cambria Math" w:hAnsi="Cambria Math"/>
                            <w:sz w:val="28"/>
                            <w:szCs w:val="28"/>
                          </w:rPr>
                          <m:t>Φ</m:t>
                        </m:r>
                        <m:ctrlPr>
                          <w:rPr>
                            <w:rFonts w:ascii="Cambria Math" w:hAnsi="Cambria Math"/>
                            <w:sz w:val="28"/>
                            <w:szCs w:val="28"/>
                          </w:rPr>
                        </m:ctrlPr>
                      </m:e>
                      <m:sub>
                        <m:r>
                          <w:rPr>
                            <w:rFonts w:ascii="Cambria Math" w:hAnsi="Cambria Math"/>
                            <w:sz w:val="28"/>
                            <w:szCs w:val="28"/>
                          </w:rPr>
                          <m:t>t-1</m:t>
                        </m:r>
                      </m:sub>
                    </m:sSub>
                  </m:e>
                </m:d>
              </m:e>
            </m:nary>
          </m:den>
        </m:f>
        <m:r>
          <w:rPr>
            <w:rFonts w:ascii="Cambria Math" w:hAnsi="Cambria Math"/>
            <w:sz w:val="28"/>
            <w:szCs w:val="28"/>
          </w:rPr>
          <m:t>, j=0, 1, 2,⋯</m:t>
        </m:r>
      </m:oMath>
      <w:r w:rsidR="000A3E1C" w:rsidRPr="00A945B1">
        <w:tab/>
      </w:r>
      <w:r w:rsidR="000965DA" w:rsidRPr="00A945B1">
        <w:tab/>
      </w:r>
      <w:r w:rsidR="000A3E1C" w:rsidRPr="00A945B1">
        <w:t>(</w:t>
      </w:r>
      <w:bookmarkStart w:id="8" w:name="BMequ_bayes"/>
      <w:r w:rsidR="000A3E1C" w:rsidRPr="00A945B1">
        <w:t>7</w:t>
      </w:r>
      <w:bookmarkEnd w:id="8"/>
      <w:r w:rsidR="000A3E1C" w:rsidRPr="00A945B1">
        <w:t>)</w:t>
      </w:r>
    </w:p>
    <w:p w:rsidR="007A54AF" w:rsidRPr="00A945B1" w:rsidRDefault="007A54AF" w:rsidP="007A54AF">
      <w:pPr>
        <w:pStyle w:val="SemEspaamento"/>
      </w:pPr>
    </w:p>
    <w:p w:rsidR="00064299" w:rsidRPr="00A945B1" w:rsidRDefault="000A3E1C" w:rsidP="002E2600">
      <w:pPr>
        <w:spacing w:line="360" w:lineRule="auto"/>
        <w:ind w:firstLine="360"/>
      </w:pPr>
      <w:r w:rsidRPr="00A945B1">
        <w:t>De acordo com a equação (</w:t>
      </w:r>
      <w:fldSimple w:instr="REF BMequ_bayes \* MERGEFORMAT ">
        <w:r w:rsidR="00C70689" w:rsidRPr="00A945B1">
          <w:t>7</w:t>
        </w:r>
      </w:fldSimple>
      <w:r w:rsidRPr="00A945B1">
        <w:t xml:space="preserve">), o modelo pode ser visto como uma mistura discreta de distribuições governada por uma distribuição de Poisson variante no tempo. Assim, os retornos condicionados a </w:t>
      </w:r>
      <m:oMath>
        <m:sSub>
          <m:sSubPr>
            <m:ctrlPr>
              <w:rPr>
                <w:rFonts w:ascii="Cambria Math" w:hAnsi="Cambria Math"/>
                <w:i/>
              </w:rPr>
            </m:ctrlPr>
          </m:sSubPr>
          <m:e>
            <m:r>
              <m:rPr>
                <m:sty m:val="p"/>
              </m:rPr>
              <w:rPr>
                <w:rFonts w:ascii="Cambria Math" w:hAnsi="Cambria Math"/>
              </w:rPr>
              <m:t>Φ</m:t>
            </m:r>
            <m:ctrlPr>
              <w:rPr>
                <w:rFonts w:ascii="Cambria Math" w:hAnsi="Cambria Math"/>
              </w:rPr>
            </m:ctrlPr>
          </m:e>
          <m:sub>
            <m:r>
              <w:rPr>
                <w:rFonts w:ascii="Cambria Math" w:hAnsi="Cambria Math"/>
              </w:rPr>
              <m:t>t-1</m:t>
            </m:r>
          </m:sub>
        </m:sSub>
      </m:oMath>
      <w:r w:rsidRPr="00A945B1">
        <w:t xml:space="preserve"> e </w:t>
      </w:r>
      <m:oMath>
        <m:sSub>
          <m:sSubPr>
            <m:ctrlPr>
              <w:rPr>
                <w:rFonts w:ascii="Cambria Math" w:hAnsi="Cambria Math"/>
                <w:i/>
              </w:rPr>
            </m:ctrlPr>
          </m:sSubPr>
          <m:e>
            <m:r>
              <w:rPr>
                <w:rFonts w:ascii="Cambria Math" w:hAnsi="Cambria Math"/>
              </w:rPr>
              <m:t>n</m:t>
            </m:r>
          </m:e>
          <m:sub>
            <m:r>
              <w:rPr>
                <w:rFonts w:ascii="Cambria Math" w:hAnsi="Cambria Math"/>
              </w:rPr>
              <m:t>t</m:t>
            </m:r>
          </m:sub>
        </m:sSub>
        <m:r>
          <w:rPr>
            <w:rFonts w:ascii="Cambria Math" w:hAnsi="Cambria Math"/>
          </w:rPr>
          <m:t>=j</m:t>
        </m:r>
      </m:oMath>
      <w:r w:rsidRPr="00A945B1">
        <w:t xml:space="preserve"> serão</w:t>
      </w:r>
      <w:r w:rsidR="007A54AF" w:rsidRPr="00A945B1">
        <w:t xml:space="preserve"> normalmente distribuídos como:</w:t>
      </w:r>
    </w:p>
    <w:p w:rsidR="00064299" w:rsidRPr="00A945B1" w:rsidRDefault="00343F98" w:rsidP="005A5D93">
      <w:pPr>
        <w:pStyle w:val="equationAlignNum"/>
        <w:spacing w:line="360" w:lineRule="auto"/>
        <w:jc w:val="right"/>
      </w:pPr>
      <m:oMath>
        <m:r>
          <w:rPr>
            <w:rFonts w:ascii="Cambria Math" w:hAnsi="Cambria Math"/>
            <w:sz w:val="28"/>
            <w:szCs w:val="28"/>
          </w:rPr>
          <w:lastRenderedPageBreak/>
          <m:t>f</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t</m:t>
                </m:r>
              </m:sub>
            </m:sSub>
          </m:e>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t</m:t>
                </m:r>
              </m:sub>
            </m:sSub>
            <m:r>
              <w:rPr>
                <w:rFonts w:ascii="Cambria Math" w:hAnsi="Cambria Math"/>
                <w:sz w:val="28"/>
                <w:szCs w:val="28"/>
              </w:rPr>
              <m:t>=j,</m:t>
            </m:r>
            <m:sSub>
              <m:sSubPr>
                <m:ctrlPr>
                  <w:rPr>
                    <w:rFonts w:ascii="Cambria Math" w:hAnsi="Cambria Math"/>
                    <w:i/>
                    <w:sz w:val="28"/>
                    <w:szCs w:val="28"/>
                  </w:rPr>
                </m:ctrlPr>
              </m:sSubPr>
              <m:e>
                <m:r>
                  <m:rPr>
                    <m:sty m:val="p"/>
                  </m:rPr>
                  <w:rPr>
                    <w:rFonts w:ascii="Cambria Math" w:hAnsi="Cambria Math"/>
                    <w:sz w:val="28"/>
                    <w:szCs w:val="28"/>
                  </w:rPr>
                  <m:t>Φ</m:t>
                </m:r>
                <m:ctrlPr>
                  <w:rPr>
                    <w:rFonts w:ascii="Cambria Math" w:hAnsi="Cambria Math"/>
                    <w:sz w:val="28"/>
                    <w:szCs w:val="28"/>
                  </w:rPr>
                </m:ctrlPr>
              </m:e>
              <m:sub>
                <m:r>
                  <w:rPr>
                    <w:rFonts w:ascii="Cambria Math" w:hAnsi="Cambria Math"/>
                    <w:sz w:val="28"/>
                    <w:szCs w:val="28"/>
                  </w:rPr>
                  <m:t>t-1</m:t>
                </m:r>
              </m:sub>
            </m:sSub>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ad>
              <m:radPr>
                <m:degHide m:val="1"/>
                <m:ctrlPr>
                  <w:rPr>
                    <w:rFonts w:ascii="Cambria Math" w:hAnsi="Cambria Math"/>
                    <w:i/>
                    <w:sz w:val="28"/>
                    <w:szCs w:val="28"/>
                  </w:rPr>
                </m:ctrlPr>
              </m:radPr>
              <m:deg/>
              <m:e>
                <m:r>
                  <w:rPr>
                    <w:rFonts w:ascii="Cambria Math" w:hAnsi="Cambria Math"/>
                    <w:sz w:val="28"/>
                    <w:szCs w:val="28"/>
                  </w:rPr>
                  <m:t>2π(</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t</m:t>
                    </m:r>
                  </m:sub>
                </m:sSub>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jδ</m:t>
                    </m:r>
                  </m:e>
                  <m:sub>
                    <m:r>
                      <w:rPr>
                        <w:rFonts w:ascii="Cambria Math" w:hAnsi="Cambria Math"/>
                        <w:sz w:val="28"/>
                        <w:szCs w:val="28"/>
                      </w:rPr>
                      <m:t>t</m:t>
                    </m:r>
                  </m:sub>
                  <m:sup>
                    <m:r>
                      <w:rPr>
                        <w:rFonts w:ascii="Cambria Math" w:hAnsi="Cambria Math"/>
                        <w:sz w:val="28"/>
                        <w:szCs w:val="28"/>
                      </w:rPr>
                      <m:t>2</m:t>
                    </m:r>
                  </m:sup>
                </m:sSubSup>
                <m:r>
                  <w:rPr>
                    <w:rFonts w:ascii="Cambria Math" w:hAnsi="Cambria Math"/>
                    <w:sz w:val="28"/>
                    <w:szCs w:val="28"/>
                  </w:rPr>
                  <m:t>)</m:t>
                </m:r>
              </m:e>
            </m:rad>
          </m:den>
        </m:f>
        <m:r>
          <w:rPr>
            <w:rFonts w:ascii="Cambria Math" w:hAnsi="Cambria Math"/>
            <w:sz w:val="28"/>
            <w:szCs w:val="28"/>
          </w:rPr>
          <m:t>×</m:t>
        </m:r>
        <m:r>
          <m:rPr>
            <m:sty m:val="p"/>
          </m:rPr>
          <w:rPr>
            <w:rFonts w:ascii="Cambria Math" w:hAnsi="Cambria Math"/>
            <w:sz w:val="28"/>
            <w:szCs w:val="28"/>
          </w:rPr>
          <m:t>exp</m:t>
        </m:r>
        <m:d>
          <m:dPr>
            <m:ctrlPr>
              <w:rPr>
                <w:rFonts w:ascii="Cambria Math" w:hAnsi="Cambria Math"/>
                <w:sz w:val="28"/>
                <w:szCs w:val="28"/>
              </w:rPr>
            </m:ctrlPr>
          </m:dPr>
          <m:e>
            <m:r>
              <m:rPr>
                <m:sty m:val="p"/>
              </m:rPr>
              <w:rPr>
                <w:rFonts w:ascii="Cambria Math" w:hAnsi="Cambria Math"/>
                <w:sz w:val="28"/>
                <w:szCs w:val="28"/>
              </w:rPr>
              <m:t>-</m:t>
            </m:r>
            <m:f>
              <m:fPr>
                <m:ctrlPr>
                  <w:rPr>
                    <w:rFonts w:ascii="Cambria Math" w:hAnsi="Cambria Math"/>
                    <w:sz w:val="28"/>
                    <w:szCs w:val="28"/>
                  </w:rPr>
                </m:ctrlPr>
              </m:fPr>
              <m:num>
                <m:sSup>
                  <m:sSupPr>
                    <m:ctrlPr>
                      <w:rPr>
                        <w:rFonts w:ascii="Cambria Math" w:hAnsi="Cambria Math"/>
                        <w:sz w:val="28"/>
                        <w:szCs w:val="28"/>
                      </w:rPr>
                    </m:ctrlPr>
                  </m:sSupPr>
                  <m:e>
                    <m:r>
                      <m:rPr>
                        <m:sty m:val="p"/>
                      </m:rP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t</m:t>
                        </m:r>
                      </m:sub>
                    </m:sSub>
                    <m:r>
                      <m:rPr>
                        <m:sty m:val="p"/>
                      </m:rPr>
                      <w:rPr>
                        <w:rFonts w:ascii="Cambria Math" w:hAnsi="Cambria Math"/>
                        <w:sz w:val="28"/>
                        <w:szCs w:val="28"/>
                      </w:rPr>
                      <m:t>-μ-</m:t>
                    </m:r>
                    <m:nary>
                      <m:naryPr>
                        <m:chr m:val="∑"/>
                        <m:limLoc m:val="undOvr"/>
                        <m:ctrlPr>
                          <w:rPr>
                            <w:rFonts w:ascii="Cambria Math" w:hAnsi="Cambria Math"/>
                            <w:sz w:val="28"/>
                            <w:szCs w:val="28"/>
                          </w:rPr>
                        </m:ctrlPr>
                      </m:naryPr>
                      <m:sub>
                        <m:r>
                          <m:rPr>
                            <m:sty m:val="p"/>
                          </m:rPr>
                          <w:rPr>
                            <w:rFonts w:ascii="Cambria Math" w:hAnsi="Cambria Math"/>
                            <w:sz w:val="28"/>
                            <w:szCs w:val="28"/>
                          </w:rPr>
                          <m:t>i=1</m:t>
                        </m:r>
                      </m:sub>
                      <m:sup>
                        <m:r>
                          <m:rPr>
                            <m:sty m:val="p"/>
                          </m:rPr>
                          <w:rPr>
                            <w:rFonts w:ascii="Cambria Math" w:hAnsi="Cambria Math"/>
                            <w:sz w:val="28"/>
                            <w:szCs w:val="28"/>
                          </w:rPr>
                          <m:t>l</m:t>
                        </m:r>
                      </m:sup>
                      <m:e>
                        <m:sSub>
                          <m:sSubPr>
                            <m:ctrlPr>
                              <w:rPr>
                                <w:rFonts w:ascii="Cambria Math" w:hAnsi="Cambria Math"/>
                                <w:i/>
                                <w:sz w:val="28"/>
                                <w:szCs w:val="28"/>
                              </w:rPr>
                            </m:ctrlPr>
                          </m:sSubPr>
                          <m:e>
                            <m:r>
                              <w:rPr>
                                <w:rFonts w:ascii="Cambria Math" w:hAnsi="Cambria Math"/>
                                <w:sz w:val="28"/>
                                <w:szCs w:val="28"/>
                              </w:rPr>
                              <m:t>ϕ</m:t>
                            </m:r>
                          </m:e>
                          <m:sub>
                            <m:r>
                              <w:rPr>
                                <w:rFonts w:ascii="Cambria Math" w:hAnsi="Cambria Math"/>
                                <w:sz w:val="28"/>
                                <w:szCs w:val="28"/>
                              </w:rPr>
                              <m:t>i</m:t>
                            </m:r>
                          </m:sub>
                        </m:sSub>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t</m:t>
                            </m:r>
                          </m:sub>
                        </m:sSub>
                        <m:r>
                          <w:rPr>
                            <w:rFonts w:ascii="Cambria Math" w:hAnsi="Cambria Math"/>
                            <w:sz w:val="28"/>
                            <w:szCs w:val="28"/>
                          </w:rPr>
                          <m:t>j</m:t>
                        </m:r>
                      </m:e>
                    </m:nary>
                    <m:r>
                      <m:rPr>
                        <m:sty m:val="p"/>
                      </m:rPr>
                      <w:rPr>
                        <w:rFonts w:ascii="Cambria Math" w:hAnsi="Cambria Math"/>
                        <w:sz w:val="28"/>
                        <w:szCs w:val="28"/>
                      </w:rPr>
                      <m:t>)</m:t>
                    </m:r>
                  </m:e>
                  <m:sup>
                    <m:r>
                      <m:rPr>
                        <m:sty m:val="p"/>
                      </m:rPr>
                      <w:rPr>
                        <w:rFonts w:ascii="Cambria Math" w:hAnsi="Cambria Math"/>
                        <w:sz w:val="28"/>
                        <w:szCs w:val="28"/>
                      </w:rPr>
                      <m:t>2</m:t>
                    </m:r>
                  </m:sup>
                </m:sSup>
              </m:num>
              <m:den>
                <m:r>
                  <m:rPr>
                    <m:sty m:val="p"/>
                  </m:rPr>
                  <w:rPr>
                    <w:rFonts w:ascii="Cambria Math" w:hAnsi="Cambria Math"/>
                    <w:sz w:val="28"/>
                    <w:szCs w:val="28"/>
                  </w:rPr>
                  <m:t>2(</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t</m:t>
                    </m:r>
                  </m:sub>
                </m:sSub>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jδ</m:t>
                    </m:r>
                  </m:e>
                  <m:sub>
                    <m:r>
                      <w:rPr>
                        <w:rFonts w:ascii="Cambria Math" w:hAnsi="Cambria Math"/>
                        <w:sz w:val="28"/>
                        <w:szCs w:val="28"/>
                      </w:rPr>
                      <m:t>t</m:t>
                    </m:r>
                  </m:sub>
                  <m:sup>
                    <m:r>
                      <w:rPr>
                        <w:rFonts w:ascii="Cambria Math" w:hAnsi="Cambria Math"/>
                        <w:sz w:val="28"/>
                        <w:szCs w:val="28"/>
                      </w:rPr>
                      <m:t>2</m:t>
                    </m:r>
                  </m:sup>
                </m:sSubSup>
                <m:r>
                  <w:rPr>
                    <w:rFonts w:ascii="Cambria Math" w:hAnsi="Cambria Math"/>
                    <w:sz w:val="28"/>
                    <w:szCs w:val="28"/>
                  </w:rPr>
                  <m:t>)</m:t>
                </m:r>
              </m:den>
            </m:f>
          </m:e>
        </m:d>
        <m:r>
          <m:rPr>
            <m:sty m:val="p"/>
          </m:rPr>
          <w:rPr>
            <w:rFonts w:ascii="Cambria Math" w:hAnsi="Cambria Math"/>
            <w:sz w:val="28"/>
            <w:szCs w:val="28"/>
          </w:rPr>
          <m:t>.</m:t>
        </m:r>
      </m:oMath>
      <w:r w:rsidR="00B26372" w:rsidRPr="00A945B1">
        <w:tab/>
      </w:r>
      <w:r w:rsidR="000A3E1C" w:rsidRPr="00A945B1">
        <w:t>(</w:t>
      </w:r>
      <w:bookmarkStart w:id="9" w:name="BMequ_arji_dist"/>
      <w:r w:rsidR="000A3E1C" w:rsidRPr="00A945B1">
        <w:t>8</w:t>
      </w:r>
      <w:bookmarkEnd w:id="9"/>
      <w:r w:rsidR="000A3E1C" w:rsidRPr="00A945B1">
        <w:t>)</w:t>
      </w:r>
    </w:p>
    <w:p w:rsidR="007A54AF" w:rsidRPr="00A945B1" w:rsidRDefault="007A54AF" w:rsidP="007A54AF">
      <w:pPr>
        <w:pStyle w:val="SemEspaamento"/>
      </w:pPr>
    </w:p>
    <w:p w:rsidR="00064299" w:rsidRPr="00A945B1" w:rsidRDefault="000A3E1C" w:rsidP="002E2600">
      <w:pPr>
        <w:spacing w:line="360" w:lineRule="auto"/>
        <w:ind w:firstLine="360"/>
      </w:pPr>
      <w:r w:rsidRPr="00A945B1">
        <w:t>A maximização de (</w:t>
      </w:r>
      <w:fldSimple w:instr="REF BMequ_arji_dist \* MERGEFORMAT ">
        <w:r w:rsidR="00C70689" w:rsidRPr="00A945B1">
          <w:t>8</w:t>
        </w:r>
      </w:fldSimple>
      <w:r w:rsidRPr="00A945B1">
        <w:t>) é realizada iterando-se as equações (</w:t>
      </w:r>
      <w:fldSimple w:instr="REF BMequ_arji_lambda \* MERGEFORMAT ">
        <w:r w:rsidR="00C70689" w:rsidRPr="00A945B1">
          <w:t>6</w:t>
        </w:r>
      </w:fldSimple>
      <w:r w:rsidRPr="00A945B1">
        <w:t>) e (</w:t>
      </w:r>
      <w:fldSimple w:instr="REF BMequ_bayes \* MERGEFORMAT ">
        <w:r w:rsidR="00C70689" w:rsidRPr="00A945B1">
          <w:t>7</w:t>
        </w:r>
      </w:fldSimple>
      <w:r w:rsidRPr="00A945B1">
        <w:t>). Como o denominador da equação (</w:t>
      </w:r>
      <w:fldSimple w:instr="REF BMequ_bayes \* MERGEFORMAT ">
        <w:r w:rsidR="00C70689" w:rsidRPr="00A945B1">
          <w:t>7</w:t>
        </w:r>
      </w:fldSimple>
      <w:r w:rsidRPr="00A945B1">
        <w:t>) envolve uma soma infinita, delimitamos o número máximo de saltos diários em 20, de modo que a probabilidade de ocorrer 20 ou mais saltos em um dia seja zero.</w:t>
      </w:r>
    </w:p>
    <w:p w:rsidR="00064299" w:rsidRPr="00A945B1" w:rsidRDefault="000A3E1C" w:rsidP="002E2600">
      <w:pPr>
        <w:spacing w:line="360" w:lineRule="auto"/>
        <w:ind w:firstLine="360"/>
      </w:pPr>
      <w:r w:rsidRPr="00A945B1">
        <w:t xml:space="preserve">Como a intensidade dos saltos </w:t>
      </w:r>
      <m:oMath>
        <m:sSub>
          <m:sSubPr>
            <m:ctrlPr>
              <w:rPr>
                <w:rFonts w:ascii="Cambria Math" w:hAnsi="Cambria Math"/>
                <w:i/>
              </w:rPr>
            </m:ctrlPr>
          </m:sSubPr>
          <m:e>
            <m:r>
              <w:rPr>
                <w:rFonts w:ascii="Cambria Math" w:hAnsi="Cambria Math"/>
              </w:rPr>
              <m:t>λ</m:t>
            </m:r>
          </m:e>
          <m:sub>
            <m:r>
              <w:rPr>
                <w:rFonts w:ascii="Cambria Math" w:hAnsi="Cambria Math"/>
              </w:rPr>
              <m:t>t</m:t>
            </m:r>
          </m:sub>
        </m:sSub>
      </m:oMath>
      <w:r w:rsidRPr="00A945B1">
        <w:t xml:space="preserve"> segue um processo </w:t>
      </w:r>
      <w:r w:rsidRPr="00A945B1">
        <w:rPr>
          <w:i/>
          <w:iCs/>
        </w:rPr>
        <w:t>ARMA</w:t>
      </w:r>
      <w:r w:rsidRPr="00A945B1">
        <w:t>(</w:t>
      </w:r>
      <w:r w:rsidRPr="00A945B1">
        <w:rPr>
          <w:i/>
          <w:iCs/>
        </w:rPr>
        <w:t>r</w:t>
      </w:r>
      <w:r w:rsidRPr="00A945B1">
        <w:t>,</w:t>
      </w:r>
      <w:r w:rsidRPr="00A945B1">
        <w:rPr>
          <w:i/>
          <w:iCs/>
        </w:rPr>
        <w:t>s</w:t>
      </w:r>
      <w:r w:rsidRPr="00A945B1">
        <w:t>) dado pela equação (</w:t>
      </w:r>
      <w:fldSimple w:instr="REF BMequ_arji_lambda \* MERGEFORMAT ">
        <w:r w:rsidR="00C70689" w:rsidRPr="00A945B1">
          <w:t>6</w:t>
        </w:r>
      </w:fldSimple>
      <w:r w:rsidRPr="00A945B1">
        <w:t xml:space="preserve">), o resíduo </w:t>
      </w:r>
      <m:oMath>
        <m:sSub>
          <m:sSubPr>
            <m:ctrlPr>
              <w:rPr>
                <w:rFonts w:ascii="Cambria Math" w:hAnsi="Cambria Math"/>
                <w:i/>
              </w:rPr>
            </m:ctrlPr>
          </m:sSubPr>
          <m:e>
            <m:r>
              <w:rPr>
                <w:rFonts w:ascii="Cambria Math" w:hAnsi="Cambria Math"/>
              </w:rPr>
              <m:t>ξ</m:t>
            </m:r>
          </m:e>
          <m:sub>
            <m:r>
              <w:rPr>
                <w:rFonts w:ascii="Cambria Math" w:hAnsi="Cambria Math"/>
              </w:rPr>
              <m:t>t</m:t>
            </m:r>
          </m:sub>
        </m:sSub>
      </m:oMath>
      <w:r w:rsidRPr="00A945B1">
        <w:t xml:space="preserve"> pode ser interpretado como uma diferença de </w:t>
      </w:r>
      <w:r w:rsidR="00343F98" w:rsidRPr="00A945B1">
        <w:t>M</w:t>
      </w:r>
      <w:r w:rsidR="007A54AF" w:rsidRPr="00A945B1">
        <w:t>artingale, visto que:</w:t>
      </w:r>
    </w:p>
    <w:p w:rsidR="007A54AF" w:rsidRPr="00A945B1" w:rsidRDefault="007A54AF" w:rsidP="007A54AF">
      <w:pPr>
        <w:pStyle w:val="SemEspaamento"/>
      </w:pPr>
    </w:p>
    <w:p w:rsidR="00064299" w:rsidRPr="00A945B1" w:rsidRDefault="00710222" w:rsidP="005A5D93">
      <w:pPr>
        <w:pStyle w:val="equationAlignNum"/>
        <w:spacing w:line="360" w:lineRule="auto"/>
        <w:jc w:val="right"/>
      </w:pPr>
      <m:oMath>
        <m:r>
          <w:rPr>
            <w:rFonts w:ascii="Cambria Math" w:hAnsi="Cambria Math"/>
          </w:rPr>
          <m:t>E</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ξ</m:t>
                </m:r>
              </m:e>
              <m:sub>
                <m:r>
                  <w:rPr>
                    <w:rFonts w:ascii="Cambria Math" w:hAnsi="Cambria Math"/>
                  </w:rPr>
                  <m:t>t</m:t>
                </m:r>
              </m:sub>
            </m:sSub>
          </m:e>
          <m:e>
            <m:sSub>
              <m:sSubPr>
                <m:ctrlPr>
                  <w:rPr>
                    <w:rFonts w:ascii="Cambria Math" w:hAnsi="Cambria Math"/>
                    <w:i/>
                  </w:rPr>
                </m:ctrlPr>
              </m:sSubPr>
              <m:e>
                <m:r>
                  <m:rPr>
                    <m:sty m:val="p"/>
                  </m:rPr>
                  <w:rPr>
                    <w:rFonts w:ascii="Cambria Math" w:hAnsi="Cambria Math"/>
                  </w:rPr>
                  <m:t>Φ</m:t>
                </m:r>
              </m:e>
              <m:sub>
                <m:r>
                  <w:rPr>
                    <w:rFonts w:ascii="Cambria Math" w:hAnsi="Cambria Math"/>
                  </w:rPr>
                  <m:t>t-1</m:t>
                </m:r>
              </m:sub>
            </m:sSub>
          </m:e>
        </m:d>
        <m:r>
          <w:rPr>
            <w:rFonts w:ascii="Cambria Math" w:hAnsi="Cambria Math"/>
          </w:rPr>
          <m:t>=E[E</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t</m:t>
                </m:r>
              </m:sub>
            </m:sSub>
            <m:d>
              <m:dPr>
                <m:begChr m:val="|"/>
                <m:endChr m:val="|"/>
                <m:ctrlPr>
                  <w:rPr>
                    <w:rFonts w:ascii="Cambria Math" w:hAnsi="Cambria Math"/>
                    <w:i/>
                  </w:rPr>
                </m:ctrlPr>
              </m:dPr>
              <m:e>
                <m:sSub>
                  <m:sSubPr>
                    <m:ctrlPr>
                      <w:rPr>
                        <w:rFonts w:ascii="Cambria Math" w:hAnsi="Cambria Math"/>
                        <w:i/>
                      </w:rPr>
                    </m:ctrlPr>
                  </m:sSubPr>
                  <m:e>
                    <m:r>
                      <m:rPr>
                        <m:sty m:val="p"/>
                      </m:rPr>
                      <w:rPr>
                        <w:rFonts w:ascii="Cambria Math" w:hAnsi="Cambria Math"/>
                      </w:rPr>
                      <m:t>Φ</m:t>
                    </m:r>
                  </m:e>
                  <m:sub>
                    <m:r>
                      <w:rPr>
                        <w:rFonts w:ascii="Cambria Math" w:hAnsi="Cambria Math"/>
                      </w:rPr>
                      <m:t>t</m:t>
                    </m:r>
                  </m:sub>
                </m:sSub>
                <m:r>
                  <w:rPr>
                    <w:rFonts w:ascii="Cambria Math" w:hAnsi="Cambria Math"/>
                  </w:rPr>
                  <m:t>]</m:t>
                </m:r>
              </m:e>
            </m:d>
            <m:sSub>
              <m:sSubPr>
                <m:ctrlPr>
                  <w:rPr>
                    <w:rFonts w:ascii="Cambria Math" w:hAnsi="Cambria Math"/>
                    <w:i/>
                  </w:rPr>
                </m:ctrlPr>
              </m:sSubPr>
              <m:e>
                <m:r>
                  <m:rPr>
                    <m:sty m:val="p"/>
                  </m:rPr>
                  <w:rPr>
                    <w:rFonts w:ascii="Cambria Math" w:hAnsi="Cambria Math"/>
                  </w:rPr>
                  <m:t>Φ</m:t>
                </m:r>
              </m:e>
              <m:sub>
                <m:r>
                  <w:rPr>
                    <w:rFonts w:ascii="Cambria Math" w:hAnsi="Cambria Math"/>
                  </w:rPr>
                  <m:t>t-1</m:t>
                </m:r>
              </m:sub>
            </m:sSub>
          </m:e>
        </m:d>
        <m:r>
          <w:rPr>
            <w:rFonts w:ascii="Cambria Math" w:hAnsi="Cambria Math"/>
          </w:rPr>
          <m:t>-</m:t>
        </m:r>
        <m:sSub>
          <m:sSubPr>
            <m:ctrlPr>
              <w:rPr>
                <w:rFonts w:ascii="Cambria Math" w:hAnsi="Cambria Math"/>
                <w:i/>
              </w:rPr>
            </m:ctrlPr>
          </m:sSubPr>
          <m:e>
            <m:r>
              <m:rPr>
                <m:sty m:val="p"/>
              </m:rPr>
              <w:rPr>
                <w:rFonts w:ascii="Cambria Math" w:hAnsi="Cambria Math"/>
              </w:rPr>
              <m:t>λ</m:t>
            </m:r>
          </m:e>
          <m:sub>
            <m:r>
              <w:rPr>
                <w:rFonts w:ascii="Cambria Math" w:hAnsi="Cambria Math"/>
              </w:rPr>
              <m:t>t</m:t>
            </m:r>
          </m:sub>
        </m:sSub>
        <m:r>
          <w:rPr>
            <w:rFonts w:ascii="Cambria Math" w:hAnsi="Cambria Math"/>
          </w:rPr>
          <m:t>=</m:t>
        </m:r>
        <m:sSub>
          <m:sSubPr>
            <m:ctrlPr>
              <w:rPr>
                <w:rFonts w:ascii="Cambria Math" w:hAnsi="Cambria Math"/>
                <w:i/>
              </w:rPr>
            </m:ctrlPr>
          </m:sSubPr>
          <m:e>
            <m:r>
              <m:rPr>
                <m:sty m:val="p"/>
              </m:rPr>
              <w:rPr>
                <w:rFonts w:ascii="Cambria Math" w:hAnsi="Cambria Math"/>
              </w:rPr>
              <m:t>λ</m:t>
            </m:r>
          </m:e>
          <m:sub>
            <m:r>
              <w:rPr>
                <w:rFonts w:ascii="Cambria Math" w:hAnsi="Cambria Math"/>
              </w:rPr>
              <m:t>t</m:t>
            </m:r>
          </m:sub>
        </m:sSub>
        <m:r>
          <w:rPr>
            <w:rFonts w:ascii="Cambria Math" w:hAnsi="Cambria Math"/>
          </w:rPr>
          <m:t>-</m:t>
        </m:r>
        <m:sSub>
          <m:sSubPr>
            <m:ctrlPr>
              <w:rPr>
                <w:rFonts w:ascii="Cambria Math" w:hAnsi="Cambria Math"/>
                <w:i/>
              </w:rPr>
            </m:ctrlPr>
          </m:sSubPr>
          <m:e>
            <m:r>
              <m:rPr>
                <m:sty m:val="p"/>
              </m:rPr>
              <w:rPr>
                <w:rFonts w:ascii="Cambria Math" w:hAnsi="Cambria Math"/>
              </w:rPr>
              <m:t>λ</m:t>
            </m:r>
          </m:e>
          <m:sub>
            <m:r>
              <w:rPr>
                <w:rFonts w:ascii="Cambria Math" w:hAnsi="Cambria Math"/>
              </w:rPr>
              <m:t>t</m:t>
            </m:r>
          </m:sub>
        </m:sSub>
        <m:r>
          <w:rPr>
            <w:rFonts w:ascii="Cambria Math" w:hAnsi="Cambria Math"/>
          </w:rPr>
          <m:t>=0,</m:t>
        </m:r>
      </m:oMath>
      <w:r w:rsidR="00B26372" w:rsidRPr="00A945B1">
        <w:tab/>
      </w:r>
      <w:r w:rsidR="00B01CA6" w:rsidRPr="00A945B1">
        <w:tab/>
      </w:r>
      <w:r w:rsidR="000A3E1C" w:rsidRPr="00A945B1">
        <w:t>(9)</w:t>
      </w:r>
    </w:p>
    <w:p w:rsidR="007A54AF" w:rsidRPr="00A945B1" w:rsidRDefault="007A54AF" w:rsidP="007A54AF">
      <w:pPr>
        <w:pStyle w:val="SemEspaamento"/>
      </w:pPr>
    </w:p>
    <w:p w:rsidR="00064299" w:rsidRPr="00A945B1" w:rsidRDefault="000A3E1C" w:rsidP="002E2600">
      <w:pPr>
        <w:spacing w:line="360" w:lineRule="auto"/>
      </w:pPr>
      <w:r w:rsidRPr="00A945B1">
        <w:t xml:space="preserve">de modo que </w:t>
      </w:r>
      <m:oMath>
        <m:sSub>
          <m:sSubPr>
            <m:ctrlPr>
              <w:rPr>
                <w:rFonts w:ascii="Cambria Math" w:hAnsi="Cambria Math"/>
                <w:i/>
              </w:rPr>
            </m:ctrlPr>
          </m:sSubPr>
          <m:e>
            <m:r>
              <m:rPr>
                <m:sty m:val="p"/>
              </m:rPr>
              <w:rPr>
                <w:rFonts w:ascii="Cambria Math" w:hAnsi="Cambria Math"/>
              </w:rPr>
              <m:t>E[ξ</m:t>
            </m:r>
          </m:e>
          <m:sub>
            <m:r>
              <w:rPr>
                <w:rFonts w:ascii="Cambria Math" w:hAnsi="Cambria Math"/>
              </w:rPr>
              <m:t>t</m:t>
            </m:r>
          </m:sub>
        </m:sSub>
        <m:r>
          <w:rPr>
            <w:rFonts w:ascii="Cambria Math" w:hAnsi="Cambria Math"/>
          </w:rPr>
          <m:t>]=0</m:t>
        </m:r>
      </m:oMath>
      <w:r w:rsidRPr="00A945B1">
        <w:t xml:space="preserve"> e </w:t>
      </w:r>
      <m:oMath>
        <m:r>
          <w:rPr>
            <w:rFonts w:ascii="Cambria Math" w:hAnsi="Cambria Math"/>
          </w:rPr>
          <m:t>Cov</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ξ</m:t>
                </m:r>
              </m:e>
              <m:sub>
                <m:r>
                  <w:rPr>
                    <w:rFonts w:ascii="Cambria Math" w:hAnsi="Cambria Math"/>
                  </w:rPr>
                  <m:t>t</m:t>
                </m:r>
              </m:sub>
            </m:sSub>
            <m:r>
              <w:rPr>
                <w:rFonts w:ascii="Cambria Math" w:hAnsi="Cambria Math"/>
              </w:rPr>
              <m:t>,</m:t>
            </m:r>
            <m:sSub>
              <m:sSubPr>
                <m:ctrlPr>
                  <w:rPr>
                    <w:rFonts w:ascii="Cambria Math" w:hAnsi="Cambria Math"/>
                    <w:i/>
                  </w:rPr>
                </m:ctrlPr>
              </m:sSubPr>
              <m:e>
                <m:r>
                  <m:rPr>
                    <m:sty m:val="p"/>
                  </m:rPr>
                  <w:rPr>
                    <w:rFonts w:ascii="Cambria Math" w:hAnsi="Cambria Math"/>
                  </w:rPr>
                  <m:t>ξ</m:t>
                </m:r>
              </m:e>
              <m:sub>
                <m:r>
                  <w:rPr>
                    <w:rFonts w:ascii="Cambria Math" w:hAnsi="Cambria Math"/>
                  </w:rPr>
                  <m:t>t-1</m:t>
                </m:r>
              </m:sub>
            </m:sSub>
          </m:e>
        </m:d>
        <m:r>
          <w:rPr>
            <w:rFonts w:ascii="Cambria Math" w:hAnsi="Cambria Math"/>
          </w:rPr>
          <m:t>=0</m:t>
        </m:r>
      </m:oMath>
      <w:r w:rsidRPr="00A945B1">
        <w:t xml:space="preserve"> para</w:t>
      </w:r>
      <w:r w:rsidR="00C74353" w:rsidRPr="00A945B1">
        <w:t xml:space="preserve"> </w:t>
      </w:r>
      <m:oMath>
        <m:r>
          <w:rPr>
            <w:rFonts w:ascii="Cambria Math" w:hAnsi="Cambria Math"/>
          </w:rPr>
          <m:t>i&gt;0</m:t>
        </m:r>
      </m:oMath>
      <w:r w:rsidRPr="00A945B1">
        <w:t xml:space="preserve">. Podemos então expressar a média incondicional </w:t>
      </w:r>
      <w:r w:rsidR="005A0188" w:rsidRPr="00A945B1">
        <w:t>da intensidade dos saltos como:</w:t>
      </w:r>
    </w:p>
    <w:p w:rsidR="00100FD6" w:rsidRPr="00A945B1" w:rsidRDefault="00100FD6" w:rsidP="00100FD6">
      <w:pPr>
        <w:pStyle w:val="SemEspaamento"/>
      </w:pPr>
    </w:p>
    <w:p w:rsidR="00064299" w:rsidRPr="00A945B1" w:rsidRDefault="00F07155" w:rsidP="005A5D93">
      <w:pPr>
        <w:pStyle w:val="equationAlignNum"/>
        <w:spacing w:line="360" w:lineRule="auto"/>
        <w:jc w:val="right"/>
      </w:pPr>
      <m:oMath>
        <m:r>
          <w:rPr>
            <w:rFonts w:ascii="Cambria Math" w:hAnsi="Cambria Math"/>
          </w:rPr>
          <m:t>E</m:t>
        </m:r>
        <m:d>
          <m:dPr>
            <m:begChr m:val="["/>
            <m:endChr m:val="]"/>
            <m:ctrlPr>
              <w:rPr>
                <w:rFonts w:ascii="Cambria Math" w:hAnsi="Cambria Math"/>
                <w:i/>
              </w:rPr>
            </m:ctrlPr>
          </m:dPr>
          <m:e>
            <m:sSub>
              <m:sSubPr>
                <m:ctrlPr>
                  <w:rPr>
                    <w:rFonts w:ascii="Cambria Math" w:hAnsi="Cambria Math"/>
                    <w:i/>
                  </w:rPr>
                </m:ctrlPr>
              </m:sSubPr>
              <m:e>
                <m:r>
                  <m:rPr>
                    <m:sty m:val="p"/>
                  </m:rPr>
                  <w:rPr>
                    <w:rFonts w:ascii="Cambria Math" w:hAnsi="Cambria Math"/>
                  </w:rPr>
                  <m:t>λ</m:t>
                </m:r>
              </m:e>
              <m:sub>
                <m:r>
                  <w:rPr>
                    <w:rFonts w:ascii="Cambria Math" w:hAnsi="Cambria Math"/>
                  </w:rPr>
                  <m:t>t</m:t>
                </m:r>
              </m:sub>
            </m:sSub>
          </m:e>
        </m:d>
        <m:r>
          <w:rPr>
            <w:rFonts w:ascii="Cambria Math" w:hAnsi="Cambria Math"/>
          </w:rPr>
          <m:t>=</m:t>
        </m:r>
        <m:f>
          <m:fPr>
            <m:ctrlPr>
              <w:rPr>
                <w:rFonts w:ascii="Cambria Math" w:hAnsi="Cambria Math"/>
                <w:i/>
              </w:rPr>
            </m:ctrlPr>
          </m:fPr>
          <m:num>
            <m:sSub>
              <m:sSubPr>
                <m:ctrlPr>
                  <w:rPr>
                    <w:rFonts w:ascii="Cambria Math" w:hAnsi="Cambria Math"/>
                    <w:i/>
                  </w:rPr>
                </m:ctrlPr>
              </m:sSubPr>
              <m:e>
                <m:r>
                  <m:rPr>
                    <m:sty m:val="p"/>
                  </m:rPr>
                  <w:rPr>
                    <w:rFonts w:ascii="Cambria Math" w:hAnsi="Cambria Math"/>
                  </w:rPr>
                  <m:t>λ</m:t>
                </m:r>
              </m:e>
              <m:sub>
                <m:r>
                  <w:rPr>
                    <w:rFonts w:ascii="Cambria Math" w:hAnsi="Cambria Math"/>
                  </w:rPr>
                  <m:t>0</m:t>
                </m:r>
              </m:sub>
            </m:sSub>
          </m:num>
          <m:den>
            <m:r>
              <w:rPr>
                <w:rFonts w:ascii="Cambria Math" w:hAnsi="Cambria Math"/>
              </w:rPr>
              <m:t>1-</m:t>
            </m:r>
            <m:nary>
              <m:naryPr>
                <m:chr m:val="∑"/>
                <m:limLoc m:val="undOvr"/>
                <m:ctrlPr>
                  <w:rPr>
                    <w:rFonts w:ascii="Cambria Math" w:hAnsi="Cambria Math"/>
                    <w:i/>
                  </w:rPr>
                </m:ctrlPr>
              </m:naryPr>
              <m:sub>
                <m:r>
                  <w:rPr>
                    <w:rFonts w:ascii="Cambria Math" w:hAnsi="Cambria Math"/>
                  </w:rPr>
                  <m:t>i=1</m:t>
                </m:r>
              </m:sub>
              <m:sup>
                <m:r>
                  <w:rPr>
                    <w:rFonts w:ascii="Cambria Math" w:hAnsi="Cambria Math"/>
                  </w:rPr>
                  <m:t>r</m:t>
                </m:r>
              </m:sup>
              <m:e>
                <m:sSub>
                  <m:sSubPr>
                    <m:ctrlPr>
                      <w:rPr>
                        <w:rFonts w:ascii="Cambria Math" w:hAnsi="Cambria Math"/>
                        <w:i/>
                      </w:rPr>
                    </m:ctrlPr>
                  </m:sSubPr>
                  <m:e>
                    <m:r>
                      <m:rPr>
                        <m:sty m:val="p"/>
                      </m:rPr>
                      <w:rPr>
                        <w:rFonts w:ascii="Cambria Math" w:hAnsi="Cambria Math"/>
                      </w:rPr>
                      <m:t>ρ</m:t>
                    </m:r>
                  </m:e>
                  <m:sub>
                    <m:r>
                      <w:rPr>
                        <w:rFonts w:ascii="Cambria Math" w:hAnsi="Cambria Math"/>
                      </w:rPr>
                      <m:t>i</m:t>
                    </m:r>
                  </m:sub>
                </m:sSub>
              </m:e>
            </m:nary>
          </m:den>
        </m:f>
        <m:r>
          <w:rPr>
            <w:rFonts w:ascii="Cambria Math" w:hAnsi="Cambria Math"/>
          </w:rPr>
          <m:t>.</m:t>
        </m:r>
      </m:oMath>
      <w:r w:rsidR="00B26372" w:rsidRPr="00A945B1">
        <w:tab/>
      </w:r>
      <w:r w:rsidR="00B01CA6" w:rsidRPr="00A945B1">
        <w:tab/>
      </w:r>
      <w:r w:rsidR="00B01CA6" w:rsidRPr="00A945B1">
        <w:tab/>
      </w:r>
      <w:r w:rsidR="00B01CA6" w:rsidRPr="00A945B1">
        <w:tab/>
      </w:r>
      <w:r w:rsidR="00B01CA6" w:rsidRPr="00A945B1">
        <w:tab/>
      </w:r>
      <w:r w:rsidR="000A3E1C" w:rsidRPr="00A945B1">
        <w:t>(</w:t>
      </w:r>
      <w:bookmarkStart w:id="10" w:name="BMequ_media_inc"/>
      <w:r w:rsidR="000A3E1C" w:rsidRPr="00A945B1">
        <w:t>10</w:t>
      </w:r>
      <w:bookmarkEnd w:id="10"/>
      <w:r w:rsidR="000A3E1C" w:rsidRPr="00A945B1">
        <w:t>)</w:t>
      </w:r>
    </w:p>
    <w:p w:rsidR="00100FD6" w:rsidRPr="00A945B1" w:rsidRDefault="00100FD6" w:rsidP="00100FD6">
      <w:pPr>
        <w:pStyle w:val="SemEspaamento"/>
      </w:pPr>
    </w:p>
    <w:p w:rsidR="00B26372" w:rsidRPr="00A945B1" w:rsidRDefault="000A3E1C" w:rsidP="00B26372">
      <w:pPr>
        <w:spacing w:line="360" w:lineRule="auto"/>
        <w:ind w:firstLine="360"/>
      </w:pPr>
      <w:r w:rsidRPr="00A945B1">
        <w:t xml:space="preserve">Esse valor existe se o processo </w:t>
      </w:r>
      <w:r w:rsidRPr="00A945B1">
        <w:rPr>
          <w:i/>
          <w:iCs/>
        </w:rPr>
        <w:t>ARMA</w:t>
      </w:r>
      <w:r w:rsidRPr="00A945B1">
        <w:t>(</w:t>
      </w:r>
      <w:r w:rsidRPr="00A945B1">
        <w:rPr>
          <w:i/>
          <w:iCs/>
        </w:rPr>
        <w:t>r</w:t>
      </w:r>
      <w:r w:rsidRPr="00A945B1">
        <w:t>,</w:t>
      </w:r>
      <w:r w:rsidRPr="00A945B1">
        <w:rPr>
          <w:i/>
          <w:iCs/>
        </w:rPr>
        <w:t>s</w:t>
      </w:r>
      <w:r w:rsidRPr="00A945B1">
        <w:t>) for estacionário, e então a previsão da intensidade do</w:t>
      </w:r>
      <w:r w:rsidR="00F07155" w:rsidRPr="00A945B1">
        <w:t xml:space="preserve">s saltos futuros no caso em que </w:t>
      </w:r>
      <m:oMath>
        <m:r>
          <w:rPr>
            <w:rFonts w:ascii="Cambria Math" w:hAnsi="Cambria Math"/>
          </w:rPr>
          <m:t xml:space="preserve">r=s=1 </m:t>
        </m:r>
      </m:oMath>
      <w:r w:rsidR="00B26372" w:rsidRPr="00A945B1">
        <w:t>será dada por:</w:t>
      </w:r>
    </w:p>
    <w:p w:rsidR="00100FD6" w:rsidRPr="00A945B1" w:rsidRDefault="00100FD6" w:rsidP="00100FD6">
      <w:pPr>
        <w:pStyle w:val="SemEspaamento"/>
      </w:pPr>
    </w:p>
    <w:p w:rsidR="00064299" w:rsidRPr="00A945B1" w:rsidRDefault="00B26372" w:rsidP="005A5D93">
      <w:pPr>
        <w:spacing w:line="360" w:lineRule="auto"/>
        <w:jc w:val="right"/>
      </w:pPr>
      <m:oMath>
        <m:r>
          <w:rPr>
            <w:rFonts w:ascii="Cambria Math" w:hAnsi="Cambria Math"/>
          </w:rPr>
          <m:t>E</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λ</m:t>
                </m:r>
              </m:e>
              <m:sub>
                <m:r>
                  <w:rPr>
                    <w:rFonts w:ascii="Cambria Math" w:hAnsi="Cambria Math"/>
                  </w:rPr>
                  <m:t>t+i</m:t>
                </m:r>
              </m:sub>
            </m:sSub>
          </m:e>
          <m:e>
            <m:sSub>
              <m:sSubPr>
                <m:ctrlPr>
                  <w:rPr>
                    <w:rFonts w:ascii="Cambria Math" w:hAnsi="Cambria Math"/>
                    <w:i/>
                  </w:rPr>
                </m:ctrlPr>
              </m:sSubPr>
              <m:e>
                <m:r>
                  <m:rPr>
                    <m:sty m:val="p"/>
                  </m:rPr>
                  <w:rPr>
                    <w:rFonts w:ascii="Cambria Math" w:hAnsi="Cambria Math"/>
                  </w:rPr>
                  <m:t>Φ</m:t>
                </m:r>
              </m:e>
              <m:sub>
                <m:r>
                  <w:rPr>
                    <w:rFonts w:ascii="Cambria Math" w:hAnsi="Cambria Math"/>
                  </w:rPr>
                  <m:t>t-1</m:t>
                </m:r>
              </m:sub>
            </m:sSub>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λ</m:t>
                    </m:r>
                  </m:e>
                  <m:sub>
                    <m:r>
                      <w:rPr>
                        <w:rFonts w:ascii="Cambria Math" w:hAnsi="Cambria Math"/>
                      </w:rPr>
                      <m:t>t</m:t>
                    </m:r>
                  </m:sub>
                </m:sSub>
                <m:r>
                  <w:rPr>
                    <w:rFonts w:ascii="Cambria Math" w:hAnsi="Cambria Math"/>
                  </w:rPr>
                  <m:t>,                                se i=0</m:t>
                </m:r>
              </m:e>
              <m:e>
                <m:sSup>
                  <m:sSupPr>
                    <m:ctrlPr>
                      <w:rPr>
                        <w:rFonts w:ascii="Cambria Math" w:hAnsi="Cambria Math"/>
                        <w:i/>
                      </w:rPr>
                    </m:ctrlPr>
                  </m:sSupPr>
                  <m:e>
                    <m:r>
                      <w:rPr>
                        <w:rFonts w:ascii="Cambria Math" w:hAnsi="Cambria Math"/>
                      </w:rPr>
                      <m:t>ρ</m:t>
                    </m:r>
                  </m:e>
                  <m:sup>
                    <m:r>
                      <w:rPr>
                        <w:rFonts w:ascii="Cambria Math" w:hAnsi="Cambria Math"/>
                      </w:rPr>
                      <m:t>i</m:t>
                    </m:r>
                  </m:sup>
                </m:sSup>
                <m:sSub>
                  <m:sSubPr>
                    <m:ctrlPr>
                      <w:rPr>
                        <w:rFonts w:ascii="Cambria Math" w:hAnsi="Cambria Math"/>
                        <w:i/>
                      </w:rPr>
                    </m:ctrlPr>
                  </m:sSubPr>
                  <m:e>
                    <m:r>
                      <w:rPr>
                        <w:rFonts w:ascii="Cambria Math" w:hAnsi="Cambria Math"/>
                      </w:rPr>
                      <m:t>λ</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0</m:t>
                    </m:r>
                  </m:sub>
                </m:sSub>
                <m:nary>
                  <m:naryPr>
                    <m:chr m:val="∑"/>
                    <m:limLoc m:val="undOvr"/>
                    <m:ctrlPr>
                      <w:rPr>
                        <w:rFonts w:ascii="Cambria Math" w:hAnsi="Cambria Math"/>
                        <w:i/>
                      </w:rPr>
                    </m:ctrlPr>
                  </m:naryPr>
                  <m:sub>
                    <m:r>
                      <w:rPr>
                        <w:rFonts w:ascii="Cambria Math" w:hAnsi="Cambria Math"/>
                      </w:rPr>
                      <m:t>j=0</m:t>
                    </m:r>
                  </m:sub>
                  <m:sup>
                    <m:r>
                      <w:rPr>
                        <w:rFonts w:ascii="Cambria Math" w:hAnsi="Cambria Math"/>
                      </w:rPr>
                      <m:t>i-1</m:t>
                    </m:r>
                  </m:sup>
                  <m:e>
                    <m:sSup>
                      <m:sSupPr>
                        <m:ctrlPr>
                          <w:rPr>
                            <w:rFonts w:ascii="Cambria Math" w:hAnsi="Cambria Math"/>
                            <w:i/>
                          </w:rPr>
                        </m:ctrlPr>
                      </m:sSupPr>
                      <m:e>
                        <m:r>
                          <w:rPr>
                            <w:rFonts w:ascii="Cambria Math" w:hAnsi="Cambria Math"/>
                          </w:rPr>
                          <m:t>ρ</m:t>
                        </m:r>
                      </m:e>
                      <m:sup>
                        <m:r>
                          <w:rPr>
                            <w:rFonts w:ascii="Cambria Math" w:hAnsi="Cambria Math"/>
                          </w:rPr>
                          <m:t>j</m:t>
                        </m:r>
                      </m:sup>
                    </m:sSup>
                    <m:r>
                      <w:rPr>
                        <w:rFonts w:ascii="Cambria Math" w:hAnsi="Cambria Math"/>
                      </w:rPr>
                      <m:t>,  se i≥1.</m:t>
                    </m:r>
                  </m:e>
                </m:nary>
              </m:e>
            </m:eqArr>
          </m:e>
        </m:d>
        <m:r>
          <w:rPr>
            <w:rFonts w:ascii="Cambria Math" w:hAnsi="Cambria Math"/>
          </w:rPr>
          <m:t xml:space="preserve">   </m:t>
        </m:r>
      </m:oMath>
      <w:r w:rsidR="005A0188" w:rsidRPr="00A945B1">
        <w:t xml:space="preserve">  </w:t>
      </w:r>
      <w:r w:rsidR="00B01CA6" w:rsidRPr="00A945B1">
        <w:tab/>
      </w:r>
      <w:r w:rsidR="00B01CA6" w:rsidRPr="00A945B1">
        <w:tab/>
      </w:r>
      <w:r w:rsidR="00B01CA6" w:rsidRPr="00A945B1">
        <w:tab/>
      </w:r>
      <w:r w:rsidR="00100FD6" w:rsidRPr="00A945B1">
        <w:t>(</w:t>
      </w:r>
      <w:r w:rsidR="000A3E1C" w:rsidRPr="00A945B1">
        <w:t>11)</w:t>
      </w:r>
    </w:p>
    <w:p w:rsidR="00100FD6" w:rsidRPr="00A945B1" w:rsidRDefault="00100FD6" w:rsidP="00100FD6">
      <w:pPr>
        <w:pStyle w:val="SemEspaamento"/>
      </w:pPr>
    </w:p>
    <w:p w:rsidR="00064299" w:rsidRPr="00A945B1" w:rsidRDefault="000A3E1C" w:rsidP="002E2600">
      <w:pPr>
        <w:spacing w:line="360" w:lineRule="auto"/>
        <w:ind w:firstLine="360"/>
      </w:pPr>
      <w:r w:rsidRPr="00A945B1">
        <w:t>Se</w:t>
      </w:r>
      <w:r w:rsidR="00100FD6" w:rsidRPr="00A945B1">
        <w:t xml:space="preserve"> </w:t>
      </w:r>
      <m:oMath>
        <m:d>
          <m:dPr>
            <m:begChr m:val="|"/>
            <m:endChr m:val="|"/>
            <m:ctrlPr>
              <w:rPr>
                <w:rFonts w:ascii="Cambria Math" w:hAnsi="Cambria Math"/>
                <w:i/>
              </w:rPr>
            </m:ctrlPr>
          </m:dPr>
          <m:e>
            <m:r>
              <w:rPr>
                <w:rFonts w:ascii="Cambria Math" w:hAnsi="Cambria Math"/>
              </w:rPr>
              <m:t>ρ</m:t>
            </m:r>
          </m:e>
        </m:d>
        <m:r>
          <w:rPr>
            <w:rFonts w:ascii="Cambria Math" w:hAnsi="Cambria Math"/>
          </w:rPr>
          <m:t>&lt;1</m:t>
        </m:r>
      </m:oMath>
      <w:r w:rsidRPr="00A945B1">
        <w:t>, a previsão se aproxima da média incondicional (</w:t>
      </w:r>
      <w:fldSimple w:instr="REF BMequ_media_inc \* MERGEFORMAT ">
        <w:r w:rsidR="00C70689" w:rsidRPr="00A945B1">
          <w:t>10</w:t>
        </w:r>
      </w:fldSimple>
      <w:r w:rsidRPr="00A945B1">
        <w:t>) quando</w:t>
      </w:r>
      <w:r w:rsidR="00100FD6" w:rsidRPr="00A945B1">
        <w:t xml:space="preserve"> </w:t>
      </w:r>
      <m:oMath>
        <m:r>
          <w:rPr>
            <w:rFonts w:ascii="Cambria Math" w:hAnsi="Cambria Math"/>
          </w:rPr>
          <m:t>i→∞</m:t>
        </m:r>
      </m:oMath>
      <w:r w:rsidRPr="00A945B1">
        <w:t>. Para garantir que</w:t>
      </w:r>
      <w:r w:rsidR="00100FD6" w:rsidRPr="00A945B1">
        <w:t xml:space="preserve"> </w:t>
      </w:r>
      <m:oMath>
        <m:sSub>
          <m:sSubPr>
            <m:ctrlPr>
              <w:rPr>
                <w:rFonts w:ascii="Cambria Math" w:hAnsi="Cambria Math"/>
                <w:i/>
              </w:rPr>
            </m:ctrlPr>
          </m:sSubPr>
          <m:e>
            <m:r>
              <w:rPr>
                <w:rFonts w:ascii="Cambria Math" w:hAnsi="Cambria Math"/>
              </w:rPr>
              <m:t>λ</m:t>
            </m:r>
          </m:e>
          <m:sub>
            <m:r>
              <w:rPr>
                <w:rFonts w:ascii="Cambria Math" w:hAnsi="Cambria Math"/>
              </w:rPr>
              <m:t>t</m:t>
            </m:r>
          </m:sub>
        </m:sSub>
        <m:r>
          <w:rPr>
            <w:rFonts w:ascii="Cambria Math" w:hAnsi="Cambria Math"/>
          </w:rPr>
          <m:t>&gt;0</m:t>
        </m:r>
      </m:oMath>
      <w:r w:rsidRPr="00A945B1">
        <w:t xml:space="preserve"> para todo </w:t>
      </w:r>
      <w:r w:rsidRPr="00A945B1">
        <w:rPr>
          <w:i/>
          <w:iCs/>
        </w:rPr>
        <w:t>t</w:t>
      </w:r>
      <w:r w:rsidRPr="00A945B1">
        <w:t xml:space="preserve">, impomos as condições suficientes de que </w:t>
      </w:r>
      <m:oMath>
        <m:sSub>
          <m:sSubPr>
            <m:ctrlPr>
              <w:rPr>
                <w:rFonts w:ascii="Cambria Math" w:hAnsi="Cambria Math"/>
                <w:i/>
              </w:rPr>
            </m:ctrlPr>
          </m:sSubPr>
          <m:e>
            <m:r>
              <w:rPr>
                <w:rFonts w:ascii="Cambria Math" w:hAnsi="Cambria Math"/>
              </w:rPr>
              <m:t>λ</m:t>
            </m:r>
          </m:e>
          <m:sub>
            <m:r>
              <w:rPr>
                <w:rFonts w:ascii="Cambria Math" w:hAnsi="Cambria Math"/>
              </w:rPr>
              <m:t>0</m:t>
            </m:r>
          </m:sub>
        </m:sSub>
        <m:r>
          <w:rPr>
            <w:rFonts w:ascii="Cambria Math" w:hAnsi="Cambria Math"/>
          </w:rPr>
          <m:t>&gt;0</m:t>
        </m:r>
      </m:oMath>
      <w:r w:rsidRPr="00A945B1">
        <w:t xml:space="preserve">, </w:t>
      </w:r>
      <m:oMath>
        <m:sSub>
          <m:sSubPr>
            <m:ctrlPr>
              <w:rPr>
                <w:rFonts w:ascii="Cambria Math" w:hAnsi="Cambria Math"/>
                <w:i/>
              </w:rPr>
            </m:ctrlPr>
          </m:sSubPr>
          <m:e>
            <m:r>
              <w:rPr>
                <w:rFonts w:ascii="Cambria Math" w:hAnsi="Cambria Math"/>
              </w:rPr>
              <m:t>ρ</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i</m:t>
            </m:r>
          </m:sub>
        </m:sSub>
      </m:oMath>
      <w:r w:rsidRPr="00A945B1">
        <w:t xml:space="preserve">, e </w:t>
      </w:r>
      <m:oMath>
        <m:sSub>
          <m:sSubPr>
            <m:ctrlPr>
              <w:rPr>
                <w:rFonts w:ascii="Cambria Math" w:hAnsi="Cambria Math"/>
                <w:i/>
              </w:rPr>
            </m:ctrlPr>
          </m:sSubPr>
          <m:e>
            <m:r>
              <w:rPr>
                <w:rFonts w:ascii="Cambria Math" w:hAnsi="Cambria Math"/>
              </w:rPr>
              <m:t>γ</m:t>
            </m:r>
          </m:e>
          <m:sub>
            <m:r>
              <w:rPr>
                <w:rFonts w:ascii="Cambria Math" w:hAnsi="Cambria Math"/>
              </w:rPr>
              <m:t>i</m:t>
            </m:r>
          </m:sub>
        </m:sSub>
        <m:r>
          <w:rPr>
            <w:rFonts w:ascii="Cambria Math" w:hAnsi="Cambria Math"/>
          </w:rPr>
          <m:t>≥0</m:t>
        </m:r>
      </m:oMath>
      <w:r w:rsidRPr="00A945B1">
        <w:t>. Para a estimação, d</w:t>
      </w:r>
      <w:r w:rsidR="00100FD6" w:rsidRPr="00A945B1">
        <w:t xml:space="preserve">efinimos os valores iniciais de </w:t>
      </w:r>
      <m:oMath>
        <m:sSub>
          <m:sSubPr>
            <m:ctrlPr>
              <w:rPr>
                <w:rFonts w:ascii="Cambria Math" w:hAnsi="Cambria Math"/>
                <w:i/>
              </w:rPr>
            </m:ctrlPr>
          </m:sSubPr>
          <m:e>
            <m:r>
              <w:rPr>
                <w:rFonts w:ascii="Cambria Math" w:hAnsi="Cambria Math"/>
              </w:rPr>
              <m:t>λ</m:t>
            </m:r>
          </m:e>
          <m:sub>
            <m:r>
              <w:rPr>
                <w:rFonts w:ascii="Cambria Math" w:hAnsi="Cambria Math"/>
              </w:rPr>
              <m:t>i</m:t>
            </m:r>
          </m:sub>
        </m:sSub>
      </m:oMath>
      <w:r w:rsidRPr="00A945B1">
        <w:t xml:space="preserve"> e </w:t>
      </w:r>
      <m:oMath>
        <m:sSub>
          <m:sSubPr>
            <m:ctrlPr>
              <w:rPr>
                <w:rFonts w:ascii="Cambria Math" w:hAnsi="Cambria Math"/>
                <w:i/>
              </w:rPr>
            </m:ctrlPr>
          </m:sSubPr>
          <m:e>
            <m:r>
              <w:rPr>
                <w:rFonts w:ascii="Cambria Math" w:hAnsi="Cambria Math"/>
              </w:rPr>
              <m:t>ξ</m:t>
            </m:r>
          </m:e>
          <m:sub>
            <m:r>
              <w:rPr>
                <w:rFonts w:ascii="Cambria Math" w:hAnsi="Cambria Math"/>
              </w:rPr>
              <m:t>i</m:t>
            </m:r>
          </m:sub>
        </m:sSub>
      </m:oMath>
      <w:r w:rsidRPr="00A945B1">
        <w:t xml:space="preserve"> para </w:t>
      </w:r>
      <m:oMath>
        <m:r>
          <w:rPr>
            <w:rFonts w:ascii="Cambria Math" w:hAnsi="Cambria Math"/>
          </w:rPr>
          <m:t>i≤0</m:t>
        </m:r>
      </m:oMath>
      <w:r w:rsidRPr="00A945B1">
        <w:t xml:space="preserve"> como o valor da média incondicional da intensidade dos saltos expressa na equação (</w:t>
      </w:r>
      <w:fldSimple w:instr="REF BMequ_media_inc \* MERGEFORMAT ">
        <w:r w:rsidR="00C70689" w:rsidRPr="00A945B1">
          <w:t>10</w:t>
        </w:r>
      </w:fldSimple>
      <w:r w:rsidRPr="00A945B1">
        <w:t>), e zero, respectivamente.</w:t>
      </w:r>
    </w:p>
    <w:p w:rsidR="00100FD6" w:rsidRDefault="000A3E1C" w:rsidP="00E83826">
      <w:pPr>
        <w:spacing w:line="360" w:lineRule="auto"/>
        <w:ind w:firstLine="360"/>
      </w:pPr>
      <w:r w:rsidRPr="00A945B1">
        <w:t>O terceiro modelo, denotado</w:t>
      </w:r>
      <w:r w:rsidR="005A0188" w:rsidRPr="00A945B1">
        <w:t xml:space="preserve"> </w:t>
      </w:r>
      <m:oMath>
        <m:r>
          <w:rPr>
            <w:rFonts w:ascii="Cambria Math" w:hAnsi="Cambria Math"/>
          </w:rPr>
          <m:t>ARJI-</m:t>
        </m:r>
        <m:sSubSup>
          <m:sSubSupPr>
            <m:ctrlPr>
              <w:rPr>
                <w:rFonts w:ascii="Cambria Math" w:hAnsi="Cambria Math"/>
                <w:i/>
              </w:rPr>
            </m:ctrlPr>
          </m:sSubSupPr>
          <m:e>
            <m:r>
              <w:rPr>
                <w:rFonts w:ascii="Cambria Math" w:hAnsi="Cambria Math"/>
              </w:rPr>
              <m:t>R</m:t>
            </m:r>
          </m:e>
          <m:sub>
            <m:r>
              <w:rPr>
                <w:rFonts w:ascii="Cambria Math" w:hAnsi="Cambria Math"/>
              </w:rPr>
              <m:t>t-1</m:t>
            </m:r>
          </m:sub>
          <m:sup>
            <m:r>
              <w:rPr>
                <w:rFonts w:ascii="Cambria Math" w:hAnsi="Cambria Math"/>
              </w:rPr>
              <m:t>2</m:t>
            </m:r>
          </m:sup>
        </m:sSubSup>
      </m:oMath>
      <w:r w:rsidRPr="00A945B1">
        <w:t xml:space="preserve">, segue a mesma dinâmica para </w:t>
      </w:r>
      <m:oMath>
        <m:sSub>
          <m:sSubPr>
            <m:ctrlPr>
              <w:rPr>
                <w:rFonts w:ascii="Cambria Math" w:hAnsi="Cambria Math"/>
                <w:i/>
              </w:rPr>
            </m:ctrlPr>
          </m:sSubPr>
          <m:e>
            <m:r>
              <w:rPr>
                <w:rFonts w:ascii="Cambria Math" w:hAnsi="Cambria Math"/>
              </w:rPr>
              <m:t>λ</m:t>
            </m:r>
          </m:e>
          <m:sub>
            <m:r>
              <w:rPr>
                <w:rFonts w:ascii="Cambria Math" w:hAnsi="Cambria Math"/>
              </w:rPr>
              <m:t>t</m:t>
            </m:r>
          </m:sub>
        </m:sSub>
      </m:oMath>
      <w:r w:rsidRPr="00A945B1">
        <w:t>, entretanto permite que a média condicional e a variância condicional da distribuição do tamanho dos saltos seja uma função das variações passadas na taxa de c</w:t>
      </w:r>
      <w:r w:rsidR="00100FD6" w:rsidRPr="00A945B1">
        <w:t>âmbio:</w:t>
      </w:r>
    </w:p>
    <w:p w:rsidR="00E83826" w:rsidRPr="00A945B1" w:rsidRDefault="00E83826" w:rsidP="00E83826">
      <w:pPr>
        <w:pStyle w:val="SemEspaamento"/>
      </w:pPr>
    </w:p>
    <w:bookmarkStart w:id="11" w:name="BMequ_arji_r_mean"/>
    <w:p w:rsidR="00786F27" w:rsidRDefault="00236A0C" w:rsidP="00786F27">
      <w:pPr>
        <w:pStyle w:val="equationAlignNum"/>
        <w:spacing w:line="360" w:lineRule="auto"/>
        <w:jc w:val="right"/>
      </w:pPr>
      <m:oMath>
        <m:sSub>
          <m:sSubPr>
            <m:ctrlPr>
              <w:rPr>
                <w:rFonts w:ascii="Cambria Math" w:hAnsi="Cambria Math"/>
                <w:i/>
              </w:rPr>
            </m:ctrlPr>
          </m:sSubPr>
          <m:e>
            <m:r>
              <w:rPr>
                <w:rFonts w:ascii="Cambria Math" w:hAnsi="Cambria Math"/>
              </w:rPr>
              <m:t>θ</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η</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η</m:t>
            </m:r>
          </m:e>
          <m:sub>
            <m:r>
              <w:rPr>
                <w:rFonts w:ascii="Cambria Math" w:hAnsi="Cambria Math"/>
              </w:rPr>
              <m:t>1</m:t>
            </m:r>
          </m:sub>
        </m:sSub>
        <m:sSub>
          <m:sSubPr>
            <m:ctrlPr>
              <w:rPr>
                <w:rFonts w:ascii="Cambria Math" w:hAnsi="Cambria Math"/>
                <w:i/>
              </w:rPr>
            </m:ctrlPr>
          </m:sSubPr>
          <m:e>
            <m:r>
              <w:rPr>
                <w:rFonts w:ascii="Cambria Math" w:hAnsi="Cambria Math"/>
              </w:rPr>
              <m:t>R</m:t>
            </m:r>
          </m:e>
          <m:sub>
            <m:r>
              <w:rPr>
                <w:rFonts w:ascii="Cambria Math" w:hAnsi="Cambria Math"/>
              </w:rPr>
              <m:t>t-1</m:t>
            </m:r>
          </m:sub>
        </m:sSub>
        <m: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t-1</m:t>
                </m:r>
              </m:sub>
            </m:sSub>
          </m:e>
        </m:d>
        <m:r>
          <w:rPr>
            <w:rFonts w:ascii="Cambria Math" w:hAnsi="Cambria Math"/>
          </w:rPr>
          <m:t>+</m:t>
        </m:r>
        <m:sSub>
          <m:sSubPr>
            <m:ctrlPr>
              <w:rPr>
                <w:rFonts w:ascii="Cambria Math" w:hAnsi="Cambria Math"/>
                <w:i/>
              </w:rPr>
            </m:ctrlPr>
          </m:sSubPr>
          <m:e>
            <m:r>
              <w:rPr>
                <w:rFonts w:ascii="Cambria Math" w:hAnsi="Cambria Math"/>
              </w:rPr>
              <m:t>η</m:t>
            </m:r>
          </m:e>
          <m:sub>
            <m:r>
              <w:rPr>
                <w:rFonts w:ascii="Cambria Math" w:hAnsi="Cambria Math"/>
              </w:rPr>
              <m:t>2</m:t>
            </m:r>
          </m:sub>
        </m:sSub>
        <m:sSub>
          <m:sSubPr>
            <m:ctrlPr>
              <w:rPr>
                <w:rFonts w:ascii="Cambria Math" w:hAnsi="Cambria Math"/>
                <w:i/>
              </w:rPr>
            </m:ctrlPr>
          </m:sSubPr>
          <m:e>
            <m:r>
              <w:rPr>
                <w:rFonts w:ascii="Cambria Math" w:hAnsi="Cambria Math"/>
              </w:rPr>
              <m:t>R</m:t>
            </m:r>
          </m:e>
          <m:sub>
            <m:r>
              <w:rPr>
                <w:rFonts w:ascii="Cambria Math" w:hAnsi="Cambria Math"/>
              </w:rPr>
              <m:t>t-1</m:t>
            </m:r>
          </m:sub>
        </m:sSub>
        <m:d>
          <m:dPr>
            <m:ctrlPr>
              <w:rPr>
                <w:rFonts w:ascii="Cambria Math" w:hAnsi="Cambria Math"/>
                <w:i/>
              </w:rPr>
            </m:ctrlPr>
          </m:dPr>
          <m:e>
            <m:r>
              <w:rPr>
                <w:rFonts w:ascii="Cambria Math" w:hAnsi="Cambria Math"/>
              </w:rPr>
              <m:t>1-D</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t-1</m:t>
                    </m:r>
                  </m:sub>
                </m:sSub>
              </m:e>
            </m:d>
          </m:e>
        </m:d>
        <m:r>
          <w:rPr>
            <w:rFonts w:ascii="Cambria Math" w:hAnsi="Cambria Math"/>
          </w:rPr>
          <m:t xml:space="preserve">, </m:t>
        </m:r>
      </m:oMath>
      <w:r w:rsidR="00EF5164">
        <w:t>e</w:t>
      </w:r>
      <w:r w:rsidR="003B3514" w:rsidRPr="00A945B1">
        <w:tab/>
      </w:r>
      <w:r w:rsidR="00B01CA6" w:rsidRPr="00A945B1">
        <w:tab/>
      </w:r>
      <w:r w:rsidR="003B3514" w:rsidRPr="00A945B1">
        <w:t>(</w:t>
      </w:r>
      <w:r w:rsidR="000A3E1C" w:rsidRPr="00A945B1">
        <w:t>12</w:t>
      </w:r>
      <w:bookmarkEnd w:id="11"/>
      <w:r w:rsidR="000A3E1C" w:rsidRPr="00A945B1">
        <w:t>)</w:t>
      </w:r>
    </w:p>
    <w:p w:rsidR="00064299" w:rsidRDefault="00236A0C" w:rsidP="00786F27">
      <w:pPr>
        <w:pStyle w:val="equationAlignNum"/>
        <w:spacing w:line="360" w:lineRule="auto"/>
        <w:ind w:firstLine="720"/>
        <w:jc w:val="right"/>
      </w:pPr>
      <m:oMath>
        <m:sSubSup>
          <m:sSubSupPr>
            <m:ctrlPr>
              <w:rPr>
                <w:rFonts w:ascii="Cambria Math" w:hAnsi="Cambria Math"/>
                <w:i/>
              </w:rPr>
            </m:ctrlPr>
          </m:sSubSupPr>
          <m:e>
            <m:r>
              <w:rPr>
                <w:rFonts w:ascii="Cambria Math" w:hAnsi="Cambria Math"/>
              </w:rPr>
              <m:t>δ</m:t>
            </m:r>
          </m:e>
          <m:sub>
            <m:r>
              <w:rPr>
                <w:rFonts w:ascii="Cambria Math" w:hAnsi="Cambria Math"/>
              </w:rPr>
              <m:t>t</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ζ</m:t>
            </m:r>
          </m:e>
          <m:sub>
            <m:r>
              <w:rPr>
                <w:rFonts w:ascii="Cambria Math" w:hAnsi="Cambria Math"/>
              </w:rPr>
              <m:t>0</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ζ</m:t>
            </m:r>
          </m:e>
          <m:sub>
            <m:r>
              <w:rPr>
                <w:rFonts w:ascii="Cambria Math" w:hAnsi="Cambria Math"/>
              </w:rPr>
              <m:t>1</m:t>
            </m:r>
          </m:sub>
        </m:sSub>
        <m:sSubSup>
          <m:sSubSupPr>
            <m:ctrlPr>
              <w:rPr>
                <w:rFonts w:ascii="Cambria Math" w:hAnsi="Cambria Math"/>
                <w:i/>
              </w:rPr>
            </m:ctrlPr>
          </m:sSubSupPr>
          <m:e>
            <m:r>
              <w:rPr>
                <w:rFonts w:ascii="Cambria Math" w:hAnsi="Cambria Math"/>
              </w:rPr>
              <m:t>R</m:t>
            </m:r>
          </m:e>
          <m:sub>
            <m:r>
              <w:rPr>
                <w:rFonts w:ascii="Cambria Math" w:hAnsi="Cambria Math"/>
              </w:rPr>
              <m:t>t-1</m:t>
            </m:r>
          </m:sub>
          <m:sup>
            <m:r>
              <w:rPr>
                <w:rFonts w:ascii="Cambria Math" w:hAnsi="Cambria Math"/>
              </w:rPr>
              <m:t>2</m:t>
            </m:r>
          </m:sup>
        </m:sSubSup>
      </m:oMath>
      <w:r w:rsidR="00B01CA6" w:rsidRPr="00A945B1">
        <w:tab/>
      </w:r>
      <w:r w:rsidR="00B01CA6" w:rsidRPr="00A945B1">
        <w:tab/>
      </w:r>
      <w:r w:rsidR="00B01CA6" w:rsidRPr="00A945B1">
        <w:tab/>
      </w:r>
      <w:r w:rsidR="00786F27">
        <w:tab/>
      </w:r>
      <w:r w:rsidR="00786F27">
        <w:tab/>
      </w:r>
      <w:r w:rsidR="00786F27">
        <w:tab/>
      </w:r>
      <w:r w:rsidR="00786F27">
        <w:tab/>
      </w:r>
      <w:r w:rsidR="000A3E1C" w:rsidRPr="00A945B1">
        <w:t>(</w:t>
      </w:r>
      <w:bookmarkStart w:id="12" w:name="BMequ_arji_r"/>
      <w:r w:rsidR="000A3E1C" w:rsidRPr="00A945B1">
        <w:t>13</w:t>
      </w:r>
      <w:bookmarkEnd w:id="12"/>
      <w:r w:rsidR="000A3E1C" w:rsidRPr="00A945B1">
        <w:t>)</w:t>
      </w:r>
    </w:p>
    <w:p w:rsidR="00064299" w:rsidRPr="00A945B1" w:rsidRDefault="000A3E1C" w:rsidP="002E2600">
      <w:pPr>
        <w:spacing w:line="360" w:lineRule="auto"/>
      </w:pPr>
      <w:r w:rsidRPr="00A945B1">
        <w:lastRenderedPageBreak/>
        <w:t xml:space="preserve">onde </w:t>
      </w:r>
      <m:oMath>
        <m:r>
          <w:rPr>
            <w:rFonts w:ascii="Cambria Math" w:hAnsi="Cambria Math"/>
          </w:rPr>
          <m:t>D</m:t>
        </m:r>
        <m:d>
          <m:dPr>
            <m:ctrlPr>
              <w:rPr>
                <w:rFonts w:ascii="Cambria Math" w:hAnsi="Cambria Math"/>
                <w:i/>
              </w:rPr>
            </m:ctrlPr>
          </m:dPr>
          <m:e>
            <m:r>
              <w:rPr>
                <w:rFonts w:ascii="Cambria Math" w:hAnsi="Cambria Math"/>
              </w:rPr>
              <m:t>x</m:t>
            </m:r>
          </m:e>
        </m:d>
        <m:r>
          <w:rPr>
            <w:rFonts w:ascii="Cambria Math" w:hAnsi="Cambria Math"/>
          </w:rPr>
          <m:t>=1</m:t>
        </m:r>
      </m:oMath>
      <w:r w:rsidR="00E83826">
        <w:t xml:space="preserve"> s</w:t>
      </w:r>
      <w:r w:rsidRPr="00A945B1">
        <w:t xml:space="preserve">e </w:t>
      </w:r>
      <m:oMath>
        <m:r>
          <w:rPr>
            <w:rFonts w:ascii="Cambria Math" w:hAnsi="Cambria Math"/>
          </w:rPr>
          <m:t>x&gt;0</m:t>
        </m:r>
      </m:oMath>
      <w:r w:rsidR="00E83826">
        <w:t xml:space="preserve"> </w:t>
      </w:r>
      <w:r w:rsidRPr="00A945B1">
        <w:t xml:space="preserve">e zero caso contrário, e </w:t>
      </w:r>
      <m:oMath>
        <m:sSub>
          <m:sSubPr>
            <m:ctrlPr>
              <w:rPr>
                <w:rFonts w:ascii="Cambria Math" w:hAnsi="Cambria Math"/>
                <w:i/>
              </w:rPr>
            </m:ctrlPr>
          </m:sSubPr>
          <m:e>
            <m:r>
              <w:rPr>
                <w:rFonts w:ascii="Cambria Math" w:hAnsi="Cambria Math"/>
              </w:rPr>
              <m:t>η</m:t>
            </m:r>
          </m:e>
          <m:sub>
            <m:r>
              <w:rPr>
                <w:rFonts w:ascii="Cambria Math" w:hAnsi="Cambria Math"/>
              </w:rPr>
              <m:t>0</m:t>
            </m:r>
          </m:sub>
        </m:sSub>
      </m:oMath>
      <w:r w:rsidRPr="00A945B1">
        <w:t xml:space="preserve">, </w:t>
      </w:r>
      <m:oMath>
        <m:sSub>
          <m:sSubPr>
            <m:ctrlPr>
              <w:rPr>
                <w:rFonts w:ascii="Cambria Math" w:hAnsi="Cambria Math"/>
                <w:i/>
              </w:rPr>
            </m:ctrlPr>
          </m:sSubPr>
          <m:e>
            <m:r>
              <w:rPr>
                <w:rFonts w:ascii="Cambria Math" w:hAnsi="Cambria Math"/>
              </w:rPr>
              <m:t>η</m:t>
            </m:r>
          </m:e>
          <m:sub>
            <m:r>
              <w:rPr>
                <w:rFonts w:ascii="Cambria Math" w:hAnsi="Cambria Math"/>
              </w:rPr>
              <m:t>1</m:t>
            </m:r>
          </m:sub>
        </m:sSub>
      </m:oMath>
      <w:r w:rsidR="00E83826">
        <w:t>,</w:t>
      </w:r>
      <w:r w:rsidRPr="00A945B1">
        <w:t xml:space="preserve"> </w:t>
      </w:r>
      <m:oMath>
        <m:sSub>
          <m:sSubPr>
            <m:ctrlPr>
              <w:rPr>
                <w:rFonts w:ascii="Cambria Math" w:hAnsi="Cambria Math"/>
                <w:i/>
              </w:rPr>
            </m:ctrlPr>
          </m:sSubPr>
          <m:e>
            <m:r>
              <w:rPr>
                <w:rFonts w:ascii="Cambria Math" w:hAnsi="Cambria Math"/>
              </w:rPr>
              <m:t>η</m:t>
            </m:r>
          </m:e>
          <m:sub>
            <m:r>
              <w:rPr>
                <w:rFonts w:ascii="Cambria Math" w:hAnsi="Cambria Math"/>
              </w:rPr>
              <m:t>2</m:t>
            </m:r>
          </m:sub>
        </m:sSub>
      </m:oMath>
      <w:r w:rsidRPr="00A945B1">
        <w:t xml:space="preserve">, </w:t>
      </w:r>
      <m:oMath>
        <m:sSub>
          <m:sSubPr>
            <m:ctrlPr>
              <w:rPr>
                <w:rFonts w:ascii="Cambria Math" w:hAnsi="Cambria Math"/>
                <w:i/>
              </w:rPr>
            </m:ctrlPr>
          </m:sSubPr>
          <m:e>
            <m:r>
              <w:rPr>
                <w:rFonts w:ascii="Cambria Math" w:hAnsi="Cambria Math"/>
              </w:rPr>
              <m:t>ζ</m:t>
            </m:r>
          </m:e>
          <m:sub>
            <m:r>
              <w:rPr>
                <w:rFonts w:ascii="Cambria Math" w:hAnsi="Cambria Math"/>
              </w:rPr>
              <m:t>0</m:t>
            </m:r>
          </m:sub>
        </m:sSub>
      </m:oMath>
      <w:r w:rsidRPr="00A945B1">
        <w:t xml:space="preserve"> e </w:t>
      </w:r>
      <m:oMath>
        <m:sSub>
          <m:sSubPr>
            <m:ctrlPr>
              <w:rPr>
                <w:rFonts w:ascii="Cambria Math" w:hAnsi="Cambria Math"/>
                <w:i/>
              </w:rPr>
            </m:ctrlPr>
          </m:sSubPr>
          <m:e>
            <m:r>
              <w:rPr>
                <w:rFonts w:ascii="Cambria Math" w:hAnsi="Cambria Math"/>
              </w:rPr>
              <m:t>ζ</m:t>
            </m:r>
          </m:e>
          <m:sub>
            <m:r>
              <w:rPr>
                <w:rFonts w:ascii="Cambria Math" w:hAnsi="Cambria Math"/>
              </w:rPr>
              <m:t>1</m:t>
            </m:r>
          </m:sub>
        </m:sSub>
      </m:oMath>
      <w:r w:rsidRPr="00A945B1">
        <w:t xml:space="preserve"> são os parâmetros a serem estimados.</w:t>
      </w:r>
    </w:p>
    <w:p w:rsidR="00064299" w:rsidRDefault="000A3E1C" w:rsidP="002E2600">
      <w:pPr>
        <w:spacing w:line="360" w:lineRule="auto"/>
        <w:ind w:firstLine="360"/>
      </w:pPr>
      <w:r w:rsidRPr="00A945B1">
        <w:t xml:space="preserve">No quarto modelo, denotado </w:t>
      </w:r>
      <m:oMath>
        <m:r>
          <w:rPr>
            <w:rFonts w:ascii="Cambria Math" w:hAnsi="Cambria Math"/>
          </w:rPr>
          <m:t>ARJI-</m:t>
        </m:r>
        <m:sSub>
          <m:sSubPr>
            <m:ctrlPr>
              <w:rPr>
                <w:rFonts w:ascii="Cambria Math" w:hAnsi="Cambria Math"/>
                <w:i/>
              </w:rPr>
            </m:ctrlPr>
          </m:sSubPr>
          <m:e>
            <m:r>
              <w:rPr>
                <w:rFonts w:ascii="Cambria Math" w:hAnsi="Cambria Math"/>
              </w:rPr>
              <m:t>h</m:t>
            </m:r>
          </m:e>
          <m:sub>
            <m:r>
              <w:rPr>
                <w:rFonts w:ascii="Cambria Math" w:hAnsi="Cambria Math"/>
              </w:rPr>
              <m:t>t</m:t>
            </m:r>
          </m:sub>
        </m:sSub>
      </m:oMath>
      <w:r w:rsidRPr="00A945B1">
        <w:t xml:space="preserve">, as dinâmicas de </w:t>
      </w:r>
      <m:oMath>
        <m:sSub>
          <m:sSubPr>
            <m:ctrlPr>
              <w:rPr>
                <w:rFonts w:ascii="Cambria Math" w:hAnsi="Cambria Math"/>
                <w:i/>
              </w:rPr>
            </m:ctrlPr>
          </m:sSubPr>
          <m:e>
            <m:r>
              <w:rPr>
                <w:rFonts w:ascii="Cambria Math" w:hAnsi="Cambria Math"/>
              </w:rPr>
              <m:t>λ</m:t>
            </m:r>
          </m:e>
          <m:sub>
            <m:r>
              <w:rPr>
                <w:rFonts w:ascii="Cambria Math" w:hAnsi="Cambria Math"/>
              </w:rPr>
              <m:t>t</m:t>
            </m:r>
          </m:sub>
        </m:sSub>
      </m:oMath>
      <w:r w:rsidRPr="00A945B1">
        <w:t xml:space="preserve"> e </w:t>
      </w:r>
      <m:oMath>
        <m:sSub>
          <m:sSubPr>
            <m:ctrlPr>
              <w:rPr>
                <w:rFonts w:ascii="Cambria Math" w:hAnsi="Cambria Math"/>
                <w:i/>
              </w:rPr>
            </m:ctrlPr>
          </m:sSubPr>
          <m:e>
            <m:r>
              <w:rPr>
                <w:rFonts w:ascii="Cambria Math" w:hAnsi="Cambria Math"/>
              </w:rPr>
              <m:t>θ</m:t>
            </m:r>
          </m:e>
          <m:sub>
            <m:r>
              <w:rPr>
                <w:rFonts w:ascii="Cambria Math" w:hAnsi="Cambria Math"/>
              </w:rPr>
              <m:t>t</m:t>
            </m:r>
          </m:sub>
        </m:sSub>
      </m:oMath>
      <w:r w:rsidRPr="00A945B1">
        <w:t xml:space="preserve"> são definidas como anteriormente, entretanto</w:t>
      </w:r>
      <w:r w:rsidR="00E83826">
        <w:t>,</w:t>
      </w:r>
      <w:r w:rsidRPr="00A945B1">
        <w:t xml:space="preserve"> a variância condicional do tamanho dos saltos é uma função da volatilid</w:t>
      </w:r>
      <w:r w:rsidR="00E83826">
        <w:t>ade estimada:</w:t>
      </w:r>
    </w:p>
    <w:p w:rsidR="00EF5164" w:rsidRPr="00A945B1" w:rsidRDefault="00EF5164" w:rsidP="00EF5164"/>
    <w:p w:rsidR="00064299" w:rsidRDefault="00236A0C" w:rsidP="005A5D93">
      <w:pPr>
        <w:pStyle w:val="equationAlignNum"/>
        <w:spacing w:line="360" w:lineRule="auto"/>
        <w:jc w:val="right"/>
      </w:pPr>
      <m:oMath>
        <m:sSubSup>
          <m:sSubSupPr>
            <m:ctrlPr>
              <w:rPr>
                <w:rFonts w:ascii="Cambria Math" w:hAnsi="Cambria Math"/>
                <w:i/>
              </w:rPr>
            </m:ctrlPr>
          </m:sSubSupPr>
          <m:e>
            <m:r>
              <w:rPr>
                <w:rFonts w:ascii="Cambria Math" w:hAnsi="Cambria Math"/>
              </w:rPr>
              <m:t>δ</m:t>
            </m:r>
          </m:e>
          <m:sub>
            <m:r>
              <w:rPr>
                <w:rFonts w:ascii="Cambria Math" w:hAnsi="Cambria Math"/>
              </w:rPr>
              <m:t>t</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ζ</m:t>
            </m:r>
          </m:e>
          <m:sub>
            <m:r>
              <w:rPr>
                <w:rFonts w:ascii="Cambria Math" w:hAnsi="Cambria Math"/>
              </w:rPr>
              <m:t>0</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ζ</m:t>
            </m:r>
          </m:e>
          <m:sub>
            <m:r>
              <w:rPr>
                <w:rFonts w:ascii="Cambria Math" w:hAnsi="Cambria Math"/>
              </w:rPr>
              <m:t>1</m:t>
            </m:r>
          </m:sub>
        </m:sSub>
        <m:sSub>
          <m:sSubPr>
            <m:ctrlPr>
              <w:rPr>
                <w:rFonts w:ascii="Cambria Math" w:hAnsi="Cambria Math"/>
                <w:i/>
              </w:rPr>
            </m:ctrlPr>
          </m:sSubPr>
          <m:e>
            <m:r>
              <w:rPr>
                <w:rFonts w:ascii="Cambria Math" w:hAnsi="Cambria Math"/>
              </w:rPr>
              <m:t>h</m:t>
            </m:r>
          </m:e>
          <m:sub>
            <m:r>
              <w:rPr>
                <w:rFonts w:ascii="Cambria Math" w:hAnsi="Cambria Math"/>
              </w:rPr>
              <m:t>t</m:t>
            </m:r>
          </m:sub>
        </m:sSub>
      </m:oMath>
      <w:r w:rsidR="007E7BA4" w:rsidRPr="00A945B1">
        <w:tab/>
      </w:r>
      <w:r w:rsidR="00B01CA6" w:rsidRPr="00A945B1">
        <w:tab/>
      </w:r>
      <w:r w:rsidR="00B01CA6" w:rsidRPr="00A945B1">
        <w:tab/>
      </w:r>
      <w:r w:rsidR="00B01CA6" w:rsidRPr="00A945B1">
        <w:tab/>
      </w:r>
      <w:r w:rsidR="00B01CA6" w:rsidRPr="00A945B1">
        <w:tab/>
      </w:r>
      <w:r w:rsidR="000A3E1C" w:rsidRPr="00A945B1">
        <w:t>(</w:t>
      </w:r>
      <w:bookmarkStart w:id="13" w:name="BMequ_arji_h"/>
      <w:r w:rsidR="000A3E1C" w:rsidRPr="00A945B1">
        <w:t>14</w:t>
      </w:r>
      <w:bookmarkEnd w:id="13"/>
      <w:r w:rsidR="000A3E1C" w:rsidRPr="00A945B1">
        <w:t>)</w:t>
      </w:r>
    </w:p>
    <w:p w:rsidR="00E83826" w:rsidRPr="00E83826" w:rsidRDefault="00E83826" w:rsidP="00E83826">
      <w:pPr>
        <w:pStyle w:val="SemEspaamento"/>
      </w:pPr>
    </w:p>
    <w:p w:rsidR="00064299" w:rsidRPr="00A945B1" w:rsidRDefault="000A3E1C" w:rsidP="002E2600">
      <w:pPr>
        <w:spacing w:line="360" w:lineRule="auto"/>
        <w:ind w:firstLine="360"/>
      </w:pPr>
      <w:r w:rsidRPr="00A945B1">
        <w:t>O primeiro e o segundo modelo são casos específicos desses dois últimos onde a média e a variância do tamanho dos saltos são parâmetros constantes. A diferença entre as duas especificações da variância condicional dos saltos no terceiro e quarto modelo é que em (</w:t>
      </w:r>
      <w:fldSimple w:instr="REF BMequ_arji_r \* MERGEFORMAT ">
        <w:r w:rsidR="00C70689" w:rsidRPr="00A945B1">
          <w:t>13</w:t>
        </w:r>
      </w:fldSimple>
      <w:r w:rsidRPr="00A945B1">
        <w:t xml:space="preserve">) o termo </w:t>
      </w:r>
      <m:oMath>
        <m:sSubSup>
          <m:sSubSupPr>
            <m:ctrlPr>
              <w:rPr>
                <w:rFonts w:ascii="Cambria Math" w:hAnsi="Cambria Math"/>
                <w:i/>
              </w:rPr>
            </m:ctrlPr>
          </m:sSubSupPr>
          <m:e>
            <m:r>
              <w:rPr>
                <w:rFonts w:ascii="Cambria Math" w:hAnsi="Cambria Math"/>
              </w:rPr>
              <m:t>R</m:t>
            </m:r>
          </m:e>
          <m:sub>
            <m:r>
              <w:rPr>
                <w:rFonts w:ascii="Cambria Math" w:hAnsi="Cambria Math"/>
              </w:rPr>
              <m:t>t-1</m:t>
            </m:r>
          </m:sub>
          <m:sup>
            <m:r>
              <w:rPr>
                <w:rFonts w:ascii="Cambria Math" w:hAnsi="Cambria Math"/>
              </w:rPr>
              <m:t>2</m:t>
            </m:r>
          </m:sup>
        </m:sSubSup>
      </m:oMath>
      <w:r w:rsidRPr="00A945B1">
        <w:t xml:space="preserve"> é uma </w:t>
      </w:r>
      <w:r w:rsidRPr="00A945B1">
        <w:rPr>
          <w:i/>
          <w:iCs/>
        </w:rPr>
        <w:t>proxy</w:t>
      </w:r>
      <w:r w:rsidRPr="00A945B1">
        <w:t xml:space="preserve"> para a volatilidade do último período, enquanto </w:t>
      </w:r>
      <m:oMath>
        <m:sSub>
          <m:sSubPr>
            <m:ctrlPr>
              <w:rPr>
                <w:rFonts w:ascii="Cambria Math" w:hAnsi="Cambria Math"/>
                <w:i/>
              </w:rPr>
            </m:ctrlPr>
          </m:sSubPr>
          <m:e>
            <m:r>
              <w:rPr>
                <w:rFonts w:ascii="Cambria Math" w:hAnsi="Cambria Math"/>
              </w:rPr>
              <m:t>h</m:t>
            </m:r>
          </m:e>
          <m:sub>
            <m:r>
              <w:rPr>
                <w:rFonts w:ascii="Cambria Math" w:hAnsi="Cambria Math"/>
              </w:rPr>
              <m:t>t</m:t>
            </m:r>
          </m:sub>
        </m:sSub>
      </m:oMath>
      <w:r w:rsidRPr="00A945B1">
        <w:t xml:space="preserve"> é a previsão da volatilidade contemporânea. Assim, no último modelo permitimos que a variância condicional dos saltos no tempo </w:t>
      </w:r>
      <w:r w:rsidRPr="00A945B1">
        <w:rPr>
          <w:i/>
          <w:iCs/>
        </w:rPr>
        <w:t>t</w:t>
      </w:r>
      <w:r w:rsidRPr="00A945B1">
        <w:t xml:space="preserve"> seja afetada pela volatilidade das variações na taxa de câmbio nesse mesmo período. Esta propriedade é mais desejável, visto que </w:t>
      </w:r>
      <m:oMath>
        <m:sSub>
          <m:sSubPr>
            <m:ctrlPr>
              <w:rPr>
                <w:rFonts w:ascii="Cambria Math" w:hAnsi="Cambria Math"/>
                <w:i/>
              </w:rPr>
            </m:ctrlPr>
          </m:sSubPr>
          <m:e>
            <m:r>
              <w:rPr>
                <w:rFonts w:ascii="Cambria Math" w:hAnsi="Cambria Math"/>
              </w:rPr>
              <m:t>h</m:t>
            </m:r>
          </m:e>
          <m:sub>
            <m:r>
              <w:rPr>
                <w:rFonts w:ascii="Cambria Math" w:hAnsi="Cambria Math"/>
              </w:rPr>
              <m:t>t</m:t>
            </m:r>
          </m:sub>
        </m:sSub>
      </m:oMath>
      <w:r w:rsidRPr="00A945B1">
        <w:t xml:space="preserve"> contém mais informação do que </w:t>
      </w:r>
      <m:oMath>
        <m:sSubSup>
          <m:sSubSupPr>
            <m:ctrlPr>
              <w:rPr>
                <w:rFonts w:ascii="Cambria Math" w:hAnsi="Cambria Math"/>
                <w:i/>
              </w:rPr>
            </m:ctrlPr>
          </m:sSubSupPr>
          <m:e>
            <m:r>
              <w:rPr>
                <w:rFonts w:ascii="Cambria Math" w:hAnsi="Cambria Math"/>
              </w:rPr>
              <m:t>R</m:t>
            </m:r>
          </m:e>
          <m:sub>
            <m:r>
              <w:rPr>
                <w:rFonts w:ascii="Cambria Math" w:hAnsi="Cambria Math"/>
              </w:rPr>
              <m:t>t-1</m:t>
            </m:r>
          </m:sub>
          <m:sup>
            <m:r>
              <w:rPr>
                <w:rFonts w:ascii="Cambria Math" w:hAnsi="Cambria Math"/>
              </w:rPr>
              <m:t>2</m:t>
            </m:r>
          </m:sup>
        </m:sSubSup>
      </m:oMath>
      <w:r w:rsidRPr="00A945B1">
        <w:t>.</w:t>
      </w:r>
    </w:p>
    <w:p w:rsidR="00064299" w:rsidRDefault="000A3E1C" w:rsidP="002E2600">
      <w:pPr>
        <w:spacing w:line="360" w:lineRule="auto"/>
        <w:ind w:firstLine="360"/>
      </w:pPr>
      <w:r w:rsidRPr="00A945B1">
        <w:t xml:space="preserve">Como os dois primeiros momentos condicionais do tamanho dos saltos, </w:t>
      </w:r>
      <m:oMath>
        <m:nary>
          <m:naryPr>
            <m:chr m:val="∑"/>
            <m:limLoc m:val="undOvr"/>
            <m:ctrlPr>
              <w:rPr>
                <w:rFonts w:ascii="Cambria Math" w:hAnsi="Cambria Math"/>
                <w:i/>
              </w:rPr>
            </m:ctrlPr>
          </m:naryPr>
          <m:sub>
            <m:r>
              <w:rPr>
                <w:rFonts w:ascii="Cambria Math" w:hAnsi="Cambria Math"/>
              </w:rPr>
              <m:t>k=1</m:t>
            </m:r>
          </m:sub>
          <m:sup>
            <m:sSub>
              <m:sSubPr>
                <m:ctrlPr>
                  <w:rPr>
                    <w:rFonts w:ascii="Cambria Math" w:hAnsi="Cambria Math"/>
                    <w:i/>
                  </w:rPr>
                </m:ctrlPr>
              </m:sSubPr>
              <m:e>
                <m:r>
                  <w:rPr>
                    <w:rFonts w:ascii="Cambria Math" w:hAnsi="Cambria Math"/>
                  </w:rPr>
                  <m:t>n</m:t>
                </m:r>
              </m:e>
              <m:sub>
                <m:r>
                  <w:rPr>
                    <w:rFonts w:ascii="Cambria Math" w:hAnsi="Cambria Math"/>
                  </w:rPr>
                  <m:t>t</m:t>
                </m:r>
              </m:sub>
            </m:sSub>
          </m:sup>
          <m:e>
            <m:sSub>
              <m:sSubPr>
                <m:ctrlPr>
                  <w:rPr>
                    <w:rFonts w:ascii="Cambria Math" w:hAnsi="Cambria Math"/>
                    <w:i/>
                  </w:rPr>
                </m:ctrlPr>
              </m:sSubPr>
              <m:e>
                <m:r>
                  <w:rPr>
                    <w:rFonts w:ascii="Cambria Math" w:hAnsi="Cambria Math"/>
                  </w:rPr>
                  <m:t>J</m:t>
                </m:r>
              </m:e>
              <m:sub>
                <m:r>
                  <w:rPr>
                    <w:rFonts w:ascii="Cambria Math" w:hAnsi="Cambria Math"/>
                  </w:rPr>
                  <m:t>t,k</m:t>
                </m:r>
              </m:sub>
            </m:sSub>
          </m:e>
        </m:nary>
      </m:oMath>
      <w:r w:rsidR="00F13AA2">
        <w:t>, são dados por:</w:t>
      </w:r>
    </w:p>
    <w:p w:rsidR="00F13AA2" w:rsidRPr="00A945B1" w:rsidRDefault="00F13AA2" w:rsidP="00F13AA2">
      <w:pPr>
        <w:pStyle w:val="SemEspaamento"/>
      </w:pPr>
    </w:p>
    <w:p w:rsidR="00064299" w:rsidRPr="00A945B1" w:rsidRDefault="007E7BA4" w:rsidP="005A5D93">
      <w:pPr>
        <w:pStyle w:val="equationAlignNum"/>
        <w:spacing w:line="360" w:lineRule="auto"/>
        <w:jc w:val="right"/>
      </w:pPr>
      <m:oMath>
        <m:r>
          <w:rPr>
            <w:rFonts w:ascii="Cambria Math" w:hAnsi="Cambria Math"/>
          </w:rPr>
          <m:t>E[</m:t>
        </m:r>
        <m:nary>
          <m:naryPr>
            <m:chr m:val="∑"/>
            <m:limLoc m:val="undOvr"/>
            <m:ctrlPr>
              <w:rPr>
                <w:rFonts w:ascii="Cambria Math" w:hAnsi="Cambria Math"/>
                <w:i/>
              </w:rPr>
            </m:ctrlPr>
          </m:naryPr>
          <m:sub>
            <m:r>
              <w:rPr>
                <w:rFonts w:ascii="Cambria Math" w:hAnsi="Cambria Math"/>
              </w:rPr>
              <m:t>k=1</m:t>
            </m:r>
          </m:sub>
          <m:sup>
            <m:sSub>
              <m:sSubPr>
                <m:ctrlPr>
                  <w:rPr>
                    <w:rFonts w:ascii="Cambria Math" w:hAnsi="Cambria Math"/>
                    <w:i/>
                  </w:rPr>
                </m:ctrlPr>
              </m:sSubPr>
              <m:e>
                <m:r>
                  <w:rPr>
                    <w:rFonts w:ascii="Cambria Math" w:hAnsi="Cambria Math"/>
                  </w:rPr>
                  <m:t>n</m:t>
                </m:r>
              </m:e>
              <m:sub>
                <m:r>
                  <w:rPr>
                    <w:rFonts w:ascii="Cambria Math" w:hAnsi="Cambria Math"/>
                  </w:rPr>
                  <m:t>t</m:t>
                </m:r>
              </m:sub>
            </m:sSub>
          </m:sup>
          <m:e>
            <m:sSub>
              <m:sSubPr>
                <m:ctrlPr>
                  <w:rPr>
                    <w:rFonts w:ascii="Cambria Math" w:hAnsi="Cambria Math"/>
                    <w:i/>
                  </w:rPr>
                </m:ctrlPr>
              </m:sSubPr>
              <m:e>
                <m:r>
                  <w:rPr>
                    <w:rFonts w:ascii="Cambria Math" w:hAnsi="Cambria Math"/>
                  </w:rPr>
                  <m:t>J</m:t>
                </m:r>
              </m:e>
              <m:sub>
                <m:r>
                  <w:rPr>
                    <w:rFonts w:ascii="Cambria Math" w:hAnsi="Cambria Math"/>
                  </w:rPr>
                  <m:t>t,k</m:t>
                </m:r>
              </m:sub>
            </m:sSub>
            <m:d>
              <m:dPr>
                <m:begChr m:val="|"/>
                <m:endChr m:val="]"/>
                <m:ctrlPr>
                  <w:rPr>
                    <w:rFonts w:ascii="Cambria Math" w:hAnsi="Cambria Math"/>
                    <w:i/>
                  </w:rPr>
                </m:ctrlPr>
              </m:dPr>
              <m:e>
                <m:sSub>
                  <m:sSubPr>
                    <m:ctrlPr>
                      <w:rPr>
                        <w:rFonts w:ascii="Cambria Math" w:hAnsi="Cambria Math"/>
                        <w:i/>
                      </w:rPr>
                    </m:ctrlPr>
                  </m:sSubPr>
                  <m:e>
                    <m:r>
                      <m:rPr>
                        <m:sty m:val="p"/>
                      </m:rPr>
                      <w:rPr>
                        <w:rFonts w:ascii="Cambria Math" w:hAnsi="Cambria Math"/>
                      </w:rPr>
                      <m:t>Φ</m:t>
                    </m:r>
                  </m:e>
                  <m:sub>
                    <m:r>
                      <w:rPr>
                        <w:rFonts w:ascii="Cambria Math" w:hAnsi="Cambria Math"/>
                      </w:rPr>
                      <m:t>t-1</m:t>
                    </m:r>
                  </m:sub>
                </m:sSub>
              </m:e>
            </m:d>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t</m:t>
                </m:r>
              </m:sub>
            </m:sSub>
            <m:sSub>
              <m:sSubPr>
                <m:ctrlPr>
                  <w:rPr>
                    <w:rFonts w:ascii="Cambria Math" w:hAnsi="Cambria Math"/>
                    <w:i/>
                  </w:rPr>
                </m:ctrlPr>
              </m:sSubPr>
              <m:e>
                <m:r>
                  <w:rPr>
                    <w:rFonts w:ascii="Cambria Math" w:hAnsi="Cambria Math"/>
                  </w:rPr>
                  <m:t>λ</m:t>
                </m:r>
              </m:e>
              <m:sub>
                <m:r>
                  <w:rPr>
                    <w:rFonts w:ascii="Cambria Math" w:hAnsi="Cambria Math"/>
                  </w:rPr>
                  <m:t>t</m:t>
                </m:r>
              </m:sub>
            </m:sSub>
          </m:e>
        </m:nary>
        <m:r>
          <w:rPr>
            <w:rFonts w:ascii="Cambria Math" w:hAnsi="Cambria Math"/>
          </w:rPr>
          <m:t>,</m:t>
        </m:r>
      </m:oMath>
      <w:r w:rsidR="00EF5164">
        <w:t xml:space="preserve"> e</w:t>
      </w:r>
      <w:r w:rsidRPr="00A945B1">
        <w:tab/>
      </w:r>
      <w:r w:rsidR="00B01CA6" w:rsidRPr="00A945B1">
        <w:tab/>
      </w:r>
      <w:r w:rsidR="00B01CA6" w:rsidRPr="00A945B1">
        <w:tab/>
      </w:r>
      <w:r w:rsidR="00B01CA6" w:rsidRPr="00A945B1">
        <w:tab/>
      </w:r>
      <w:r w:rsidR="00B01CA6" w:rsidRPr="00A945B1">
        <w:tab/>
      </w:r>
      <w:r w:rsidR="000A3E1C" w:rsidRPr="00A945B1">
        <w:t>(15)</w:t>
      </w:r>
    </w:p>
    <w:p w:rsidR="00064299" w:rsidRDefault="007E7BA4" w:rsidP="005A5D93">
      <w:pPr>
        <w:pStyle w:val="equationAlignNum"/>
        <w:spacing w:line="360" w:lineRule="auto"/>
        <w:jc w:val="right"/>
      </w:pPr>
      <m:oMath>
        <m:r>
          <w:rPr>
            <w:rFonts w:ascii="Cambria Math" w:hAnsi="Cambria Math"/>
          </w:rPr>
          <m:t>Var[</m:t>
        </m:r>
        <m:nary>
          <m:naryPr>
            <m:chr m:val="∑"/>
            <m:limLoc m:val="undOvr"/>
            <m:ctrlPr>
              <w:rPr>
                <w:rFonts w:ascii="Cambria Math" w:hAnsi="Cambria Math"/>
                <w:i/>
              </w:rPr>
            </m:ctrlPr>
          </m:naryPr>
          <m:sub>
            <m:r>
              <w:rPr>
                <w:rFonts w:ascii="Cambria Math" w:hAnsi="Cambria Math"/>
              </w:rPr>
              <m:t>k=1</m:t>
            </m:r>
          </m:sub>
          <m:sup>
            <m:sSub>
              <m:sSubPr>
                <m:ctrlPr>
                  <w:rPr>
                    <w:rFonts w:ascii="Cambria Math" w:hAnsi="Cambria Math"/>
                    <w:i/>
                  </w:rPr>
                </m:ctrlPr>
              </m:sSubPr>
              <m:e>
                <m:r>
                  <w:rPr>
                    <w:rFonts w:ascii="Cambria Math" w:hAnsi="Cambria Math"/>
                  </w:rPr>
                  <m:t>n</m:t>
                </m:r>
              </m:e>
              <m:sub>
                <m:r>
                  <w:rPr>
                    <w:rFonts w:ascii="Cambria Math" w:hAnsi="Cambria Math"/>
                  </w:rPr>
                  <m:t>t</m:t>
                </m:r>
              </m:sub>
            </m:sSub>
          </m:sup>
          <m:e>
            <m:sSub>
              <m:sSubPr>
                <m:ctrlPr>
                  <w:rPr>
                    <w:rFonts w:ascii="Cambria Math" w:hAnsi="Cambria Math"/>
                    <w:i/>
                  </w:rPr>
                </m:ctrlPr>
              </m:sSubPr>
              <m:e>
                <m:r>
                  <w:rPr>
                    <w:rFonts w:ascii="Cambria Math" w:hAnsi="Cambria Math"/>
                  </w:rPr>
                  <m:t>J</m:t>
                </m:r>
              </m:e>
              <m:sub>
                <m:r>
                  <w:rPr>
                    <w:rFonts w:ascii="Cambria Math" w:hAnsi="Cambria Math"/>
                  </w:rPr>
                  <m:t>t,k</m:t>
                </m:r>
              </m:sub>
            </m:sSub>
            <m:d>
              <m:dPr>
                <m:begChr m:val="|"/>
                <m:endChr m:val="]"/>
                <m:ctrlPr>
                  <w:rPr>
                    <w:rFonts w:ascii="Cambria Math" w:hAnsi="Cambria Math"/>
                    <w:i/>
                  </w:rPr>
                </m:ctrlPr>
              </m:dPr>
              <m:e>
                <m:sSub>
                  <m:sSubPr>
                    <m:ctrlPr>
                      <w:rPr>
                        <w:rFonts w:ascii="Cambria Math" w:hAnsi="Cambria Math"/>
                        <w:i/>
                      </w:rPr>
                    </m:ctrlPr>
                  </m:sSubPr>
                  <m:e>
                    <m:r>
                      <m:rPr>
                        <m:sty m:val="p"/>
                      </m:rPr>
                      <w:rPr>
                        <w:rFonts w:ascii="Cambria Math" w:hAnsi="Cambria Math"/>
                      </w:rPr>
                      <m:t>Φ</m:t>
                    </m:r>
                  </m:e>
                  <m:sub>
                    <m:r>
                      <w:rPr>
                        <w:rFonts w:ascii="Cambria Math" w:hAnsi="Cambria Math"/>
                      </w:rPr>
                      <m:t>t-1</m:t>
                    </m:r>
                  </m:sub>
                </m:sSub>
              </m:e>
            </m:d>
            <m:r>
              <w:rPr>
                <w:rFonts w:ascii="Cambria Math" w:hAnsi="Cambria Math"/>
              </w:rPr>
              <m:t>=(</m:t>
            </m:r>
            <m:sSubSup>
              <m:sSubSupPr>
                <m:ctrlPr>
                  <w:rPr>
                    <w:rFonts w:ascii="Cambria Math" w:hAnsi="Cambria Math"/>
                    <w:i/>
                  </w:rPr>
                </m:ctrlPr>
              </m:sSubSupPr>
              <m:e>
                <m:r>
                  <w:rPr>
                    <w:rFonts w:ascii="Cambria Math" w:hAnsi="Cambria Math"/>
                  </w:rPr>
                  <m:t>δ</m:t>
                </m:r>
              </m:e>
              <m:sub>
                <m:r>
                  <w:rPr>
                    <w:rFonts w:ascii="Cambria Math" w:hAnsi="Cambria Math"/>
                  </w:rPr>
                  <m:t>t</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θ</m:t>
                </m:r>
              </m:e>
              <m:sub>
                <m:r>
                  <w:rPr>
                    <w:rFonts w:ascii="Cambria Math" w:hAnsi="Cambria Math"/>
                  </w:rPr>
                  <m:t>t</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t</m:t>
                </m:r>
              </m:sub>
            </m:sSub>
          </m:e>
        </m:nary>
        <m:r>
          <w:rPr>
            <w:rFonts w:ascii="Cambria Math" w:hAnsi="Cambria Math"/>
          </w:rPr>
          <m:t>,</m:t>
        </m:r>
      </m:oMath>
      <w:r w:rsidRPr="00A945B1">
        <w:tab/>
      </w:r>
      <w:r w:rsidR="00B01CA6" w:rsidRPr="00A945B1">
        <w:tab/>
      </w:r>
      <w:r w:rsidR="00B01CA6" w:rsidRPr="00A945B1">
        <w:tab/>
      </w:r>
      <w:r w:rsidR="00B01CA6" w:rsidRPr="00A945B1">
        <w:tab/>
      </w:r>
      <w:r w:rsidR="000A3E1C" w:rsidRPr="00A945B1">
        <w:t>(16)</w:t>
      </w:r>
    </w:p>
    <w:p w:rsidR="00F13AA2" w:rsidRPr="00F13AA2" w:rsidRDefault="00F13AA2" w:rsidP="00F13AA2">
      <w:pPr>
        <w:pStyle w:val="SemEspaamento"/>
      </w:pPr>
    </w:p>
    <w:p w:rsidR="00064299" w:rsidRDefault="000A3E1C" w:rsidP="00F13AA2">
      <w:pPr>
        <w:spacing w:line="360" w:lineRule="auto"/>
      </w:pPr>
      <w:r w:rsidRPr="00A945B1">
        <w:t xml:space="preserve">então a média e a variância condicional dos </w:t>
      </w:r>
      <w:r w:rsidR="00F13AA2">
        <w:t>quatro modelos propostos serão:</w:t>
      </w:r>
    </w:p>
    <w:p w:rsidR="00F13AA2" w:rsidRPr="00A945B1" w:rsidRDefault="00F13AA2" w:rsidP="00F13AA2">
      <w:pPr>
        <w:pStyle w:val="SemEspaamento"/>
      </w:pPr>
    </w:p>
    <w:p w:rsidR="00064299" w:rsidRPr="00A945B1" w:rsidRDefault="00935653" w:rsidP="005A5D93">
      <w:pPr>
        <w:pStyle w:val="equationAlignNum"/>
        <w:spacing w:line="360" w:lineRule="auto"/>
        <w:jc w:val="right"/>
      </w:pPr>
      <m:oMath>
        <m:r>
          <w:rPr>
            <w:rFonts w:ascii="Cambria Math" w:hAnsi="Cambria Math"/>
          </w:rPr>
          <m:t>E[</m:t>
        </m:r>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sSub>
          <m:sSubPr>
            <m:ctrlPr>
              <w:rPr>
                <w:rFonts w:ascii="Cambria Math" w:hAnsi="Cambria Math"/>
                <w:i/>
              </w:rPr>
            </m:ctrlPr>
          </m:sSubPr>
          <m:e>
            <m:r>
              <m:rPr>
                <m:sty m:val="p"/>
              </m:rPr>
              <w:rPr>
                <w:rFonts w:ascii="Cambria Math" w:hAnsi="Cambria Math"/>
              </w:rPr>
              <m:t>Φ</m:t>
            </m:r>
          </m:e>
          <m:sub>
            <m:r>
              <w:rPr>
                <w:rFonts w:ascii="Cambria Math" w:hAnsi="Cambria Math"/>
              </w:rPr>
              <m:t>t-1</m:t>
            </m:r>
          </m:sub>
        </m:sSub>
        <m:r>
          <w:rPr>
            <w:rFonts w:ascii="Cambria Math" w:hAnsi="Cambria Math"/>
          </w:rPr>
          <m:t>]=μ+</m:t>
        </m:r>
        <m:nary>
          <m:naryPr>
            <m:chr m:val="∑"/>
            <m:limLoc m:val="undOvr"/>
            <m:ctrlPr>
              <w:rPr>
                <w:rFonts w:ascii="Cambria Math" w:hAnsi="Cambria Math"/>
                <w:i/>
              </w:rPr>
            </m:ctrlPr>
          </m:naryPr>
          <m:sub>
            <m:r>
              <w:rPr>
                <w:rFonts w:ascii="Cambria Math" w:hAnsi="Cambria Math"/>
              </w:rPr>
              <m:t>i=1</m:t>
            </m:r>
          </m:sub>
          <m:sup>
            <m:r>
              <w:rPr>
                <w:rFonts w:ascii="Cambria Math" w:hAnsi="Cambria Math"/>
              </w:rPr>
              <m:t>l</m:t>
            </m:r>
          </m:sup>
          <m:e>
            <m:sSub>
              <m:sSubPr>
                <m:ctrlPr>
                  <w:rPr>
                    <w:rFonts w:ascii="Cambria Math" w:hAnsi="Cambria Math"/>
                    <w:i/>
                  </w:rPr>
                </m:ctrlPr>
              </m:sSubPr>
              <m:e>
                <m:r>
                  <w:rPr>
                    <w:rFonts w:ascii="Cambria Math" w:hAnsi="Cambria Math"/>
                  </w:rPr>
                  <m:t>ϕ</m:t>
                </m:r>
              </m:e>
              <m:sub>
                <m:r>
                  <w:rPr>
                    <w:rFonts w:ascii="Cambria Math" w:hAnsi="Cambria Math"/>
                  </w:rPr>
                  <m:t>i</m:t>
                </m:r>
              </m:sub>
            </m:sSub>
            <m:sSub>
              <m:sSubPr>
                <m:ctrlPr>
                  <w:rPr>
                    <w:rFonts w:ascii="Cambria Math" w:hAnsi="Cambria Math"/>
                    <w:i/>
                  </w:rPr>
                </m:ctrlPr>
              </m:sSubPr>
              <m:e>
                <m:r>
                  <w:rPr>
                    <w:rFonts w:ascii="Cambria Math" w:hAnsi="Cambria Math"/>
                  </w:rPr>
                  <m:t>R</m:t>
                </m:r>
              </m:e>
              <m:sub>
                <m:r>
                  <w:rPr>
                    <w:rFonts w:ascii="Cambria Math" w:hAnsi="Cambria Math"/>
                  </w:rPr>
                  <m:t>t-i</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t</m:t>
                </m:r>
              </m:sub>
            </m:sSub>
            <m:sSub>
              <m:sSubPr>
                <m:ctrlPr>
                  <w:rPr>
                    <w:rFonts w:ascii="Cambria Math" w:hAnsi="Cambria Math"/>
                    <w:i/>
                  </w:rPr>
                </m:ctrlPr>
              </m:sSubPr>
              <m:e>
                <m:r>
                  <w:rPr>
                    <w:rFonts w:ascii="Cambria Math" w:hAnsi="Cambria Math"/>
                  </w:rPr>
                  <m:t>λ</m:t>
                </m:r>
              </m:e>
              <m:sub>
                <m:r>
                  <w:rPr>
                    <w:rFonts w:ascii="Cambria Math" w:hAnsi="Cambria Math"/>
                  </w:rPr>
                  <m:t>t</m:t>
                </m:r>
              </m:sub>
            </m:sSub>
          </m:e>
        </m:nary>
        <m:r>
          <w:rPr>
            <w:rFonts w:ascii="Cambria Math" w:hAnsi="Cambria Math"/>
          </w:rPr>
          <m:t>,</m:t>
        </m:r>
      </m:oMath>
      <w:r w:rsidR="00EF5164">
        <w:t xml:space="preserve"> e</w:t>
      </w:r>
      <w:r w:rsidRPr="00A945B1">
        <w:tab/>
      </w:r>
      <w:r w:rsidR="00B01CA6" w:rsidRPr="00A945B1">
        <w:tab/>
      </w:r>
      <w:r w:rsidR="00B01CA6" w:rsidRPr="00A945B1">
        <w:tab/>
      </w:r>
      <w:r w:rsidR="000A3E1C" w:rsidRPr="00A945B1">
        <w:t>(17)</w:t>
      </w:r>
    </w:p>
    <w:p w:rsidR="00064299" w:rsidRDefault="00935653" w:rsidP="005A5D93">
      <w:pPr>
        <w:pStyle w:val="equationAlignNum"/>
        <w:spacing w:line="360" w:lineRule="auto"/>
        <w:jc w:val="right"/>
      </w:pPr>
      <m:oMath>
        <m:r>
          <w:rPr>
            <w:rFonts w:ascii="Cambria Math" w:hAnsi="Cambria Math"/>
          </w:rPr>
          <m:t>Var</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sSub>
              <m:sSubPr>
                <m:ctrlPr>
                  <w:rPr>
                    <w:rFonts w:ascii="Cambria Math" w:hAnsi="Cambria Math"/>
                    <w:i/>
                  </w:rPr>
                </m:ctrlPr>
              </m:sSubPr>
              <m:e>
                <m:r>
                  <m:rPr>
                    <m:sty m:val="p"/>
                  </m:rPr>
                  <w:rPr>
                    <w:rFonts w:ascii="Cambria Math" w:hAnsi="Cambria Math"/>
                  </w:rPr>
                  <m:t>Φ</m:t>
                </m:r>
              </m:e>
              <m:sub>
                <m:r>
                  <w:rPr>
                    <w:rFonts w:ascii="Cambria Math" w:hAnsi="Cambria Math"/>
                  </w:rPr>
                  <m:t>t-1</m:t>
                </m:r>
              </m:sub>
            </m:sSub>
          </m:e>
        </m:d>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t</m:t>
            </m:r>
          </m:sub>
        </m:sSub>
        <m:r>
          <w:rPr>
            <w:rFonts w:ascii="Cambria Math" w:hAnsi="Cambria Math"/>
          </w:rPr>
          <m:t>+</m:t>
        </m:r>
        <m:d>
          <m:dPr>
            <m:ctrlPr>
              <w:rPr>
                <w:rFonts w:ascii="Cambria Math" w:hAnsi="Cambria Math"/>
                <w:i/>
              </w:rPr>
            </m:ctrlPr>
          </m:dPr>
          <m:e>
            <m:sSubSup>
              <m:sSubSupPr>
                <m:ctrlPr>
                  <w:rPr>
                    <w:rFonts w:ascii="Cambria Math" w:hAnsi="Cambria Math"/>
                    <w:i/>
                  </w:rPr>
                </m:ctrlPr>
              </m:sSubSupPr>
              <m:e>
                <m:r>
                  <w:rPr>
                    <w:rFonts w:ascii="Cambria Math" w:hAnsi="Cambria Math"/>
                  </w:rPr>
                  <m:t>δ</m:t>
                </m:r>
              </m:e>
              <m:sub>
                <m:r>
                  <w:rPr>
                    <w:rFonts w:ascii="Cambria Math" w:hAnsi="Cambria Math"/>
                  </w:rPr>
                  <m:t>t</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θ</m:t>
                </m:r>
              </m:e>
              <m:sub>
                <m:r>
                  <w:rPr>
                    <w:rFonts w:ascii="Cambria Math" w:hAnsi="Cambria Math"/>
                  </w:rPr>
                  <m:t>t</m:t>
                </m:r>
              </m:sub>
              <m:sup>
                <m:r>
                  <w:rPr>
                    <w:rFonts w:ascii="Cambria Math" w:hAnsi="Cambria Math"/>
                  </w:rPr>
                  <m:t>2</m:t>
                </m:r>
              </m:sup>
            </m:sSubSup>
          </m:e>
        </m:d>
        <m:sSub>
          <m:sSubPr>
            <m:ctrlPr>
              <w:rPr>
                <w:rFonts w:ascii="Cambria Math" w:hAnsi="Cambria Math"/>
                <w:i/>
              </w:rPr>
            </m:ctrlPr>
          </m:sSubPr>
          <m:e>
            <m:r>
              <w:rPr>
                <w:rFonts w:ascii="Cambria Math" w:hAnsi="Cambria Math"/>
              </w:rPr>
              <m:t>λ</m:t>
            </m:r>
          </m:e>
          <m:sub>
            <m:r>
              <w:rPr>
                <w:rFonts w:ascii="Cambria Math" w:hAnsi="Cambria Math"/>
              </w:rPr>
              <m:t>t</m:t>
            </m:r>
          </m:sub>
        </m:sSub>
        <m:r>
          <w:rPr>
            <w:rFonts w:ascii="Cambria Math" w:hAnsi="Cambria Math"/>
          </w:rPr>
          <m:t xml:space="preserve">, </m:t>
        </m:r>
      </m:oMath>
      <w:r w:rsidRPr="00A945B1">
        <w:tab/>
      </w:r>
      <w:r w:rsidR="00B01CA6" w:rsidRPr="00A945B1">
        <w:tab/>
      </w:r>
      <w:r w:rsidR="00B01CA6" w:rsidRPr="00A945B1">
        <w:tab/>
      </w:r>
      <w:r w:rsidR="00B01CA6" w:rsidRPr="00A945B1">
        <w:tab/>
      </w:r>
      <w:r w:rsidR="000A3E1C" w:rsidRPr="00A945B1">
        <w:t>(18)</w:t>
      </w:r>
    </w:p>
    <w:p w:rsidR="00F13AA2" w:rsidRPr="00F13AA2" w:rsidRDefault="00F13AA2" w:rsidP="00F13AA2">
      <w:pPr>
        <w:pStyle w:val="SemEspaamento"/>
      </w:pPr>
    </w:p>
    <w:p w:rsidR="00064299" w:rsidRDefault="000A3E1C" w:rsidP="002E2600">
      <w:pPr>
        <w:spacing w:line="360" w:lineRule="auto"/>
      </w:pPr>
      <w:r w:rsidRPr="00A945B1">
        <w:t xml:space="preserve">sendo que em cada modelo, a dinâmica de </w:t>
      </w:r>
      <m:oMath>
        <m:sSub>
          <m:sSubPr>
            <m:ctrlPr>
              <w:rPr>
                <w:rFonts w:ascii="Cambria Math" w:hAnsi="Cambria Math"/>
                <w:i/>
              </w:rPr>
            </m:ctrlPr>
          </m:sSubPr>
          <m:e>
            <m:r>
              <w:rPr>
                <w:rFonts w:ascii="Cambria Math" w:hAnsi="Cambria Math"/>
              </w:rPr>
              <m:t>λ</m:t>
            </m:r>
          </m:e>
          <m:sub>
            <m:r>
              <w:rPr>
                <w:rFonts w:ascii="Cambria Math" w:hAnsi="Cambria Math"/>
              </w:rPr>
              <m:t>t</m:t>
            </m:r>
          </m:sub>
        </m:sSub>
      </m:oMath>
      <w:r w:rsidRPr="00A945B1">
        <w:t xml:space="preserve">, </w:t>
      </w:r>
      <m:oMath>
        <m:sSub>
          <m:sSubPr>
            <m:ctrlPr>
              <w:rPr>
                <w:rFonts w:ascii="Cambria Math" w:hAnsi="Cambria Math"/>
                <w:i/>
              </w:rPr>
            </m:ctrlPr>
          </m:sSubPr>
          <m:e>
            <m:r>
              <w:rPr>
                <w:rFonts w:ascii="Cambria Math" w:hAnsi="Cambria Math"/>
              </w:rPr>
              <m:t>θ</m:t>
            </m:r>
          </m:e>
          <m:sub>
            <m:r>
              <w:rPr>
                <w:rFonts w:ascii="Cambria Math" w:hAnsi="Cambria Math"/>
              </w:rPr>
              <m:t>t</m:t>
            </m:r>
          </m:sub>
        </m:sSub>
      </m:oMath>
      <w:r w:rsidRPr="00A945B1">
        <w:t xml:space="preserve"> e </w:t>
      </w:r>
      <m:oMath>
        <m:sSub>
          <m:sSubPr>
            <m:ctrlPr>
              <w:rPr>
                <w:rFonts w:ascii="Cambria Math" w:hAnsi="Cambria Math"/>
                <w:i/>
              </w:rPr>
            </m:ctrlPr>
          </m:sSubPr>
          <m:e>
            <m:r>
              <w:rPr>
                <w:rFonts w:ascii="Cambria Math" w:hAnsi="Cambria Math"/>
              </w:rPr>
              <m:t>δ</m:t>
            </m:r>
          </m:e>
          <m:sub>
            <m:r>
              <w:rPr>
                <w:rFonts w:ascii="Cambria Math" w:hAnsi="Cambria Math"/>
              </w:rPr>
              <m:t>t</m:t>
            </m:r>
          </m:sub>
        </m:sSub>
      </m:oMath>
      <w:r w:rsidRPr="00A945B1">
        <w:t xml:space="preserve"> definirá os valores dos momentos condicionais. Note que a variância condicional será uma função crescente da intensidade dos saltos, enquanto a média condicional das variações na taxa de câmbio poderá ser uma função crescente ou decrescente dos saltos, dependendo se </w:t>
      </w:r>
      <m:oMath>
        <m:sSub>
          <m:sSubPr>
            <m:ctrlPr>
              <w:rPr>
                <w:rFonts w:ascii="Cambria Math" w:hAnsi="Cambria Math"/>
                <w:i/>
              </w:rPr>
            </m:ctrlPr>
          </m:sSubPr>
          <m:e>
            <m:r>
              <w:rPr>
                <w:rFonts w:ascii="Cambria Math" w:hAnsi="Cambria Math"/>
              </w:rPr>
              <m:t>θ</m:t>
            </m:r>
          </m:e>
          <m:sub>
            <m:r>
              <w:rPr>
                <w:rFonts w:ascii="Cambria Math" w:hAnsi="Cambria Math"/>
              </w:rPr>
              <m:t>t</m:t>
            </m:r>
          </m:sub>
        </m:sSub>
      </m:oMath>
      <w:r w:rsidR="00B01CA6" w:rsidRPr="00A945B1">
        <w:t xml:space="preserve"> </w:t>
      </w:r>
      <w:r w:rsidRPr="00A945B1">
        <w:t>é positivo ou negativo.</w:t>
      </w:r>
    </w:p>
    <w:p w:rsidR="00EF5164" w:rsidRPr="00A945B1" w:rsidRDefault="00EF5164" w:rsidP="002E2600">
      <w:pPr>
        <w:spacing w:line="360" w:lineRule="auto"/>
      </w:pPr>
    </w:p>
    <w:p w:rsidR="00064299" w:rsidRPr="0021130F" w:rsidRDefault="0021130F" w:rsidP="0021130F">
      <w:pPr>
        <w:pStyle w:val="PargrafodaLista"/>
        <w:numPr>
          <w:ilvl w:val="1"/>
          <w:numId w:val="1"/>
        </w:numPr>
        <w:spacing w:line="360" w:lineRule="auto"/>
        <w:rPr>
          <w:b/>
        </w:rPr>
      </w:pPr>
      <w:r>
        <w:rPr>
          <w:b/>
        </w:rPr>
        <w:lastRenderedPageBreak/>
        <w:t xml:space="preserve"> </w:t>
      </w:r>
      <w:r w:rsidR="000A3E1C" w:rsidRPr="0021130F">
        <w:rPr>
          <w:b/>
        </w:rPr>
        <w:t>Interpretação dos modelos</w:t>
      </w:r>
      <w:bookmarkStart w:id="14" w:name="BMsec_interp"/>
      <w:bookmarkEnd w:id="14"/>
    </w:p>
    <w:p w:rsidR="00F13AA2" w:rsidRDefault="00F13AA2" w:rsidP="00B01CA6">
      <w:pPr>
        <w:spacing w:line="360" w:lineRule="auto"/>
        <w:ind w:firstLine="360"/>
      </w:pPr>
    </w:p>
    <w:p w:rsidR="00064299" w:rsidRPr="00E37396" w:rsidRDefault="000A3E1C" w:rsidP="00B01CA6">
      <w:pPr>
        <w:spacing w:line="360" w:lineRule="auto"/>
        <w:ind w:firstLine="360"/>
      </w:pPr>
      <w:r w:rsidRPr="00E37396">
        <w:t>A probabilidade da ocorrência de saltos discretos no mercado cambial pode mudar consideravelmente no tempo, devido a chegada de novos eventos e intervenções, sendo que a dinâmica descrita pela intensidade dos saltos na equação (</w:t>
      </w:r>
      <w:fldSimple w:instr="REF BMequ_arji_lambda \* MERGEFORMAT ">
        <w:r w:rsidR="00C70689" w:rsidRPr="00A945B1">
          <w:t>6</w:t>
        </w:r>
      </w:fldSimple>
      <w:r w:rsidRPr="00E37396">
        <w:t>) captura mudanças sistemáticas na quantidade média de saltos por período.</w:t>
      </w:r>
    </w:p>
    <w:p w:rsidR="00064299" w:rsidRPr="00E37396" w:rsidRDefault="000A3E1C" w:rsidP="00B01CA6">
      <w:pPr>
        <w:spacing w:line="360" w:lineRule="auto"/>
        <w:ind w:firstLine="360"/>
      </w:pPr>
      <w:r w:rsidRPr="00E37396">
        <w:t xml:space="preserve">Enquanto os parâmetros </w:t>
      </w:r>
      <m:oMath>
        <m:sSub>
          <m:sSubPr>
            <m:ctrlPr>
              <w:rPr>
                <w:rFonts w:ascii="Cambria Math" w:hAnsi="Cambria Math"/>
                <w:i/>
              </w:rPr>
            </m:ctrlPr>
          </m:sSubPr>
          <m:e>
            <m:r>
              <w:rPr>
                <w:rFonts w:ascii="Cambria Math" w:hAnsi="Cambria Math"/>
              </w:rPr>
              <m:t>ρ</m:t>
            </m:r>
          </m:e>
          <m:sub>
            <m:r>
              <w:rPr>
                <w:rFonts w:ascii="Cambria Math" w:hAnsi="Cambria Math"/>
              </w:rPr>
              <m:t>i</m:t>
            </m:r>
          </m:sub>
        </m:sSub>
      </m:oMath>
      <w:r w:rsidRPr="00E37396">
        <w:t xml:space="preserve"> medem a persistência do aparecimento de saltos, os parâmetros </w:t>
      </w:r>
      <m:oMath>
        <m:sSub>
          <m:sSubPr>
            <m:ctrlPr>
              <w:rPr>
                <w:rFonts w:ascii="Cambria Math" w:hAnsi="Cambria Math"/>
                <w:i/>
              </w:rPr>
            </m:ctrlPr>
          </m:sSubPr>
          <m:e>
            <m:r>
              <w:rPr>
                <w:rFonts w:ascii="Cambria Math" w:hAnsi="Cambria Math"/>
              </w:rPr>
              <m:t>γ</m:t>
            </m:r>
          </m:e>
          <m:sub>
            <m:r>
              <w:rPr>
                <w:rFonts w:ascii="Cambria Math" w:hAnsi="Cambria Math"/>
              </w:rPr>
              <m:t>i</m:t>
            </m:r>
          </m:sub>
        </m:sSub>
      </m:oMath>
      <w:r w:rsidRPr="00E37396">
        <w:t xml:space="preserve"> medem a sensibilidade em relação aos resíduos passados expressos por </w:t>
      </w:r>
      <m:oMath>
        <m:sSub>
          <m:sSubPr>
            <m:ctrlPr>
              <w:rPr>
                <w:rFonts w:ascii="Cambria Math" w:hAnsi="Cambria Math"/>
                <w:i/>
              </w:rPr>
            </m:ctrlPr>
          </m:sSubPr>
          <m:e>
            <m:r>
              <w:rPr>
                <w:rFonts w:ascii="Cambria Math" w:hAnsi="Cambria Math"/>
              </w:rPr>
              <m:t>ξ</m:t>
            </m:r>
          </m:e>
          <m:sub>
            <m:r>
              <w:rPr>
                <w:rFonts w:ascii="Cambria Math" w:hAnsi="Cambria Math"/>
              </w:rPr>
              <m:t>t</m:t>
            </m:r>
          </m:sub>
        </m:sSub>
      </m:oMath>
      <w:r w:rsidRPr="00E37396">
        <w:t xml:space="preserve">. No caso em que </w:t>
      </w:r>
      <m:oMath>
        <m:sSub>
          <m:sSubPr>
            <m:ctrlPr>
              <w:rPr>
                <w:rFonts w:ascii="Cambria Math" w:hAnsi="Cambria Math"/>
                <w:i/>
              </w:rPr>
            </m:ctrlPr>
          </m:sSubPr>
          <m:e>
            <m:r>
              <w:rPr>
                <w:rFonts w:ascii="Cambria Math" w:hAnsi="Cambria Math"/>
              </w:rPr>
              <m:t>ξ</m:t>
            </m:r>
          </m:e>
          <m:sub>
            <m:r>
              <w:rPr>
                <w:rFonts w:ascii="Cambria Math" w:hAnsi="Cambria Math"/>
              </w:rPr>
              <m:t>t</m:t>
            </m:r>
          </m:sub>
        </m:sSub>
        <m:r>
          <w:rPr>
            <w:rFonts w:ascii="Cambria Math" w:hAnsi="Cambria Math"/>
          </w:rPr>
          <m:t>&gt;0</m:t>
        </m:r>
      </m:oMath>
      <w:r w:rsidRPr="00E37396">
        <w:t xml:space="preserve"> para vários períodos, então a intensidade dos saltos desvia-se consideravelmente da média incondicional do número de saltos expressa na equação (</w:t>
      </w:r>
      <w:fldSimple w:instr="REF BMequ_media_inc \* MERGEFORMAT ">
        <w:r w:rsidR="00C70689" w:rsidRPr="00A945B1">
          <w:t>10</w:t>
        </w:r>
      </w:fldSimple>
      <w:r w:rsidRPr="00E37396">
        <w:t>).</w:t>
      </w:r>
    </w:p>
    <w:p w:rsidR="00064299" w:rsidRPr="00E37396" w:rsidRDefault="000A3E1C" w:rsidP="00B01CA6">
      <w:pPr>
        <w:spacing w:line="360" w:lineRule="auto"/>
        <w:ind w:firstLine="360"/>
      </w:pPr>
      <w:r w:rsidRPr="00E37396">
        <w:t xml:space="preserve">Por outro lado, o tamanho do salto, </w:t>
      </w:r>
      <m:oMath>
        <m:sSub>
          <m:sSubPr>
            <m:ctrlPr>
              <w:rPr>
                <w:rFonts w:ascii="Cambria Math" w:hAnsi="Cambria Math"/>
                <w:i/>
              </w:rPr>
            </m:ctrlPr>
          </m:sSubPr>
          <m:e>
            <m:r>
              <w:rPr>
                <w:rFonts w:ascii="Cambria Math" w:hAnsi="Cambria Math"/>
              </w:rPr>
              <m:t>J</m:t>
            </m:r>
          </m:e>
          <m:sub>
            <m:r>
              <w:rPr>
                <w:rFonts w:ascii="Cambria Math" w:hAnsi="Cambria Math"/>
              </w:rPr>
              <m:t>t,k</m:t>
            </m:r>
          </m:sub>
        </m:sSub>
      </m:oMath>
      <w:r w:rsidRPr="00E37396">
        <w:t>, é definido pelos parâmetros de sua distribuição,</w:t>
      </w:r>
      <w:r w:rsidR="00F13AA2">
        <w:t xml:space="preserve"> </w:t>
      </w:r>
      <m:oMath>
        <m:sSub>
          <m:sSubPr>
            <m:ctrlPr>
              <w:rPr>
                <w:rFonts w:ascii="Cambria Math" w:hAnsi="Cambria Math"/>
                <w:i/>
              </w:rPr>
            </m:ctrlPr>
          </m:sSubPr>
          <m:e>
            <m:r>
              <w:rPr>
                <w:rFonts w:ascii="Cambria Math" w:hAnsi="Cambria Math"/>
              </w:rPr>
              <m:t>θ</m:t>
            </m:r>
          </m:e>
          <m:sub>
            <m:r>
              <w:rPr>
                <w:rFonts w:ascii="Cambria Math" w:hAnsi="Cambria Math"/>
              </w:rPr>
              <m:t>t</m:t>
            </m:r>
          </m:sub>
        </m:sSub>
        <m:r>
          <w:rPr>
            <w:rFonts w:ascii="Cambria Math" w:hAnsi="Cambria Math"/>
          </w:rPr>
          <m:t xml:space="preserve"> </m:t>
        </m:r>
      </m:oMath>
      <w:r w:rsidRPr="00E37396">
        <w:t>e</w:t>
      </w:r>
      <w:r w:rsidR="00B01CA6" w:rsidRPr="00E37396">
        <w:t xml:space="preserve"> </w:t>
      </w:r>
      <m:oMath>
        <m:sSubSup>
          <m:sSubSupPr>
            <m:ctrlPr>
              <w:rPr>
                <w:rFonts w:ascii="Cambria Math" w:hAnsi="Cambria Math"/>
                <w:i/>
              </w:rPr>
            </m:ctrlPr>
          </m:sSubSupPr>
          <m:e>
            <m:r>
              <w:rPr>
                <w:rFonts w:ascii="Cambria Math" w:hAnsi="Cambria Math"/>
              </w:rPr>
              <m:t>δ</m:t>
            </m:r>
          </m:e>
          <m:sub>
            <m:r>
              <w:rPr>
                <w:rFonts w:ascii="Cambria Math" w:hAnsi="Cambria Math"/>
              </w:rPr>
              <m:t>t</m:t>
            </m:r>
          </m:sub>
          <m:sup>
            <m:r>
              <w:rPr>
                <w:rFonts w:ascii="Cambria Math" w:hAnsi="Cambria Math"/>
              </w:rPr>
              <m:t>2</m:t>
            </m:r>
          </m:sup>
        </m:sSubSup>
        <m:r>
          <w:rPr>
            <w:rFonts w:ascii="Cambria Math" w:hAnsi="Cambria Math"/>
          </w:rPr>
          <m:t>.</m:t>
        </m:r>
      </m:oMath>
      <w:r w:rsidRPr="00E37396">
        <w:t xml:space="preserve"> A especificação da média condicional do tamanho dos saltos descrita na equação</w:t>
      </w:r>
      <w:r w:rsidR="00B01CA6" w:rsidRPr="00E37396">
        <w:t xml:space="preserve"> (12)</w:t>
      </w:r>
      <w:r w:rsidRPr="00E37396">
        <w:t xml:space="preserve"> permite a presença de assimetria, sendo que se </w:t>
      </w:r>
      <m:oMath>
        <m:sSub>
          <m:sSubPr>
            <m:ctrlPr>
              <w:rPr>
                <w:rFonts w:ascii="Cambria Math" w:hAnsi="Cambria Math"/>
                <w:i/>
              </w:rPr>
            </m:ctrlPr>
          </m:sSubPr>
          <m:e>
            <m:r>
              <w:rPr>
                <w:rFonts w:ascii="Cambria Math" w:hAnsi="Cambria Math"/>
              </w:rPr>
              <m:t>η</m:t>
            </m:r>
          </m:e>
          <m:sub>
            <m:r>
              <w:rPr>
                <w:rFonts w:ascii="Cambria Math" w:hAnsi="Cambria Math"/>
              </w:rPr>
              <m:t>1</m:t>
            </m:r>
          </m:sub>
        </m:sSub>
        <m:r>
          <w:rPr>
            <w:rFonts w:ascii="Cambria Math" w:hAnsi="Cambria Math"/>
          </w:rPr>
          <m:t>&lt;0</m:t>
        </m:r>
      </m:oMath>
      <w:r w:rsidRPr="00E37396">
        <w:t xml:space="preserve">, depreciações cambiais (variações positivas na taxa de câmbio) diminuem a média dos saltos na próxima observação, gerando tendência de apreciação do câmbio. No caso em que </w:t>
      </w:r>
      <m:oMath>
        <m:sSub>
          <m:sSubPr>
            <m:ctrlPr>
              <w:rPr>
                <w:rFonts w:ascii="Cambria Math" w:hAnsi="Cambria Math"/>
                <w:i/>
              </w:rPr>
            </m:ctrlPr>
          </m:sSubPr>
          <m:e>
            <m:r>
              <w:rPr>
                <w:rFonts w:ascii="Cambria Math" w:hAnsi="Cambria Math"/>
              </w:rPr>
              <m:t>η</m:t>
            </m:r>
          </m:e>
          <m:sub>
            <m:r>
              <w:rPr>
                <w:rFonts w:ascii="Cambria Math" w:hAnsi="Cambria Math"/>
              </w:rPr>
              <m:t>2</m:t>
            </m:r>
          </m:sub>
        </m:sSub>
        <m:r>
          <w:rPr>
            <w:rFonts w:ascii="Cambria Math" w:hAnsi="Cambria Math"/>
          </w:rPr>
          <m:t>&lt;0</m:t>
        </m:r>
      </m:oMath>
      <w:r w:rsidRPr="00E37396">
        <w:t>, apreciações cambiais (variações negativas na taxa de câmbio) farão com que a média dos saltos no próximo período seja maior, gerando tendência de depreciação do câmbio. Em ambos os casos, os coeficientes negativos implicam em uma tendência de reversão do sinal dos saltos nas próximas observações. Se esses coeficientes forem positivos, essa assimetria não ocorre.</w:t>
      </w:r>
    </w:p>
    <w:p w:rsidR="00064299" w:rsidRPr="00E37396" w:rsidRDefault="000A3E1C" w:rsidP="002E2600">
      <w:pPr>
        <w:spacing w:line="360" w:lineRule="auto"/>
        <w:ind w:firstLine="360"/>
      </w:pPr>
      <w:r w:rsidRPr="00E37396">
        <w:t xml:space="preserve">É razoável supor que apreciações cambiais são reflexos de fundamentos macroeconômicos e estão associadas a tendências de médio a longo prazo, por isso apresentam um menor grau de reversão no curto prazo. Já depreciações cambiais em países emergentes muitas vezes são reflexos de intervenções no câmbio e geram um grau maior de incerteza. Isso, junto com o fato de que agentes são exageradamente avessos ao risco, tende a fazer com que depreciações cambiais sejam seguidas de momentos de reversão à média. Esses resultados intuitivos ocorrerão no modelo caso o coeficiente </w:t>
      </w:r>
      <m:oMath>
        <m:sSub>
          <m:sSubPr>
            <m:ctrlPr>
              <w:rPr>
                <w:rFonts w:ascii="Cambria Math" w:hAnsi="Cambria Math"/>
                <w:i/>
              </w:rPr>
            </m:ctrlPr>
          </m:sSubPr>
          <m:e>
            <m:r>
              <w:rPr>
                <w:rFonts w:ascii="Cambria Math" w:hAnsi="Cambria Math"/>
              </w:rPr>
              <m:t>η</m:t>
            </m:r>
          </m:e>
          <m:sub>
            <m:r>
              <w:rPr>
                <w:rFonts w:ascii="Cambria Math" w:hAnsi="Cambria Math"/>
              </w:rPr>
              <m:t>1</m:t>
            </m:r>
          </m:sub>
        </m:sSub>
      </m:oMath>
      <w:r w:rsidRPr="00E37396">
        <w:t xml:space="preserve"> seja negativo e </w:t>
      </w:r>
      <m:oMath>
        <m:sSub>
          <m:sSubPr>
            <m:ctrlPr>
              <w:rPr>
                <w:rFonts w:ascii="Cambria Math" w:hAnsi="Cambria Math"/>
                <w:i/>
              </w:rPr>
            </m:ctrlPr>
          </m:sSubPr>
          <m:e>
            <m:r>
              <w:rPr>
                <w:rFonts w:ascii="Cambria Math" w:hAnsi="Cambria Math"/>
              </w:rPr>
              <m:t>η</m:t>
            </m:r>
          </m:e>
          <m:sub>
            <m:r>
              <w:rPr>
                <w:rFonts w:ascii="Cambria Math" w:hAnsi="Cambria Math"/>
              </w:rPr>
              <m:t>2</m:t>
            </m:r>
          </m:sub>
        </m:sSub>
      </m:oMath>
      <w:r w:rsidRPr="00E37396">
        <w:t xml:space="preserve"> positivo.</w:t>
      </w:r>
    </w:p>
    <w:p w:rsidR="00064299" w:rsidRPr="00E37396" w:rsidRDefault="000A3E1C" w:rsidP="002E2600">
      <w:pPr>
        <w:spacing w:line="360" w:lineRule="auto"/>
        <w:ind w:firstLine="360"/>
      </w:pPr>
      <w:r w:rsidRPr="00E37396">
        <w:t>As especificações da variância condicional nas equações (</w:t>
      </w:r>
      <w:fldSimple w:instr="REF BMequ_arji_r \* MERGEFORMAT ">
        <w:r w:rsidR="00C70689" w:rsidRPr="00A945B1">
          <w:t>13</w:t>
        </w:r>
      </w:fldSimple>
      <w:r w:rsidRPr="00E37396">
        <w:t>) e (</w:t>
      </w:r>
      <w:fldSimple w:instr="REF BMequ_arji_h \* MERGEFORMAT ">
        <w:r w:rsidR="00C70689" w:rsidRPr="00A945B1">
          <w:t>14</w:t>
        </w:r>
      </w:fldSimple>
      <w:r w:rsidRPr="00E37396">
        <w:t>) medem a mudança no tamanho dos saltos. Em ambos os casos, permitimos a diminuição do aparecimento de novos saltos, visto que duas ou mais ocorrências no modelo de variância constante podem ser vistas como apenas uma nos modelos em que a variância muda no tempo. Isso acontece porque em momentos de maior volatilidade temos uma variância maior no tamanho dos saltos, fazendo com que um número menor de saltos explique a variação na taxa de câmbio. A segunda especificação, demonstrada na equação (</w:t>
      </w:r>
      <w:fldSimple w:instr="REF BMequ_arji_h \* MERGEFORMAT ">
        <w:r w:rsidR="00C70689" w:rsidRPr="00A945B1">
          <w:t>14</w:t>
        </w:r>
      </w:fldSimple>
      <w:r w:rsidRPr="00E37396">
        <w:t xml:space="preserve">), apresenta uma melhor aproximação, pois a </w:t>
      </w:r>
      <w:r w:rsidRPr="00E37396">
        <w:lastRenderedPageBreak/>
        <w:t xml:space="preserve">volatilidade prevista, </w:t>
      </w:r>
      <m:oMath>
        <m:sSub>
          <m:sSubPr>
            <m:ctrlPr>
              <w:rPr>
                <w:rFonts w:ascii="Cambria Math" w:hAnsi="Cambria Math"/>
                <w:i/>
              </w:rPr>
            </m:ctrlPr>
          </m:sSubPr>
          <m:e>
            <m:r>
              <w:rPr>
                <w:rFonts w:ascii="Cambria Math" w:hAnsi="Cambria Math"/>
              </w:rPr>
              <m:t>h</m:t>
            </m:r>
          </m:e>
          <m:sub>
            <m:r>
              <w:rPr>
                <w:rFonts w:ascii="Cambria Math" w:hAnsi="Cambria Math"/>
              </w:rPr>
              <m:t>t</m:t>
            </m:r>
          </m:sub>
        </m:sSub>
      </m:oMath>
      <w:r w:rsidRPr="00E37396">
        <w:t xml:space="preserve">, contém mais informação do que </w:t>
      </w:r>
      <m:oMath>
        <m:sSubSup>
          <m:sSubSupPr>
            <m:ctrlPr>
              <w:rPr>
                <w:rFonts w:ascii="Cambria Math" w:hAnsi="Cambria Math"/>
                <w:i/>
              </w:rPr>
            </m:ctrlPr>
          </m:sSubSupPr>
          <m:e>
            <m:r>
              <w:rPr>
                <w:rFonts w:ascii="Cambria Math" w:hAnsi="Cambria Math"/>
              </w:rPr>
              <m:t>R</m:t>
            </m:r>
          </m:e>
          <m:sub>
            <m:r>
              <w:rPr>
                <w:rFonts w:ascii="Cambria Math" w:hAnsi="Cambria Math"/>
              </w:rPr>
              <m:t>t-1</m:t>
            </m:r>
          </m:sub>
          <m:sup>
            <m:r>
              <w:rPr>
                <w:rFonts w:ascii="Cambria Math" w:hAnsi="Cambria Math"/>
              </w:rPr>
              <m:t>2</m:t>
            </m:r>
          </m:sup>
        </m:sSubSup>
      </m:oMath>
      <w:r w:rsidRPr="00E37396">
        <w:t xml:space="preserve">, uma mera </w:t>
      </w:r>
      <w:r w:rsidRPr="00E37396">
        <w:rPr>
          <w:i/>
          <w:iCs/>
        </w:rPr>
        <w:t>proxy</w:t>
      </w:r>
      <w:r w:rsidRPr="00E37396">
        <w:t xml:space="preserve"> para a volatilidade no período </w:t>
      </w:r>
      <w:r w:rsidRPr="00E37396">
        <w:rPr>
          <w:i/>
          <w:iCs/>
        </w:rPr>
        <w:t>t</w:t>
      </w:r>
      <w:r w:rsidRPr="00E37396">
        <w:t>. O termo constante das equações (</w:t>
      </w:r>
      <w:fldSimple w:instr="REF BMequ_arji_r \* MERGEFORMAT ">
        <w:r w:rsidR="00C70689" w:rsidRPr="00A945B1">
          <w:t>13</w:t>
        </w:r>
      </w:fldSimple>
      <w:r w:rsidRPr="00E37396">
        <w:t>) e (</w:t>
      </w:r>
      <w:fldSimple w:instr="REF BMequ_arji_h \* MERGEFORMAT ">
        <w:r w:rsidR="00C70689" w:rsidRPr="00A945B1">
          <w:t>14</w:t>
        </w:r>
      </w:fldSimple>
      <w:r w:rsidRPr="00E37396">
        <w:t>) é elevado ao quadrado para impossibilitar a ocorrência de variâncias negativas.</w:t>
      </w:r>
    </w:p>
    <w:p w:rsidR="00064299" w:rsidRDefault="000A3E1C" w:rsidP="002E2600">
      <w:pPr>
        <w:spacing w:line="360" w:lineRule="auto"/>
        <w:ind w:firstLine="360"/>
      </w:pPr>
      <w:r w:rsidRPr="00E37396">
        <w:t>Assim, no modelo exposto pela equação (</w:t>
      </w:r>
      <w:fldSimple w:instr="REF BMequ_arji_mean \* MERGEFORMAT ">
        <w:r w:rsidR="00C70689" w:rsidRPr="00A945B1">
          <w:t>3</w:t>
        </w:r>
      </w:fldSimple>
      <w:r w:rsidRPr="00E37396">
        <w:t xml:space="preserve">), os saltos </w:t>
      </w:r>
      <m:oMath>
        <m:sSub>
          <m:sSubPr>
            <m:ctrlPr>
              <w:rPr>
                <w:rFonts w:ascii="Cambria Math" w:hAnsi="Cambria Math"/>
                <w:i/>
              </w:rPr>
            </m:ctrlPr>
          </m:sSubPr>
          <m:e>
            <m:r>
              <w:rPr>
                <w:rFonts w:ascii="Cambria Math" w:hAnsi="Cambria Math"/>
              </w:rPr>
              <m:t>J</m:t>
            </m:r>
          </m:e>
          <m:sub>
            <m:r>
              <w:rPr>
                <w:rFonts w:ascii="Cambria Math" w:hAnsi="Cambria Math"/>
              </w:rPr>
              <m:t>t,k</m:t>
            </m:r>
          </m:sub>
        </m:sSub>
      </m:oMath>
      <w:r w:rsidRPr="00E37396">
        <w:t xml:space="preserve"> modelam grandes movimentos discretos nas variações da taxa de câmbio, que podem representar a chegada de novos eventos informacionais. Nos modelos desenvolvidos, o número de novos eventos, bem como a média e variância dos movimentos ocasionados pela chegada dessas informações possuem uma estrutura dinâmica.</w:t>
      </w:r>
    </w:p>
    <w:p w:rsidR="00F13AA2" w:rsidRPr="00E37396" w:rsidRDefault="00F13AA2" w:rsidP="002E2600">
      <w:pPr>
        <w:spacing w:line="360" w:lineRule="auto"/>
        <w:ind w:firstLine="360"/>
      </w:pPr>
    </w:p>
    <w:p w:rsidR="00064299" w:rsidRPr="0021130F" w:rsidRDefault="000A3E1C" w:rsidP="0021130F">
      <w:pPr>
        <w:pStyle w:val="PargrafodaLista"/>
        <w:numPr>
          <w:ilvl w:val="0"/>
          <w:numId w:val="1"/>
        </w:numPr>
        <w:spacing w:line="360" w:lineRule="auto"/>
        <w:rPr>
          <w:b/>
        </w:rPr>
      </w:pPr>
      <w:r w:rsidRPr="0021130F">
        <w:rPr>
          <w:b/>
        </w:rPr>
        <w:t>Resultados</w:t>
      </w:r>
    </w:p>
    <w:p w:rsidR="00F13AA2" w:rsidRPr="00F13AA2" w:rsidRDefault="00F13AA2" w:rsidP="00F13AA2">
      <w:pPr>
        <w:spacing w:line="360" w:lineRule="auto"/>
        <w:rPr>
          <w:b/>
        </w:rPr>
      </w:pPr>
    </w:p>
    <w:p w:rsidR="00064299" w:rsidRDefault="000A3E1C" w:rsidP="00935653">
      <w:pPr>
        <w:spacing w:line="360" w:lineRule="auto"/>
        <w:ind w:firstLine="360"/>
      </w:pPr>
      <w:r w:rsidRPr="00E37396">
        <w:t xml:space="preserve">A Tabela </w:t>
      </w:r>
      <w:fldSimple w:instr="REF BMtab_tab2_paper3 \* MERGEFORMAT ">
        <w:r w:rsidR="00C70689" w:rsidRPr="00C70689">
          <w:t>2</w:t>
        </w:r>
      </w:fldSimple>
      <w:r w:rsidRPr="00E37396">
        <w:t xml:space="preserve"> reporta os resultados da estimação dos modelos </w:t>
      </w:r>
      <m:oMath>
        <m:r>
          <w:rPr>
            <w:rFonts w:ascii="Cambria Math" w:hAnsi="Cambria Math"/>
          </w:rPr>
          <m:t>AR(2)</m:t>
        </m:r>
      </m:oMath>
      <w:r w:rsidRPr="00E37396">
        <w:t xml:space="preserve"> com intensidade dos saltos constante, e </w:t>
      </w:r>
      <m:oMath>
        <m:r>
          <w:rPr>
            <w:rFonts w:ascii="Cambria Math" w:hAnsi="Cambria Math"/>
          </w:rPr>
          <m:t>AR(2)-ARJI(1,1)</m:t>
        </m:r>
      </m:oMath>
      <w:r w:rsidRPr="00E37396">
        <w:t xml:space="preserve"> com as três especificações diferentes para os parâmetros da distribuição dos saltos dadas na seção anterior. Para a estimação, multiplicamos as variações da taxa de câmbio extraídas pela equação (</w:t>
      </w:r>
      <w:fldSimple w:instr="REF BMequ_vartxcambio \* MERGEFORMAT ">
        <w:r w:rsidR="00C70689" w:rsidRPr="00375EFF">
          <w:t>1</w:t>
        </w:r>
      </w:fldSimple>
      <w:r w:rsidRPr="00E37396">
        <w:t>) por 100. Os modelos incluem dois coeficientes autorregressivos, número escolhido de acordo com o critério de Akaike, por apresentar maior eficiência do que outros critérios na escolha do número de parâmetros, além de eliminar completamente a correlação entre as observações.</w:t>
      </w:r>
    </w:p>
    <w:p w:rsidR="00F320ED" w:rsidRPr="00E37396" w:rsidRDefault="00F320ED" w:rsidP="00F320ED">
      <w:pPr>
        <w:spacing w:line="360" w:lineRule="auto"/>
        <w:ind w:firstLine="357"/>
      </w:pPr>
      <w:r w:rsidRPr="00AD2257">
        <w:t>Podemos notar que o modelo com a intensidade dos saltos constante é o que apresenta o menor valor máximo da log-verossimilhança, tendo o pior ajuste aos dados, e indicando que a intensidade dos saltos é variante no tempo. Aplicamos o teste modificado d</w:t>
      </w:r>
      <w:r>
        <w:t xml:space="preserve">e Ljung-Box proposto por </w:t>
      </w:r>
      <w:r w:rsidRPr="00AD2257">
        <w:t>West</w:t>
      </w:r>
      <w:r>
        <w:t xml:space="preserve"> e Cho (</w:t>
      </w:r>
      <w:r w:rsidRPr="00AD2257">
        <w:t>1995</w:t>
      </w:r>
      <w:r>
        <w:t xml:space="preserve">) </w:t>
      </w:r>
      <w:r w:rsidRPr="00AD2257">
        <w:t>para avaliar a correta especificação de todos os modelos. Embora os quatro modelos tenham estatisticamente eliminado a correlação serial do quadrado dos resíduos (variância condicional), o modelo com saltos constantes não eliminou completamente a correlação da intensidade dos saltos. Isso indica que podemos melhorar o modelo a</w:t>
      </w:r>
      <w:r>
        <w:t>o incluir uma especificação dinâ</w:t>
      </w:r>
      <w:r w:rsidRPr="00AD2257">
        <w:t>mica para o coeficiente</w:t>
      </w:r>
      <w:r>
        <w:t xml:space="preserve"> </w:t>
      </w:r>
      <m:oMath>
        <m:r>
          <w:rPr>
            <w:rFonts w:ascii="Cambria Math" w:hAnsi="Cambria Math"/>
          </w:rPr>
          <m:t>λ</m:t>
        </m:r>
      </m:oMath>
      <w:r w:rsidRPr="00AD2257">
        <w:t xml:space="preserve">. </w:t>
      </w:r>
      <w:r w:rsidRPr="00E37396">
        <w:t>Por fim, podemos ver pelo valor da log-verossimilhança máxima</w:t>
      </w:r>
      <w:r>
        <w:t xml:space="preserve"> e a significância do parâmetro </w:t>
      </w:r>
      <m:oMath>
        <m:sSub>
          <m:sSubPr>
            <m:ctrlPr>
              <w:rPr>
                <w:rFonts w:ascii="Cambria Math" w:hAnsi="Cambria Math"/>
                <w:i/>
                <w:sz w:val="22"/>
                <w:szCs w:val="22"/>
              </w:rPr>
            </m:ctrlPr>
          </m:sSubPr>
          <m:e>
            <m:r>
              <w:rPr>
                <w:rFonts w:ascii="Cambria Math" w:hAnsi="Cambria Math"/>
                <w:sz w:val="22"/>
                <w:szCs w:val="22"/>
              </w:rPr>
              <m:t>ζ</m:t>
            </m:r>
          </m:e>
          <m:sub>
            <m:r>
              <w:rPr>
                <w:rFonts w:ascii="Cambria Math" w:hAnsi="Cambria Math"/>
                <w:sz w:val="22"/>
                <w:szCs w:val="22"/>
              </w:rPr>
              <m:t>1</m:t>
            </m:r>
          </m:sub>
        </m:sSub>
      </m:oMath>
      <w:r w:rsidRPr="00E37396">
        <w:t>, que o modelo que melhor se ajusta aos dados é o</w:t>
      </w:r>
      <w:r>
        <w:t xml:space="preserve"> </w:t>
      </w:r>
      <m:oMath>
        <m:r>
          <w:rPr>
            <w:rFonts w:ascii="Cambria Math" w:hAnsi="Cambria Math"/>
          </w:rPr>
          <m:t>ARJI-</m:t>
        </m:r>
        <m:sSub>
          <m:sSubPr>
            <m:ctrlPr>
              <w:rPr>
                <w:rFonts w:ascii="Cambria Math" w:hAnsi="Cambria Math"/>
                <w:i/>
              </w:rPr>
            </m:ctrlPr>
          </m:sSubPr>
          <m:e>
            <m:r>
              <w:rPr>
                <w:rFonts w:ascii="Cambria Math" w:hAnsi="Cambria Math"/>
              </w:rPr>
              <m:t>h</m:t>
            </m:r>
          </m:e>
          <m:sub>
            <m:r>
              <w:rPr>
                <w:rFonts w:ascii="Cambria Math" w:hAnsi="Cambria Math"/>
              </w:rPr>
              <m:t>t</m:t>
            </m:r>
          </m:sub>
        </m:sSub>
      </m:oMath>
      <w:r w:rsidRPr="00E37396">
        <w:t>.</w:t>
      </w:r>
    </w:p>
    <w:p w:rsidR="00F320ED" w:rsidRPr="00E37396" w:rsidRDefault="00F320ED" w:rsidP="00F320ED">
      <w:pPr>
        <w:spacing w:line="360" w:lineRule="auto"/>
        <w:ind w:firstLine="360"/>
      </w:pPr>
      <w:r w:rsidRPr="00E37396">
        <w:t xml:space="preserve">Em todos os modelos, os coeficientes autorregressivos e da especificação GARCH são significantes, indicando persistência e heteroscedasticidade condicional nas variações da taxa de câmbio. No primeiro modelo, consideramos </w:t>
      </w:r>
      <m:oMath>
        <m:sSub>
          <m:sSubPr>
            <m:ctrlPr>
              <w:rPr>
                <w:rFonts w:ascii="Cambria Math" w:hAnsi="Cambria Math"/>
                <w:i/>
              </w:rPr>
            </m:ctrlPr>
          </m:sSubPr>
          <m:e>
            <m:r>
              <w:rPr>
                <w:rFonts w:ascii="Cambria Math" w:hAnsi="Cambria Math"/>
              </w:rPr>
              <m:t>λ</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0</m:t>
            </m:r>
          </m:sub>
        </m:sSub>
      </m:oMath>
      <w:r w:rsidRPr="00E37396">
        <w:t xml:space="preserve">, </w:t>
      </w:r>
      <m:oMath>
        <m:sSub>
          <m:sSubPr>
            <m:ctrlPr>
              <w:rPr>
                <w:rFonts w:ascii="Cambria Math" w:hAnsi="Cambria Math"/>
                <w:i/>
              </w:rPr>
            </m:ctrlPr>
          </m:sSubPr>
          <m:e>
            <m:r>
              <w:rPr>
                <w:rFonts w:ascii="Cambria Math" w:hAnsi="Cambria Math"/>
              </w:rPr>
              <m:t>θ</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η</m:t>
            </m:r>
          </m:e>
          <m:sub>
            <m:r>
              <w:rPr>
                <w:rFonts w:ascii="Cambria Math" w:hAnsi="Cambria Math"/>
              </w:rPr>
              <m:t>0</m:t>
            </m:r>
          </m:sub>
        </m:sSub>
      </m:oMath>
      <w:r w:rsidRPr="00E37396">
        <w:t xml:space="preserve"> e </w:t>
      </w:r>
      <m:oMath>
        <m:sSubSup>
          <m:sSubSupPr>
            <m:ctrlPr>
              <w:rPr>
                <w:rFonts w:ascii="Cambria Math" w:hAnsi="Cambria Math"/>
                <w:i/>
              </w:rPr>
            </m:ctrlPr>
          </m:sSubSupPr>
          <m:e>
            <m:r>
              <w:rPr>
                <w:rFonts w:ascii="Cambria Math" w:hAnsi="Cambria Math"/>
              </w:rPr>
              <m:t>δ</m:t>
            </m:r>
          </m:e>
          <m:sub>
            <m:r>
              <w:rPr>
                <w:rFonts w:ascii="Cambria Math" w:hAnsi="Cambria Math"/>
              </w:rPr>
              <m:t>t</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ζ</m:t>
            </m:r>
          </m:e>
          <m:sub>
            <m:r>
              <w:rPr>
                <w:rFonts w:ascii="Cambria Math" w:hAnsi="Cambria Math"/>
              </w:rPr>
              <m:t>0</m:t>
            </m:r>
          </m:sub>
          <m:sup>
            <m:r>
              <w:rPr>
                <w:rFonts w:ascii="Cambria Math" w:hAnsi="Cambria Math"/>
              </w:rPr>
              <m:t>2</m:t>
            </m:r>
          </m:sup>
        </m:sSubSup>
      </m:oMath>
      <w:r w:rsidRPr="00E37396">
        <w:t xml:space="preserve">, sendo todos esses parâmetros significantes ao nível de 5%, indicando a importância da utilização de saltos para </w:t>
      </w:r>
      <w:r w:rsidRPr="00E37396">
        <w:lastRenderedPageBreak/>
        <w:t xml:space="preserve">descrever o comportamento dinâmico da taxa de câmbio. A média do número de saltos nesse modelo é descrita pelo coeficiente </w:t>
      </w:r>
      <m:oMath>
        <m:sSub>
          <m:sSubPr>
            <m:ctrlPr>
              <w:rPr>
                <w:rFonts w:ascii="Cambria Math" w:hAnsi="Cambria Math"/>
                <w:i/>
              </w:rPr>
            </m:ctrlPr>
          </m:sSubPr>
          <m:e>
            <m:r>
              <w:rPr>
                <w:rFonts w:ascii="Cambria Math" w:hAnsi="Cambria Math"/>
              </w:rPr>
              <m:t>λ</m:t>
            </m:r>
          </m:e>
          <m:sub>
            <m:r>
              <w:rPr>
                <w:rFonts w:ascii="Cambria Math" w:hAnsi="Cambria Math"/>
              </w:rPr>
              <m:t>0</m:t>
            </m:r>
          </m:sub>
        </m:sSub>
        <m:r>
          <w:rPr>
            <w:rFonts w:ascii="Cambria Math" w:hAnsi="Cambria Math"/>
          </w:rPr>
          <m:t>=0,2018</m:t>
        </m:r>
      </m:oMath>
      <w:r w:rsidRPr="00E37396">
        <w:t>.</w:t>
      </w:r>
    </w:p>
    <w:p w:rsidR="00082FF4" w:rsidRDefault="00082FF4" w:rsidP="003C36AE">
      <w:pPr>
        <w:pStyle w:val="Legenda"/>
        <w:spacing w:before="0" w:after="0" w:line="360" w:lineRule="auto"/>
        <w:rPr>
          <w:b/>
        </w:rPr>
      </w:pPr>
    </w:p>
    <w:p w:rsidR="00064299" w:rsidRPr="00840119" w:rsidRDefault="000A3E1C" w:rsidP="003C36AE">
      <w:pPr>
        <w:pStyle w:val="Legenda"/>
        <w:spacing w:before="0" w:after="0" w:line="360" w:lineRule="auto"/>
        <w:rPr>
          <w:b/>
        </w:rPr>
      </w:pPr>
      <w:r w:rsidRPr="00840119">
        <w:rPr>
          <w:b/>
        </w:rPr>
        <w:t xml:space="preserve">Tabela </w:t>
      </w:r>
      <w:bookmarkStart w:id="15" w:name="BMtab_tab2_paper3"/>
      <w:r w:rsidRPr="00840119">
        <w:rPr>
          <w:b/>
        </w:rPr>
        <w:t>2</w:t>
      </w:r>
      <w:bookmarkEnd w:id="15"/>
      <w:r w:rsidR="00020BC9">
        <w:rPr>
          <w:b/>
        </w:rPr>
        <w:t xml:space="preserve">. </w:t>
      </w:r>
      <w:r w:rsidRPr="00840119">
        <w:rPr>
          <w:b/>
        </w:rPr>
        <w:t>Resultados do modelo dinâmico de saltos condicionais</w:t>
      </w:r>
      <w:r w:rsidR="000763FC" w:rsidRPr="00840119">
        <w:rPr>
          <w:b/>
        </w:rPr>
        <w:fldChar w:fldCharType="begin"/>
      </w:r>
      <w:r w:rsidRPr="00840119">
        <w:rPr>
          <w:b/>
        </w:rPr>
        <w:instrText>TC "2 Resultados do modelo dinâmico de saltos condicionais" \f t</w:instrText>
      </w:r>
      <w:r w:rsidR="000763FC" w:rsidRPr="00840119">
        <w:rPr>
          <w:b/>
        </w:rPr>
        <w:fldChar w:fldCharType="end"/>
      </w:r>
    </w:p>
    <w:tbl>
      <w:tblPr>
        <w:tblW w:w="9072" w:type="dxa"/>
        <w:tblLayout w:type="fixed"/>
        <w:tblCellMar>
          <w:left w:w="0" w:type="dxa"/>
          <w:right w:w="0" w:type="dxa"/>
        </w:tblCellMar>
        <w:tblLook w:val="0000" w:firstRow="0" w:lastRow="0" w:firstColumn="0" w:lastColumn="0" w:noHBand="0" w:noVBand="0"/>
      </w:tblPr>
      <w:tblGrid>
        <w:gridCol w:w="1814"/>
        <w:gridCol w:w="1814"/>
        <w:gridCol w:w="1815"/>
        <w:gridCol w:w="1814"/>
        <w:gridCol w:w="1815"/>
      </w:tblGrid>
      <w:tr w:rsidR="00064299" w:rsidRPr="007334B7" w:rsidTr="00935653">
        <w:tc>
          <w:tcPr>
            <w:tcW w:w="1814" w:type="dxa"/>
            <w:tcBorders>
              <w:top w:val="single" w:sz="6" w:space="0" w:color="auto"/>
              <w:left w:val="nil"/>
              <w:bottom w:val="single" w:sz="6" w:space="0" w:color="auto"/>
              <w:right w:val="nil"/>
            </w:tcBorders>
          </w:tcPr>
          <w:p w:rsidR="00064299" w:rsidRPr="007334B7" w:rsidRDefault="000A3E1C" w:rsidP="00AA661B">
            <w:pPr>
              <w:jc w:val="center"/>
            </w:pPr>
            <w:r w:rsidRPr="007334B7">
              <w:t>Parâmetros</w:t>
            </w:r>
          </w:p>
        </w:tc>
        <w:tc>
          <w:tcPr>
            <w:tcW w:w="1814" w:type="dxa"/>
            <w:tcBorders>
              <w:top w:val="single" w:sz="6" w:space="0" w:color="auto"/>
              <w:left w:val="nil"/>
              <w:bottom w:val="single" w:sz="6" w:space="0" w:color="auto"/>
              <w:right w:val="nil"/>
            </w:tcBorders>
          </w:tcPr>
          <w:p w:rsidR="00064299" w:rsidRPr="007334B7" w:rsidRDefault="000A3E1C" w:rsidP="002E2600">
            <w:pPr>
              <w:jc w:val="center"/>
            </w:pPr>
            <w:r w:rsidRPr="007334B7">
              <w:t>Constante</w:t>
            </w:r>
          </w:p>
        </w:tc>
        <w:tc>
          <w:tcPr>
            <w:tcW w:w="1815" w:type="dxa"/>
            <w:tcBorders>
              <w:top w:val="single" w:sz="6" w:space="0" w:color="auto"/>
              <w:left w:val="nil"/>
              <w:bottom w:val="single" w:sz="6" w:space="0" w:color="auto"/>
              <w:right w:val="nil"/>
            </w:tcBorders>
          </w:tcPr>
          <w:p w:rsidR="00064299" w:rsidRPr="007334B7" w:rsidRDefault="000A3E1C" w:rsidP="002E2600">
            <w:pPr>
              <w:jc w:val="center"/>
            </w:pPr>
            <w:r w:rsidRPr="007334B7">
              <w:rPr>
                <w:i/>
                <w:iCs/>
              </w:rPr>
              <w:t>ARJI</w:t>
            </w:r>
          </w:p>
        </w:tc>
        <w:tc>
          <w:tcPr>
            <w:tcW w:w="1814" w:type="dxa"/>
            <w:tcBorders>
              <w:top w:val="single" w:sz="6" w:space="0" w:color="auto"/>
              <w:left w:val="nil"/>
              <w:bottom w:val="single" w:sz="6" w:space="0" w:color="auto"/>
              <w:right w:val="nil"/>
            </w:tcBorders>
          </w:tcPr>
          <w:p w:rsidR="00064299" w:rsidRPr="007334B7" w:rsidRDefault="002B69F4" w:rsidP="002E2600">
            <w:pPr>
              <w:jc w:val="center"/>
            </w:pPr>
            <m:oMathPara>
              <m:oMath>
                <m:r>
                  <w:rPr>
                    <w:rFonts w:ascii="Cambria Math" w:hAnsi="Cambria Math"/>
                  </w:rPr>
                  <m:t>ARJI-</m:t>
                </m:r>
                <m:sSubSup>
                  <m:sSubSupPr>
                    <m:ctrlPr>
                      <w:rPr>
                        <w:rFonts w:ascii="Cambria Math" w:hAnsi="Cambria Math"/>
                        <w:i/>
                      </w:rPr>
                    </m:ctrlPr>
                  </m:sSubSupPr>
                  <m:e>
                    <m:r>
                      <w:rPr>
                        <w:rFonts w:ascii="Cambria Math" w:hAnsi="Cambria Math"/>
                      </w:rPr>
                      <m:t>R</m:t>
                    </m:r>
                  </m:e>
                  <m:sub>
                    <m:r>
                      <w:rPr>
                        <w:rFonts w:ascii="Cambria Math" w:hAnsi="Cambria Math"/>
                      </w:rPr>
                      <m:t>t-1</m:t>
                    </m:r>
                  </m:sub>
                  <m:sup>
                    <m:r>
                      <w:rPr>
                        <w:rFonts w:ascii="Cambria Math" w:hAnsi="Cambria Math"/>
                      </w:rPr>
                      <m:t>2</m:t>
                    </m:r>
                  </m:sup>
                </m:sSubSup>
              </m:oMath>
            </m:oMathPara>
          </w:p>
        </w:tc>
        <w:tc>
          <w:tcPr>
            <w:tcW w:w="1815" w:type="dxa"/>
            <w:tcBorders>
              <w:top w:val="single" w:sz="6" w:space="0" w:color="auto"/>
              <w:left w:val="nil"/>
              <w:bottom w:val="single" w:sz="6" w:space="0" w:color="auto"/>
              <w:right w:val="nil"/>
            </w:tcBorders>
          </w:tcPr>
          <w:p w:rsidR="00064299" w:rsidRPr="007334B7" w:rsidRDefault="002B69F4" w:rsidP="002E2600">
            <w:pPr>
              <w:jc w:val="center"/>
            </w:pPr>
            <m:oMathPara>
              <m:oMath>
                <m:r>
                  <w:rPr>
                    <w:rFonts w:ascii="Cambria Math" w:hAnsi="Cambria Math"/>
                  </w:rPr>
                  <m:t>ARJI-</m:t>
                </m:r>
                <m:sSub>
                  <m:sSubPr>
                    <m:ctrlPr>
                      <w:rPr>
                        <w:rFonts w:ascii="Cambria Math" w:hAnsi="Cambria Math"/>
                        <w:i/>
                      </w:rPr>
                    </m:ctrlPr>
                  </m:sSubPr>
                  <m:e>
                    <m:r>
                      <w:rPr>
                        <w:rFonts w:ascii="Cambria Math" w:hAnsi="Cambria Math"/>
                      </w:rPr>
                      <m:t>h</m:t>
                    </m:r>
                  </m:e>
                  <m:sub>
                    <m:r>
                      <w:rPr>
                        <w:rFonts w:ascii="Cambria Math" w:hAnsi="Cambria Math"/>
                      </w:rPr>
                      <m:t>t</m:t>
                    </m:r>
                  </m:sub>
                </m:sSub>
              </m:oMath>
            </m:oMathPara>
          </w:p>
        </w:tc>
      </w:tr>
      <w:tr w:rsidR="00064299" w:rsidRPr="007334B7" w:rsidTr="00935653">
        <w:tc>
          <w:tcPr>
            <w:tcW w:w="1814" w:type="dxa"/>
            <w:tcBorders>
              <w:top w:val="nil"/>
              <w:left w:val="nil"/>
              <w:bottom w:val="nil"/>
              <w:right w:val="nil"/>
            </w:tcBorders>
          </w:tcPr>
          <w:p w:rsidR="00064299" w:rsidRPr="007334B7" w:rsidRDefault="00840119" w:rsidP="00082FF4">
            <w:pPr>
              <w:jc w:val="center"/>
            </w:pPr>
            <m:oMathPara>
              <m:oMath>
                <m:r>
                  <w:rPr>
                    <w:rFonts w:ascii="Cambria Math" w:hAnsi="Cambria Math"/>
                  </w:rPr>
                  <m:t>μ</m:t>
                </m:r>
              </m:oMath>
            </m:oMathPara>
          </w:p>
        </w:tc>
        <w:tc>
          <w:tcPr>
            <w:tcW w:w="1814" w:type="dxa"/>
            <w:tcBorders>
              <w:top w:val="nil"/>
              <w:left w:val="nil"/>
              <w:bottom w:val="nil"/>
              <w:right w:val="nil"/>
            </w:tcBorders>
          </w:tcPr>
          <w:p w:rsidR="00064299" w:rsidRPr="007334B7" w:rsidRDefault="000A3E1C" w:rsidP="00082FF4">
            <w:pPr>
              <w:jc w:val="center"/>
            </w:pPr>
            <w:r w:rsidRPr="007334B7">
              <w:t>-0,0567 (0,0130)</w:t>
            </w:r>
            <w:r w:rsidR="000763FC" w:rsidRPr="007334B7">
              <w:fldChar w:fldCharType="begin"/>
            </w:r>
            <w:r w:rsidRPr="007334B7">
              <w:instrText xml:space="preserve"> EQ \s\up5(‡)</w:instrText>
            </w:r>
            <w:r w:rsidR="000763FC" w:rsidRPr="007334B7">
              <w:fldChar w:fldCharType="end"/>
            </w:r>
          </w:p>
        </w:tc>
        <w:tc>
          <w:tcPr>
            <w:tcW w:w="1815" w:type="dxa"/>
            <w:tcBorders>
              <w:top w:val="nil"/>
              <w:left w:val="nil"/>
              <w:bottom w:val="nil"/>
              <w:right w:val="nil"/>
            </w:tcBorders>
          </w:tcPr>
          <w:p w:rsidR="00064299" w:rsidRPr="007334B7" w:rsidRDefault="000A3E1C" w:rsidP="00082FF4">
            <w:pPr>
              <w:jc w:val="center"/>
            </w:pPr>
            <w:r w:rsidRPr="007334B7">
              <w:t>-0,0726 (0,0142)</w:t>
            </w:r>
            <w:r w:rsidR="000763FC" w:rsidRPr="007334B7">
              <w:fldChar w:fldCharType="begin"/>
            </w:r>
            <w:r w:rsidRPr="007334B7">
              <w:instrText xml:space="preserve"> EQ \s\up5(‡)</w:instrText>
            </w:r>
            <w:r w:rsidR="000763FC" w:rsidRPr="007334B7">
              <w:fldChar w:fldCharType="end"/>
            </w:r>
          </w:p>
        </w:tc>
        <w:tc>
          <w:tcPr>
            <w:tcW w:w="1814" w:type="dxa"/>
            <w:tcBorders>
              <w:top w:val="nil"/>
              <w:left w:val="nil"/>
              <w:bottom w:val="nil"/>
              <w:right w:val="nil"/>
            </w:tcBorders>
          </w:tcPr>
          <w:p w:rsidR="00064299" w:rsidRPr="007334B7" w:rsidRDefault="000A3E1C" w:rsidP="00082FF4">
            <w:pPr>
              <w:jc w:val="center"/>
            </w:pPr>
            <w:r w:rsidRPr="007334B7">
              <w:t>-0,0760 (0,0142)</w:t>
            </w:r>
            <w:r w:rsidR="000763FC" w:rsidRPr="007334B7">
              <w:fldChar w:fldCharType="begin"/>
            </w:r>
            <w:r w:rsidRPr="007334B7">
              <w:instrText xml:space="preserve"> EQ \s\up5(‡)</w:instrText>
            </w:r>
            <w:r w:rsidR="000763FC" w:rsidRPr="007334B7">
              <w:fldChar w:fldCharType="end"/>
            </w:r>
          </w:p>
        </w:tc>
        <w:tc>
          <w:tcPr>
            <w:tcW w:w="1815" w:type="dxa"/>
            <w:tcBorders>
              <w:top w:val="nil"/>
              <w:left w:val="nil"/>
              <w:bottom w:val="nil"/>
              <w:right w:val="nil"/>
            </w:tcBorders>
          </w:tcPr>
          <w:p w:rsidR="00064299" w:rsidRPr="007334B7" w:rsidRDefault="000A3E1C" w:rsidP="00082FF4">
            <w:pPr>
              <w:jc w:val="center"/>
            </w:pPr>
            <w:r w:rsidRPr="007334B7">
              <w:t>-0,1034 (0,0186)</w:t>
            </w:r>
            <w:r w:rsidR="000763FC" w:rsidRPr="007334B7">
              <w:fldChar w:fldCharType="begin"/>
            </w:r>
            <w:r w:rsidRPr="007334B7">
              <w:instrText xml:space="preserve"> EQ \s\up5(‡)</w:instrText>
            </w:r>
            <w:r w:rsidR="000763FC" w:rsidRPr="007334B7">
              <w:fldChar w:fldCharType="end"/>
            </w:r>
          </w:p>
        </w:tc>
      </w:tr>
      <w:tr w:rsidR="00064299" w:rsidRPr="007334B7" w:rsidTr="00935653">
        <w:tc>
          <w:tcPr>
            <w:tcW w:w="1814" w:type="dxa"/>
            <w:tcBorders>
              <w:top w:val="nil"/>
              <w:left w:val="nil"/>
              <w:bottom w:val="nil"/>
              <w:right w:val="nil"/>
            </w:tcBorders>
          </w:tcPr>
          <w:p w:rsidR="00064299" w:rsidRPr="007334B7" w:rsidRDefault="00236A0C" w:rsidP="00082FF4">
            <w:pPr>
              <w:jc w:val="center"/>
            </w:pPr>
            <m:oMathPara>
              <m:oMath>
                <m:sSub>
                  <m:sSubPr>
                    <m:ctrlPr>
                      <w:rPr>
                        <w:rFonts w:ascii="Cambria Math" w:hAnsi="Cambria Math"/>
                        <w:i/>
                      </w:rPr>
                    </m:ctrlPr>
                  </m:sSubPr>
                  <m:e>
                    <m:r>
                      <w:rPr>
                        <w:rFonts w:ascii="Cambria Math" w:hAnsi="Cambria Math"/>
                      </w:rPr>
                      <m:t>ϕ</m:t>
                    </m:r>
                  </m:e>
                  <m:sub>
                    <m:r>
                      <w:rPr>
                        <w:rFonts w:ascii="Cambria Math" w:hAnsi="Cambria Math"/>
                      </w:rPr>
                      <m:t>1</m:t>
                    </m:r>
                  </m:sub>
                </m:sSub>
              </m:oMath>
            </m:oMathPara>
          </w:p>
        </w:tc>
        <w:tc>
          <w:tcPr>
            <w:tcW w:w="1814" w:type="dxa"/>
            <w:tcBorders>
              <w:top w:val="nil"/>
              <w:left w:val="nil"/>
              <w:bottom w:val="nil"/>
              <w:right w:val="nil"/>
            </w:tcBorders>
          </w:tcPr>
          <w:p w:rsidR="004007DB" w:rsidRPr="007334B7" w:rsidRDefault="000A3E1C" w:rsidP="004007DB">
            <w:pPr>
              <w:jc w:val="center"/>
            </w:pPr>
            <w:r w:rsidRPr="007334B7">
              <w:t>0,1073 (0,0179)</w:t>
            </w:r>
            <w:r w:rsidR="000763FC" w:rsidRPr="007334B7">
              <w:fldChar w:fldCharType="begin"/>
            </w:r>
            <w:r w:rsidRPr="007334B7">
              <w:instrText xml:space="preserve"> EQ \s\up5(‡)</w:instrText>
            </w:r>
            <w:r w:rsidR="000763FC" w:rsidRPr="007334B7">
              <w:fldChar w:fldCharType="end"/>
            </w:r>
          </w:p>
        </w:tc>
        <w:tc>
          <w:tcPr>
            <w:tcW w:w="1815" w:type="dxa"/>
            <w:tcBorders>
              <w:top w:val="nil"/>
              <w:left w:val="nil"/>
              <w:bottom w:val="nil"/>
              <w:right w:val="nil"/>
            </w:tcBorders>
          </w:tcPr>
          <w:p w:rsidR="00064299" w:rsidRPr="007334B7" w:rsidRDefault="000A3E1C" w:rsidP="00082FF4">
            <w:pPr>
              <w:jc w:val="center"/>
            </w:pPr>
            <w:r w:rsidRPr="007334B7">
              <w:t>0,0756 (0,0198)</w:t>
            </w:r>
            <w:r w:rsidR="000763FC" w:rsidRPr="007334B7">
              <w:fldChar w:fldCharType="begin"/>
            </w:r>
            <w:r w:rsidRPr="007334B7">
              <w:instrText xml:space="preserve"> EQ \s\up5(‡)</w:instrText>
            </w:r>
            <w:r w:rsidR="000763FC" w:rsidRPr="007334B7">
              <w:fldChar w:fldCharType="end"/>
            </w:r>
          </w:p>
        </w:tc>
        <w:tc>
          <w:tcPr>
            <w:tcW w:w="1814" w:type="dxa"/>
            <w:tcBorders>
              <w:top w:val="nil"/>
              <w:left w:val="nil"/>
              <w:bottom w:val="nil"/>
              <w:right w:val="nil"/>
            </w:tcBorders>
          </w:tcPr>
          <w:p w:rsidR="00064299" w:rsidRPr="007334B7" w:rsidRDefault="000A3E1C" w:rsidP="00082FF4">
            <w:pPr>
              <w:jc w:val="center"/>
            </w:pPr>
            <w:r w:rsidRPr="007334B7">
              <w:t>0,0790 (0,0213)</w:t>
            </w:r>
            <w:r w:rsidR="000763FC" w:rsidRPr="007334B7">
              <w:fldChar w:fldCharType="begin"/>
            </w:r>
            <w:r w:rsidRPr="007334B7">
              <w:instrText xml:space="preserve"> EQ \s\up5(‡)</w:instrText>
            </w:r>
            <w:r w:rsidR="000763FC" w:rsidRPr="007334B7">
              <w:fldChar w:fldCharType="end"/>
            </w:r>
          </w:p>
        </w:tc>
        <w:tc>
          <w:tcPr>
            <w:tcW w:w="1815" w:type="dxa"/>
            <w:tcBorders>
              <w:top w:val="nil"/>
              <w:left w:val="nil"/>
              <w:bottom w:val="nil"/>
              <w:right w:val="nil"/>
            </w:tcBorders>
          </w:tcPr>
          <w:p w:rsidR="00064299" w:rsidRPr="007334B7" w:rsidRDefault="000A3E1C" w:rsidP="00082FF4">
            <w:pPr>
              <w:jc w:val="center"/>
            </w:pPr>
            <w:r w:rsidRPr="007334B7">
              <w:t>0,0572 (0,0244)</w:t>
            </w:r>
            <w:r w:rsidR="000763FC" w:rsidRPr="007334B7">
              <w:fldChar w:fldCharType="begin"/>
            </w:r>
            <w:r w:rsidRPr="007334B7">
              <w:instrText xml:space="preserve"> EQ \s\up5(†)</w:instrText>
            </w:r>
            <w:r w:rsidR="000763FC" w:rsidRPr="007334B7">
              <w:fldChar w:fldCharType="end"/>
            </w:r>
          </w:p>
        </w:tc>
      </w:tr>
      <w:tr w:rsidR="00064299" w:rsidRPr="007334B7" w:rsidTr="00935653">
        <w:tc>
          <w:tcPr>
            <w:tcW w:w="1814" w:type="dxa"/>
            <w:tcBorders>
              <w:top w:val="nil"/>
              <w:left w:val="nil"/>
              <w:bottom w:val="nil"/>
              <w:right w:val="nil"/>
            </w:tcBorders>
          </w:tcPr>
          <w:p w:rsidR="00064299" w:rsidRPr="007334B7" w:rsidRDefault="00236A0C" w:rsidP="00082FF4">
            <w:pPr>
              <w:jc w:val="center"/>
            </w:pPr>
            <m:oMathPara>
              <m:oMath>
                <m:sSub>
                  <m:sSubPr>
                    <m:ctrlPr>
                      <w:rPr>
                        <w:rFonts w:ascii="Cambria Math" w:hAnsi="Cambria Math"/>
                        <w:i/>
                      </w:rPr>
                    </m:ctrlPr>
                  </m:sSubPr>
                  <m:e>
                    <m:r>
                      <w:rPr>
                        <w:rFonts w:ascii="Cambria Math" w:hAnsi="Cambria Math"/>
                      </w:rPr>
                      <m:t>ϕ</m:t>
                    </m:r>
                  </m:e>
                  <m:sub>
                    <m:r>
                      <w:rPr>
                        <w:rFonts w:ascii="Cambria Math" w:hAnsi="Cambria Math"/>
                      </w:rPr>
                      <m:t>2</m:t>
                    </m:r>
                  </m:sub>
                </m:sSub>
              </m:oMath>
            </m:oMathPara>
          </w:p>
        </w:tc>
        <w:tc>
          <w:tcPr>
            <w:tcW w:w="1814" w:type="dxa"/>
            <w:tcBorders>
              <w:top w:val="nil"/>
              <w:left w:val="nil"/>
              <w:bottom w:val="nil"/>
              <w:right w:val="nil"/>
            </w:tcBorders>
          </w:tcPr>
          <w:p w:rsidR="004007DB" w:rsidRPr="007334B7" w:rsidRDefault="000A3E1C" w:rsidP="004007DB">
            <w:pPr>
              <w:jc w:val="center"/>
            </w:pPr>
            <w:r w:rsidRPr="007334B7">
              <w:t>-0,0427 (0,0173)</w:t>
            </w:r>
            <w:r w:rsidR="000763FC" w:rsidRPr="007334B7">
              <w:fldChar w:fldCharType="begin"/>
            </w:r>
            <w:r w:rsidRPr="007334B7">
              <w:instrText xml:space="preserve"> EQ \s\up5(†)</w:instrText>
            </w:r>
            <w:r w:rsidR="000763FC" w:rsidRPr="007334B7">
              <w:fldChar w:fldCharType="end"/>
            </w:r>
          </w:p>
        </w:tc>
        <w:tc>
          <w:tcPr>
            <w:tcW w:w="1815" w:type="dxa"/>
            <w:tcBorders>
              <w:top w:val="nil"/>
              <w:left w:val="nil"/>
              <w:bottom w:val="nil"/>
              <w:right w:val="nil"/>
            </w:tcBorders>
          </w:tcPr>
          <w:p w:rsidR="00064299" w:rsidRPr="007334B7" w:rsidRDefault="000A3E1C" w:rsidP="00082FF4">
            <w:pPr>
              <w:jc w:val="center"/>
            </w:pPr>
            <w:r w:rsidRPr="007334B7">
              <w:t>-0,0657 (0,0177)</w:t>
            </w:r>
            <w:r w:rsidR="000763FC" w:rsidRPr="007334B7">
              <w:fldChar w:fldCharType="begin"/>
            </w:r>
            <w:r w:rsidRPr="007334B7">
              <w:instrText xml:space="preserve"> EQ \s\up5(‡)</w:instrText>
            </w:r>
            <w:r w:rsidR="000763FC" w:rsidRPr="007334B7">
              <w:fldChar w:fldCharType="end"/>
            </w:r>
          </w:p>
        </w:tc>
        <w:tc>
          <w:tcPr>
            <w:tcW w:w="1814" w:type="dxa"/>
            <w:tcBorders>
              <w:top w:val="nil"/>
              <w:left w:val="nil"/>
              <w:bottom w:val="nil"/>
              <w:right w:val="nil"/>
            </w:tcBorders>
          </w:tcPr>
          <w:p w:rsidR="00064299" w:rsidRPr="007334B7" w:rsidRDefault="000A3E1C" w:rsidP="00082FF4">
            <w:pPr>
              <w:jc w:val="center"/>
            </w:pPr>
            <w:r w:rsidRPr="007334B7">
              <w:t>-0,0650 (0,0182)</w:t>
            </w:r>
            <w:r w:rsidR="000763FC" w:rsidRPr="007334B7">
              <w:fldChar w:fldCharType="begin"/>
            </w:r>
            <w:r w:rsidRPr="007334B7">
              <w:instrText xml:space="preserve"> EQ \s\up5(‡)</w:instrText>
            </w:r>
            <w:r w:rsidR="000763FC" w:rsidRPr="007334B7">
              <w:fldChar w:fldCharType="end"/>
            </w:r>
          </w:p>
        </w:tc>
        <w:tc>
          <w:tcPr>
            <w:tcW w:w="1815" w:type="dxa"/>
            <w:tcBorders>
              <w:top w:val="nil"/>
              <w:left w:val="nil"/>
              <w:bottom w:val="nil"/>
              <w:right w:val="nil"/>
            </w:tcBorders>
          </w:tcPr>
          <w:p w:rsidR="00064299" w:rsidRPr="007334B7" w:rsidRDefault="000A3E1C" w:rsidP="00082FF4">
            <w:pPr>
              <w:jc w:val="center"/>
            </w:pPr>
            <w:r w:rsidRPr="007334B7">
              <w:t>-0,0609 (0,0173)</w:t>
            </w:r>
            <w:r w:rsidR="000763FC" w:rsidRPr="007334B7">
              <w:fldChar w:fldCharType="begin"/>
            </w:r>
            <w:r w:rsidRPr="007334B7">
              <w:instrText xml:space="preserve"> EQ \s\up5(‡)</w:instrText>
            </w:r>
            <w:r w:rsidR="000763FC" w:rsidRPr="007334B7">
              <w:fldChar w:fldCharType="end"/>
            </w:r>
          </w:p>
        </w:tc>
      </w:tr>
      <w:tr w:rsidR="00064299" w:rsidRPr="007334B7" w:rsidTr="00935653">
        <w:tc>
          <w:tcPr>
            <w:tcW w:w="1814" w:type="dxa"/>
            <w:tcBorders>
              <w:top w:val="nil"/>
              <w:left w:val="nil"/>
              <w:bottom w:val="nil"/>
              <w:right w:val="nil"/>
            </w:tcBorders>
          </w:tcPr>
          <w:p w:rsidR="00064299" w:rsidRPr="007334B7" w:rsidRDefault="00840119" w:rsidP="00082FF4">
            <w:pPr>
              <w:jc w:val="center"/>
            </w:pPr>
            <m:oMathPara>
              <m:oMath>
                <m:r>
                  <w:rPr>
                    <w:rFonts w:ascii="Cambria Math" w:hAnsi="Cambria Math"/>
                  </w:rPr>
                  <m:t>ω</m:t>
                </m:r>
              </m:oMath>
            </m:oMathPara>
          </w:p>
        </w:tc>
        <w:tc>
          <w:tcPr>
            <w:tcW w:w="1814" w:type="dxa"/>
            <w:tcBorders>
              <w:top w:val="nil"/>
              <w:left w:val="nil"/>
              <w:bottom w:val="nil"/>
              <w:right w:val="nil"/>
            </w:tcBorders>
          </w:tcPr>
          <w:p w:rsidR="004007DB" w:rsidRPr="007334B7" w:rsidRDefault="000A3E1C" w:rsidP="004007DB">
            <w:pPr>
              <w:jc w:val="center"/>
            </w:pPr>
            <w:r w:rsidRPr="007334B7">
              <w:t>0,0023 (0,0021)</w:t>
            </w:r>
          </w:p>
        </w:tc>
        <w:tc>
          <w:tcPr>
            <w:tcW w:w="1815" w:type="dxa"/>
            <w:tcBorders>
              <w:top w:val="nil"/>
              <w:left w:val="nil"/>
              <w:bottom w:val="nil"/>
              <w:right w:val="nil"/>
            </w:tcBorders>
          </w:tcPr>
          <w:p w:rsidR="00064299" w:rsidRPr="007334B7" w:rsidRDefault="000A3E1C" w:rsidP="00082FF4">
            <w:pPr>
              <w:jc w:val="center"/>
            </w:pPr>
            <w:r w:rsidRPr="007334B7">
              <w:t>0,0057 (0,0021)</w:t>
            </w:r>
            <w:r w:rsidR="000763FC" w:rsidRPr="007334B7">
              <w:fldChar w:fldCharType="begin"/>
            </w:r>
            <w:r w:rsidRPr="007334B7">
              <w:instrText xml:space="preserve"> EQ \s\up5(‡)</w:instrText>
            </w:r>
            <w:r w:rsidR="000763FC" w:rsidRPr="007334B7">
              <w:fldChar w:fldCharType="end"/>
            </w:r>
          </w:p>
        </w:tc>
        <w:tc>
          <w:tcPr>
            <w:tcW w:w="1814" w:type="dxa"/>
            <w:tcBorders>
              <w:top w:val="nil"/>
              <w:left w:val="nil"/>
              <w:bottom w:val="nil"/>
              <w:right w:val="nil"/>
            </w:tcBorders>
          </w:tcPr>
          <w:p w:rsidR="00064299" w:rsidRPr="007334B7" w:rsidRDefault="000A3E1C" w:rsidP="00082FF4">
            <w:pPr>
              <w:jc w:val="center"/>
            </w:pPr>
            <w:r w:rsidRPr="007334B7">
              <w:t>0,0054 (0,0016)</w:t>
            </w:r>
            <w:r w:rsidR="000763FC" w:rsidRPr="007334B7">
              <w:fldChar w:fldCharType="begin"/>
            </w:r>
            <w:r w:rsidRPr="007334B7">
              <w:instrText xml:space="preserve"> EQ \s\up5(‡)</w:instrText>
            </w:r>
            <w:r w:rsidR="000763FC" w:rsidRPr="007334B7">
              <w:fldChar w:fldCharType="end"/>
            </w:r>
          </w:p>
        </w:tc>
        <w:tc>
          <w:tcPr>
            <w:tcW w:w="1815" w:type="dxa"/>
            <w:tcBorders>
              <w:top w:val="nil"/>
              <w:left w:val="nil"/>
              <w:bottom w:val="nil"/>
              <w:right w:val="nil"/>
            </w:tcBorders>
          </w:tcPr>
          <w:p w:rsidR="00064299" w:rsidRPr="007334B7" w:rsidRDefault="000A3E1C" w:rsidP="00082FF4">
            <w:pPr>
              <w:jc w:val="center"/>
            </w:pPr>
            <w:r w:rsidRPr="007334B7">
              <w:t>0,0045 (0,0014)</w:t>
            </w:r>
            <w:r w:rsidR="000763FC" w:rsidRPr="007334B7">
              <w:fldChar w:fldCharType="begin"/>
            </w:r>
            <w:r w:rsidRPr="007334B7">
              <w:instrText xml:space="preserve"> EQ \s\up5(‡)</w:instrText>
            </w:r>
            <w:r w:rsidR="000763FC" w:rsidRPr="007334B7">
              <w:fldChar w:fldCharType="end"/>
            </w:r>
          </w:p>
        </w:tc>
      </w:tr>
      <w:tr w:rsidR="00064299" w:rsidRPr="007334B7" w:rsidTr="00935653">
        <w:tc>
          <w:tcPr>
            <w:tcW w:w="1814" w:type="dxa"/>
            <w:tcBorders>
              <w:top w:val="nil"/>
              <w:left w:val="nil"/>
              <w:bottom w:val="nil"/>
              <w:right w:val="nil"/>
            </w:tcBorders>
          </w:tcPr>
          <w:p w:rsidR="00064299" w:rsidRPr="007334B7" w:rsidRDefault="00840119" w:rsidP="00082FF4">
            <w:pPr>
              <w:jc w:val="center"/>
            </w:pPr>
            <m:oMathPara>
              <m:oMath>
                <m:r>
                  <w:rPr>
                    <w:rFonts w:ascii="Cambria Math" w:hAnsi="Cambria Math"/>
                  </w:rPr>
                  <m:t>α</m:t>
                </m:r>
              </m:oMath>
            </m:oMathPara>
          </w:p>
        </w:tc>
        <w:tc>
          <w:tcPr>
            <w:tcW w:w="1814" w:type="dxa"/>
            <w:tcBorders>
              <w:top w:val="nil"/>
              <w:left w:val="nil"/>
              <w:bottom w:val="nil"/>
              <w:right w:val="nil"/>
            </w:tcBorders>
          </w:tcPr>
          <w:p w:rsidR="00064299" w:rsidRPr="007334B7" w:rsidRDefault="000A3E1C" w:rsidP="00082FF4">
            <w:pPr>
              <w:jc w:val="center"/>
            </w:pPr>
            <w:r w:rsidRPr="007334B7">
              <w:t>0,1500 (0,0143)</w:t>
            </w:r>
            <w:r w:rsidR="000763FC" w:rsidRPr="007334B7">
              <w:fldChar w:fldCharType="begin"/>
            </w:r>
            <w:r w:rsidRPr="007334B7">
              <w:instrText xml:space="preserve"> EQ \s\up5(‡)</w:instrText>
            </w:r>
            <w:r w:rsidR="000763FC" w:rsidRPr="007334B7">
              <w:fldChar w:fldCharType="end"/>
            </w:r>
          </w:p>
        </w:tc>
        <w:tc>
          <w:tcPr>
            <w:tcW w:w="1815" w:type="dxa"/>
            <w:tcBorders>
              <w:top w:val="nil"/>
              <w:left w:val="nil"/>
              <w:bottom w:val="nil"/>
              <w:right w:val="nil"/>
            </w:tcBorders>
          </w:tcPr>
          <w:p w:rsidR="00064299" w:rsidRPr="007334B7" w:rsidRDefault="000A3E1C" w:rsidP="00082FF4">
            <w:pPr>
              <w:jc w:val="center"/>
            </w:pPr>
            <w:r w:rsidRPr="007334B7">
              <w:t>0,1034 (0,0147)</w:t>
            </w:r>
            <w:r w:rsidR="000763FC" w:rsidRPr="007334B7">
              <w:fldChar w:fldCharType="begin"/>
            </w:r>
            <w:r w:rsidRPr="007334B7">
              <w:instrText xml:space="preserve"> EQ \s\up5(‡)</w:instrText>
            </w:r>
            <w:r w:rsidR="000763FC" w:rsidRPr="007334B7">
              <w:fldChar w:fldCharType="end"/>
            </w:r>
          </w:p>
        </w:tc>
        <w:tc>
          <w:tcPr>
            <w:tcW w:w="1814" w:type="dxa"/>
            <w:tcBorders>
              <w:top w:val="nil"/>
              <w:left w:val="nil"/>
              <w:bottom w:val="nil"/>
              <w:right w:val="nil"/>
            </w:tcBorders>
          </w:tcPr>
          <w:p w:rsidR="00064299" w:rsidRPr="007334B7" w:rsidRDefault="000A3E1C" w:rsidP="00082FF4">
            <w:pPr>
              <w:jc w:val="center"/>
            </w:pPr>
            <w:r w:rsidRPr="007334B7">
              <w:t>0,0688 (0,0126)</w:t>
            </w:r>
            <w:r w:rsidR="000763FC" w:rsidRPr="007334B7">
              <w:fldChar w:fldCharType="begin"/>
            </w:r>
            <w:r w:rsidRPr="007334B7">
              <w:instrText xml:space="preserve"> EQ \s\up5(‡)</w:instrText>
            </w:r>
            <w:r w:rsidR="000763FC" w:rsidRPr="007334B7">
              <w:fldChar w:fldCharType="end"/>
            </w:r>
          </w:p>
        </w:tc>
        <w:tc>
          <w:tcPr>
            <w:tcW w:w="1815" w:type="dxa"/>
            <w:tcBorders>
              <w:top w:val="nil"/>
              <w:left w:val="nil"/>
              <w:bottom w:val="nil"/>
              <w:right w:val="nil"/>
            </w:tcBorders>
          </w:tcPr>
          <w:p w:rsidR="00064299" w:rsidRPr="007334B7" w:rsidRDefault="000A3E1C" w:rsidP="00082FF4">
            <w:pPr>
              <w:jc w:val="center"/>
            </w:pPr>
            <w:r w:rsidRPr="007334B7">
              <w:t>0,0402 (0,0112)</w:t>
            </w:r>
            <w:r w:rsidR="000763FC" w:rsidRPr="007334B7">
              <w:fldChar w:fldCharType="begin"/>
            </w:r>
            <w:r w:rsidRPr="007334B7">
              <w:instrText xml:space="preserve"> EQ \s\up5(‡)</w:instrText>
            </w:r>
            <w:r w:rsidR="000763FC" w:rsidRPr="007334B7">
              <w:fldChar w:fldCharType="end"/>
            </w:r>
          </w:p>
        </w:tc>
      </w:tr>
      <w:tr w:rsidR="00064299" w:rsidRPr="007334B7" w:rsidTr="00935653">
        <w:tc>
          <w:tcPr>
            <w:tcW w:w="1814" w:type="dxa"/>
            <w:tcBorders>
              <w:top w:val="nil"/>
              <w:left w:val="nil"/>
              <w:bottom w:val="nil"/>
              <w:right w:val="nil"/>
            </w:tcBorders>
          </w:tcPr>
          <w:p w:rsidR="00064299" w:rsidRPr="007334B7" w:rsidRDefault="00840119" w:rsidP="00082FF4">
            <w:pPr>
              <w:jc w:val="center"/>
            </w:pPr>
            <m:oMathPara>
              <m:oMath>
                <m:r>
                  <w:rPr>
                    <w:rFonts w:ascii="Cambria Math" w:hAnsi="Cambria Math"/>
                  </w:rPr>
                  <m:t>β</m:t>
                </m:r>
              </m:oMath>
            </m:oMathPara>
          </w:p>
        </w:tc>
        <w:tc>
          <w:tcPr>
            <w:tcW w:w="1814" w:type="dxa"/>
            <w:tcBorders>
              <w:top w:val="nil"/>
              <w:left w:val="nil"/>
              <w:bottom w:val="nil"/>
              <w:right w:val="nil"/>
            </w:tcBorders>
          </w:tcPr>
          <w:p w:rsidR="00064299" w:rsidRPr="007334B7" w:rsidRDefault="000A3E1C" w:rsidP="00082FF4">
            <w:pPr>
              <w:jc w:val="center"/>
            </w:pPr>
            <w:r w:rsidRPr="007334B7">
              <w:t>0,8339 (0,0139)</w:t>
            </w:r>
            <w:r w:rsidR="000763FC" w:rsidRPr="007334B7">
              <w:fldChar w:fldCharType="begin"/>
            </w:r>
            <w:r w:rsidRPr="007334B7">
              <w:instrText xml:space="preserve"> EQ \s\up5(‡)</w:instrText>
            </w:r>
            <w:r w:rsidR="000763FC" w:rsidRPr="007334B7">
              <w:fldChar w:fldCharType="end"/>
            </w:r>
          </w:p>
        </w:tc>
        <w:tc>
          <w:tcPr>
            <w:tcW w:w="1815" w:type="dxa"/>
            <w:tcBorders>
              <w:top w:val="nil"/>
              <w:left w:val="nil"/>
              <w:bottom w:val="nil"/>
              <w:right w:val="nil"/>
            </w:tcBorders>
          </w:tcPr>
          <w:p w:rsidR="00064299" w:rsidRPr="007334B7" w:rsidRDefault="000A3E1C" w:rsidP="00082FF4">
            <w:pPr>
              <w:jc w:val="center"/>
            </w:pPr>
            <w:r w:rsidRPr="007334B7">
              <w:t>0,8649 (0,0148)</w:t>
            </w:r>
            <w:r w:rsidR="000763FC" w:rsidRPr="007334B7">
              <w:fldChar w:fldCharType="begin"/>
            </w:r>
            <w:r w:rsidRPr="007334B7">
              <w:instrText xml:space="preserve"> EQ \s\up5(‡)</w:instrText>
            </w:r>
            <w:r w:rsidR="000763FC" w:rsidRPr="007334B7">
              <w:fldChar w:fldCharType="end"/>
            </w:r>
          </w:p>
        </w:tc>
        <w:tc>
          <w:tcPr>
            <w:tcW w:w="1814" w:type="dxa"/>
            <w:tcBorders>
              <w:top w:val="nil"/>
              <w:left w:val="nil"/>
              <w:bottom w:val="nil"/>
              <w:right w:val="nil"/>
            </w:tcBorders>
          </w:tcPr>
          <w:p w:rsidR="00064299" w:rsidRPr="007334B7" w:rsidRDefault="000A3E1C" w:rsidP="00082FF4">
            <w:pPr>
              <w:jc w:val="center"/>
            </w:pPr>
            <w:r w:rsidRPr="007334B7">
              <w:t>0,8970 (0,0140)</w:t>
            </w:r>
            <w:r w:rsidR="000763FC" w:rsidRPr="007334B7">
              <w:fldChar w:fldCharType="begin"/>
            </w:r>
            <w:r w:rsidRPr="007334B7">
              <w:instrText xml:space="preserve"> EQ \s\up5(‡)</w:instrText>
            </w:r>
            <w:r w:rsidR="000763FC" w:rsidRPr="007334B7">
              <w:fldChar w:fldCharType="end"/>
            </w:r>
          </w:p>
        </w:tc>
        <w:tc>
          <w:tcPr>
            <w:tcW w:w="1815" w:type="dxa"/>
            <w:tcBorders>
              <w:top w:val="nil"/>
              <w:left w:val="nil"/>
              <w:bottom w:val="nil"/>
              <w:right w:val="nil"/>
            </w:tcBorders>
          </w:tcPr>
          <w:p w:rsidR="00064299" w:rsidRPr="007334B7" w:rsidRDefault="000A3E1C" w:rsidP="00082FF4">
            <w:pPr>
              <w:jc w:val="center"/>
            </w:pPr>
            <w:r w:rsidRPr="007334B7">
              <w:t>0,9190 (0,0128)</w:t>
            </w:r>
            <w:r w:rsidR="000763FC" w:rsidRPr="007334B7">
              <w:fldChar w:fldCharType="begin"/>
            </w:r>
            <w:r w:rsidRPr="007334B7">
              <w:instrText xml:space="preserve"> EQ \s\up5(‡)</w:instrText>
            </w:r>
            <w:r w:rsidR="000763FC" w:rsidRPr="007334B7">
              <w:fldChar w:fldCharType="end"/>
            </w:r>
          </w:p>
        </w:tc>
      </w:tr>
      <w:tr w:rsidR="00064299" w:rsidRPr="007334B7" w:rsidTr="00935653">
        <w:tc>
          <w:tcPr>
            <w:tcW w:w="1814" w:type="dxa"/>
            <w:tcBorders>
              <w:top w:val="nil"/>
              <w:left w:val="nil"/>
              <w:bottom w:val="nil"/>
              <w:right w:val="nil"/>
            </w:tcBorders>
          </w:tcPr>
          <w:p w:rsidR="00064299" w:rsidRPr="007334B7" w:rsidRDefault="00236A0C" w:rsidP="00082FF4">
            <w:pPr>
              <w:jc w:val="center"/>
            </w:pPr>
            <m:oMathPara>
              <m:oMath>
                <m:sSub>
                  <m:sSubPr>
                    <m:ctrlPr>
                      <w:rPr>
                        <w:rFonts w:ascii="Cambria Math" w:hAnsi="Cambria Math"/>
                        <w:i/>
                      </w:rPr>
                    </m:ctrlPr>
                  </m:sSubPr>
                  <m:e>
                    <m:r>
                      <w:rPr>
                        <w:rFonts w:ascii="Cambria Math" w:hAnsi="Cambria Math"/>
                      </w:rPr>
                      <m:t>ζ</m:t>
                    </m:r>
                  </m:e>
                  <m:sub>
                    <m:r>
                      <w:rPr>
                        <w:rFonts w:ascii="Cambria Math" w:hAnsi="Cambria Math"/>
                      </w:rPr>
                      <m:t>0</m:t>
                    </m:r>
                  </m:sub>
                </m:sSub>
              </m:oMath>
            </m:oMathPara>
          </w:p>
        </w:tc>
        <w:tc>
          <w:tcPr>
            <w:tcW w:w="1814" w:type="dxa"/>
            <w:tcBorders>
              <w:top w:val="nil"/>
              <w:left w:val="nil"/>
              <w:bottom w:val="nil"/>
              <w:right w:val="nil"/>
            </w:tcBorders>
          </w:tcPr>
          <w:p w:rsidR="00064299" w:rsidRPr="007334B7" w:rsidRDefault="000A3E1C" w:rsidP="00082FF4">
            <w:pPr>
              <w:jc w:val="center"/>
            </w:pPr>
            <w:r w:rsidRPr="007334B7">
              <w:t>-0,6036 (0,1274)</w:t>
            </w:r>
            <w:r w:rsidR="000763FC" w:rsidRPr="007334B7">
              <w:fldChar w:fldCharType="begin"/>
            </w:r>
            <w:r w:rsidRPr="007334B7">
              <w:instrText xml:space="preserve"> EQ \s\up5(‡)</w:instrText>
            </w:r>
            <w:r w:rsidR="000763FC" w:rsidRPr="007334B7">
              <w:fldChar w:fldCharType="end"/>
            </w:r>
          </w:p>
        </w:tc>
        <w:tc>
          <w:tcPr>
            <w:tcW w:w="1815" w:type="dxa"/>
            <w:tcBorders>
              <w:top w:val="nil"/>
              <w:left w:val="nil"/>
              <w:bottom w:val="nil"/>
              <w:right w:val="nil"/>
            </w:tcBorders>
          </w:tcPr>
          <w:p w:rsidR="00064299" w:rsidRPr="007334B7" w:rsidRDefault="000A3E1C" w:rsidP="00082FF4">
            <w:pPr>
              <w:jc w:val="center"/>
            </w:pPr>
            <w:r w:rsidRPr="007334B7">
              <w:t>-0,5316 (0,0959)</w:t>
            </w:r>
            <w:r w:rsidR="000763FC" w:rsidRPr="007334B7">
              <w:fldChar w:fldCharType="begin"/>
            </w:r>
            <w:r w:rsidRPr="007334B7">
              <w:instrText xml:space="preserve"> EQ \s\up5(‡)</w:instrText>
            </w:r>
            <w:r w:rsidR="000763FC" w:rsidRPr="007334B7">
              <w:fldChar w:fldCharType="end"/>
            </w:r>
          </w:p>
        </w:tc>
        <w:tc>
          <w:tcPr>
            <w:tcW w:w="1814" w:type="dxa"/>
            <w:tcBorders>
              <w:top w:val="nil"/>
              <w:left w:val="nil"/>
              <w:bottom w:val="nil"/>
              <w:right w:val="nil"/>
            </w:tcBorders>
          </w:tcPr>
          <w:p w:rsidR="00064299" w:rsidRPr="007334B7" w:rsidRDefault="000A3E1C" w:rsidP="00082FF4">
            <w:pPr>
              <w:jc w:val="center"/>
            </w:pPr>
            <w:r w:rsidRPr="007334B7">
              <w:t>-0,5158 (0,0718)</w:t>
            </w:r>
            <w:r w:rsidR="000763FC" w:rsidRPr="007334B7">
              <w:fldChar w:fldCharType="begin"/>
            </w:r>
            <w:r w:rsidRPr="007334B7">
              <w:instrText xml:space="preserve"> EQ \s\up5(‡)</w:instrText>
            </w:r>
            <w:r w:rsidR="000763FC" w:rsidRPr="007334B7">
              <w:fldChar w:fldCharType="end"/>
            </w:r>
          </w:p>
        </w:tc>
        <w:tc>
          <w:tcPr>
            <w:tcW w:w="1815" w:type="dxa"/>
            <w:tcBorders>
              <w:top w:val="nil"/>
              <w:left w:val="nil"/>
              <w:bottom w:val="nil"/>
              <w:right w:val="nil"/>
            </w:tcBorders>
          </w:tcPr>
          <w:p w:rsidR="00082FF4" w:rsidRPr="007334B7" w:rsidRDefault="000A3E1C" w:rsidP="00082FF4">
            <w:pPr>
              <w:jc w:val="center"/>
            </w:pPr>
            <w:r w:rsidRPr="007334B7">
              <w:t>0,1469 (0,1982)</w:t>
            </w:r>
          </w:p>
        </w:tc>
      </w:tr>
      <w:tr w:rsidR="00064299" w:rsidRPr="007334B7" w:rsidTr="00935653">
        <w:tc>
          <w:tcPr>
            <w:tcW w:w="1814" w:type="dxa"/>
            <w:tcBorders>
              <w:top w:val="nil"/>
              <w:left w:val="nil"/>
              <w:bottom w:val="nil"/>
              <w:right w:val="nil"/>
            </w:tcBorders>
          </w:tcPr>
          <w:p w:rsidR="00064299" w:rsidRPr="007334B7" w:rsidRDefault="00236A0C" w:rsidP="00082FF4">
            <w:pPr>
              <w:jc w:val="center"/>
            </w:pPr>
            <m:oMathPara>
              <m:oMath>
                <m:sSub>
                  <m:sSubPr>
                    <m:ctrlPr>
                      <w:rPr>
                        <w:rFonts w:ascii="Cambria Math" w:hAnsi="Cambria Math"/>
                        <w:i/>
                      </w:rPr>
                    </m:ctrlPr>
                  </m:sSubPr>
                  <m:e>
                    <m:r>
                      <w:rPr>
                        <w:rFonts w:ascii="Cambria Math" w:hAnsi="Cambria Math"/>
                      </w:rPr>
                      <m:t>ζ</m:t>
                    </m:r>
                  </m:e>
                  <m:sub>
                    <m:r>
                      <w:rPr>
                        <w:rFonts w:ascii="Cambria Math" w:hAnsi="Cambria Math"/>
                      </w:rPr>
                      <m:t>1</m:t>
                    </m:r>
                  </m:sub>
                </m:sSub>
              </m:oMath>
            </m:oMathPara>
          </w:p>
        </w:tc>
        <w:tc>
          <w:tcPr>
            <w:tcW w:w="1814" w:type="dxa"/>
            <w:tcBorders>
              <w:top w:val="nil"/>
              <w:left w:val="nil"/>
              <w:bottom w:val="nil"/>
              <w:right w:val="nil"/>
            </w:tcBorders>
          </w:tcPr>
          <w:p w:rsidR="00064299" w:rsidRPr="007334B7" w:rsidRDefault="000A3E1C" w:rsidP="00082FF4">
            <w:pPr>
              <w:jc w:val="center"/>
            </w:pPr>
            <w:r w:rsidRPr="007334B7">
              <w:t>-</w:t>
            </w:r>
          </w:p>
        </w:tc>
        <w:tc>
          <w:tcPr>
            <w:tcW w:w="1815" w:type="dxa"/>
            <w:tcBorders>
              <w:top w:val="nil"/>
              <w:left w:val="nil"/>
              <w:bottom w:val="nil"/>
              <w:right w:val="nil"/>
            </w:tcBorders>
          </w:tcPr>
          <w:p w:rsidR="00064299" w:rsidRPr="007334B7" w:rsidRDefault="000A3E1C" w:rsidP="00082FF4">
            <w:pPr>
              <w:jc w:val="center"/>
            </w:pPr>
            <w:r w:rsidRPr="007334B7">
              <w:t>-</w:t>
            </w:r>
          </w:p>
        </w:tc>
        <w:tc>
          <w:tcPr>
            <w:tcW w:w="1814" w:type="dxa"/>
            <w:tcBorders>
              <w:top w:val="nil"/>
              <w:left w:val="nil"/>
              <w:bottom w:val="nil"/>
              <w:right w:val="nil"/>
            </w:tcBorders>
          </w:tcPr>
          <w:p w:rsidR="00064299" w:rsidRPr="007334B7" w:rsidRDefault="000A3E1C" w:rsidP="00082FF4">
            <w:pPr>
              <w:jc w:val="center"/>
            </w:pPr>
            <w:r w:rsidRPr="007334B7">
              <w:t>0,0454 (0,0273)</w:t>
            </w:r>
            <w:r w:rsidR="00082FF4" w:rsidRPr="007334B7">
              <w:t xml:space="preserve"> </w:t>
            </w:r>
            <w:r w:rsidRPr="007334B7">
              <w:t>*</w:t>
            </w:r>
          </w:p>
        </w:tc>
        <w:tc>
          <w:tcPr>
            <w:tcW w:w="1815" w:type="dxa"/>
            <w:tcBorders>
              <w:top w:val="nil"/>
              <w:left w:val="nil"/>
              <w:bottom w:val="nil"/>
              <w:right w:val="nil"/>
            </w:tcBorders>
          </w:tcPr>
          <w:p w:rsidR="00064299" w:rsidRPr="007334B7" w:rsidRDefault="00082FF4" w:rsidP="00082FF4">
            <w:r w:rsidRPr="007334B7">
              <w:t xml:space="preserve"> </w:t>
            </w:r>
            <w:r w:rsidR="000A3E1C" w:rsidRPr="007334B7">
              <w:t>0,6545 (0,2388)</w:t>
            </w:r>
            <w:r w:rsidR="000763FC" w:rsidRPr="007334B7">
              <w:fldChar w:fldCharType="begin"/>
            </w:r>
            <w:r w:rsidR="000A3E1C" w:rsidRPr="007334B7">
              <w:instrText xml:space="preserve"> EQ \s\up5(‡)</w:instrText>
            </w:r>
            <w:r w:rsidR="000763FC" w:rsidRPr="007334B7">
              <w:fldChar w:fldCharType="end"/>
            </w:r>
          </w:p>
        </w:tc>
      </w:tr>
      <w:tr w:rsidR="00064299" w:rsidRPr="007334B7" w:rsidTr="00935653">
        <w:tc>
          <w:tcPr>
            <w:tcW w:w="1814" w:type="dxa"/>
            <w:tcBorders>
              <w:top w:val="nil"/>
              <w:left w:val="nil"/>
              <w:bottom w:val="nil"/>
              <w:right w:val="nil"/>
            </w:tcBorders>
          </w:tcPr>
          <w:p w:rsidR="00064299" w:rsidRPr="007334B7" w:rsidRDefault="00236A0C" w:rsidP="00082FF4">
            <w:pPr>
              <w:jc w:val="center"/>
            </w:pPr>
            <m:oMathPara>
              <m:oMath>
                <m:sSub>
                  <m:sSubPr>
                    <m:ctrlPr>
                      <w:rPr>
                        <w:rFonts w:ascii="Cambria Math" w:hAnsi="Cambria Math"/>
                        <w:i/>
                      </w:rPr>
                    </m:ctrlPr>
                  </m:sSubPr>
                  <m:e>
                    <m:r>
                      <w:rPr>
                        <w:rFonts w:ascii="Cambria Math" w:hAnsi="Cambria Math"/>
                      </w:rPr>
                      <m:t>η</m:t>
                    </m:r>
                  </m:e>
                  <m:sub>
                    <m:r>
                      <w:rPr>
                        <w:rFonts w:ascii="Cambria Math" w:hAnsi="Cambria Math"/>
                      </w:rPr>
                      <m:t>0</m:t>
                    </m:r>
                  </m:sub>
                </m:sSub>
              </m:oMath>
            </m:oMathPara>
          </w:p>
        </w:tc>
        <w:tc>
          <w:tcPr>
            <w:tcW w:w="1814" w:type="dxa"/>
            <w:tcBorders>
              <w:top w:val="nil"/>
              <w:left w:val="nil"/>
              <w:bottom w:val="nil"/>
              <w:right w:val="nil"/>
            </w:tcBorders>
          </w:tcPr>
          <w:p w:rsidR="00064299" w:rsidRPr="007334B7" w:rsidRDefault="000A3E1C" w:rsidP="00082FF4">
            <w:pPr>
              <w:jc w:val="center"/>
            </w:pPr>
            <w:r w:rsidRPr="007334B7">
              <w:t>0,2191 (0,0904)</w:t>
            </w:r>
            <w:r w:rsidR="000763FC" w:rsidRPr="007334B7">
              <w:fldChar w:fldCharType="begin"/>
            </w:r>
            <w:r w:rsidRPr="007334B7">
              <w:instrText xml:space="preserve"> EQ \s\up5(†)</w:instrText>
            </w:r>
            <w:r w:rsidR="000763FC" w:rsidRPr="007334B7">
              <w:fldChar w:fldCharType="end"/>
            </w:r>
          </w:p>
        </w:tc>
        <w:tc>
          <w:tcPr>
            <w:tcW w:w="1815" w:type="dxa"/>
            <w:tcBorders>
              <w:top w:val="nil"/>
              <w:left w:val="nil"/>
              <w:bottom w:val="nil"/>
              <w:right w:val="nil"/>
            </w:tcBorders>
          </w:tcPr>
          <w:p w:rsidR="00064299" w:rsidRPr="007334B7" w:rsidRDefault="000A3E1C" w:rsidP="00082FF4">
            <w:pPr>
              <w:jc w:val="center"/>
            </w:pPr>
            <w:r w:rsidRPr="007334B7">
              <w:t>0,2541 (0,0794)</w:t>
            </w:r>
            <w:r w:rsidR="000763FC" w:rsidRPr="007334B7">
              <w:fldChar w:fldCharType="begin"/>
            </w:r>
            <w:r w:rsidRPr="007334B7">
              <w:instrText xml:space="preserve"> EQ \s\up5(‡)</w:instrText>
            </w:r>
            <w:r w:rsidR="000763FC" w:rsidRPr="007334B7">
              <w:fldChar w:fldCharType="end"/>
            </w:r>
          </w:p>
        </w:tc>
        <w:tc>
          <w:tcPr>
            <w:tcW w:w="1814" w:type="dxa"/>
            <w:tcBorders>
              <w:top w:val="nil"/>
              <w:left w:val="nil"/>
              <w:bottom w:val="nil"/>
              <w:right w:val="nil"/>
            </w:tcBorders>
          </w:tcPr>
          <w:p w:rsidR="00064299" w:rsidRPr="007334B7" w:rsidRDefault="000A3E1C" w:rsidP="00082FF4">
            <w:pPr>
              <w:jc w:val="center"/>
            </w:pPr>
            <w:r w:rsidRPr="007334B7">
              <w:t>0,3493 (0,0960)</w:t>
            </w:r>
            <w:r w:rsidR="000763FC" w:rsidRPr="007334B7">
              <w:fldChar w:fldCharType="begin"/>
            </w:r>
            <w:r w:rsidRPr="007334B7">
              <w:instrText xml:space="preserve"> EQ \s\up5(‡)</w:instrText>
            </w:r>
            <w:r w:rsidR="000763FC" w:rsidRPr="007334B7">
              <w:fldChar w:fldCharType="end"/>
            </w:r>
          </w:p>
        </w:tc>
        <w:tc>
          <w:tcPr>
            <w:tcW w:w="1815" w:type="dxa"/>
            <w:tcBorders>
              <w:top w:val="nil"/>
              <w:left w:val="nil"/>
              <w:bottom w:val="nil"/>
              <w:right w:val="nil"/>
            </w:tcBorders>
          </w:tcPr>
          <w:p w:rsidR="00064299" w:rsidRPr="007334B7" w:rsidRDefault="000A3E1C" w:rsidP="00082FF4">
            <w:pPr>
              <w:jc w:val="center"/>
            </w:pPr>
            <w:r w:rsidRPr="007334B7">
              <w:t>0,2128 (0,0702)</w:t>
            </w:r>
            <w:r w:rsidR="000763FC" w:rsidRPr="007334B7">
              <w:fldChar w:fldCharType="begin"/>
            </w:r>
            <w:r w:rsidRPr="007334B7">
              <w:instrText xml:space="preserve"> EQ \s\up5(‡)</w:instrText>
            </w:r>
            <w:r w:rsidR="000763FC" w:rsidRPr="007334B7">
              <w:fldChar w:fldCharType="end"/>
            </w:r>
          </w:p>
        </w:tc>
      </w:tr>
      <w:tr w:rsidR="00064299" w:rsidRPr="007334B7" w:rsidTr="00935653">
        <w:tc>
          <w:tcPr>
            <w:tcW w:w="1814" w:type="dxa"/>
            <w:tcBorders>
              <w:top w:val="nil"/>
              <w:left w:val="nil"/>
              <w:bottom w:val="nil"/>
              <w:right w:val="nil"/>
            </w:tcBorders>
          </w:tcPr>
          <w:p w:rsidR="00064299" w:rsidRPr="007334B7" w:rsidRDefault="00236A0C" w:rsidP="00082FF4">
            <w:pPr>
              <w:jc w:val="center"/>
            </w:pPr>
            <m:oMathPara>
              <m:oMath>
                <m:sSub>
                  <m:sSubPr>
                    <m:ctrlPr>
                      <w:rPr>
                        <w:rFonts w:ascii="Cambria Math" w:hAnsi="Cambria Math"/>
                        <w:i/>
                      </w:rPr>
                    </m:ctrlPr>
                  </m:sSubPr>
                  <m:e>
                    <m:r>
                      <w:rPr>
                        <w:rFonts w:ascii="Cambria Math" w:hAnsi="Cambria Math"/>
                      </w:rPr>
                      <m:t>η</m:t>
                    </m:r>
                  </m:e>
                  <m:sub>
                    <m:r>
                      <w:rPr>
                        <w:rFonts w:ascii="Cambria Math" w:hAnsi="Cambria Math"/>
                      </w:rPr>
                      <m:t>1</m:t>
                    </m:r>
                  </m:sub>
                </m:sSub>
              </m:oMath>
            </m:oMathPara>
          </w:p>
        </w:tc>
        <w:tc>
          <w:tcPr>
            <w:tcW w:w="1814" w:type="dxa"/>
            <w:tcBorders>
              <w:top w:val="nil"/>
              <w:left w:val="nil"/>
              <w:bottom w:val="nil"/>
              <w:right w:val="nil"/>
            </w:tcBorders>
          </w:tcPr>
          <w:p w:rsidR="00064299" w:rsidRPr="007334B7" w:rsidRDefault="000A3E1C" w:rsidP="00082FF4">
            <w:pPr>
              <w:jc w:val="center"/>
            </w:pPr>
            <w:r w:rsidRPr="007334B7">
              <w:t>-</w:t>
            </w:r>
          </w:p>
        </w:tc>
        <w:tc>
          <w:tcPr>
            <w:tcW w:w="1815" w:type="dxa"/>
            <w:tcBorders>
              <w:top w:val="nil"/>
              <w:left w:val="nil"/>
              <w:bottom w:val="nil"/>
              <w:right w:val="nil"/>
            </w:tcBorders>
          </w:tcPr>
          <w:p w:rsidR="00064299" w:rsidRPr="007334B7" w:rsidRDefault="000A3E1C" w:rsidP="00082FF4">
            <w:pPr>
              <w:jc w:val="center"/>
            </w:pPr>
            <w:r w:rsidRPr="007334B7">
              <w:t>-</w:t>
            </w:r>
          </w:p>
        </w:tc>
        <w:tc>
          <w:tcPr>
            <w:tcW w:w="1814" w:type="dxa"/>
            <w:tcBorders>
              <w:top w:val="nil"/>
              <w:left w:val="nil"/>
              <w:bottom w:val="nil"/>
              <w:right w:val="nil"/>
            </w:tcBorders>
          </w:tcPr>
          <w:p w:rsidR="00064299" w:rsidRPr="007334B7" w:rsidRDefault="000A3E1C" w:rsidP="00082FF4">
            <w:pPr>
              <w:jc w:val="center"/>
            </w:pPr>
            <w:r w:rsidRPr="007334B7">
              <w:t>-0,1018 (0,0403)</w:t>
            </w:r>
            <w:r w:rsidR="000763FC" w:rsidRPr="007334B7">
              <w:fldChar w:fldCharType="begin"/>
            </w:r>
            <w:r w:rsidRPr="007334B7">
              <w:instrText xml:space="preserve"> EQ \s\up5(†)</w:instrText>
            </w:r>
            <w:r w:rsidR="000763FC" w:rsidRPr="007334B7">
              <w:fldChar w:fldCharType="end"/>
            </w:r>
          </w:p>
        </w:tc>
        <w:tc>
          <w:tcPr>
            <w:tcW w:w="1815" w:type="dxa"/>
            <w:tcBorders>
              <w:top w:val="nil"/>
              <w:left w:val="nil"/>
              <w:bottom w:val="nil"/>
              <w:right w:val="nil"/>
            </w:tcBorders>
          </w:tcPr>
          <w:p w:rsidR="00064299" w:rsidRPr="007334B7" w:rsidRDefault="000A3E1C" w:rsidP="00082FF4">
            <w:pPr>
              <w:jc w:val="center"/>
            </w:pPr>
            <w:r w:rsidRPr="007334B7">
              <w:t>-0,0531 (0,0341)</w:t>
            </w:r>
          </w:p>
        </w:tc>
      </w:tr>
      <w:tr w:rsidR="00064299" w:rsidRPr="007334B7" w:rsidTr="00935653">
        <w:tc>
          <w:tcPr>
            <w:tcW w:w="1814" w:type="dxa"/>
            <w:tcBorders>
              <w:top w:val="nil"/>
              <w:left w:val="nil"/>
              <w:bottom w:val="nil"/>
              <w:right w:val="nil"/>
            </w:tcBorders>
          </w:tcPr>
          <w:p w:rsidR="00064299" w:rsidRPr="007334B7" w:rsidRDefault="00236A0C" w:rsidP="00082FF4">
            <w:pPr>
              <w:jc w:val="center"/>
            </w:pPr>
            <m:oMathPara>
              <m:oMath>
                <m:sSub>
                  <m:sSubPr>
                    <m:ctrlPr>
                      <w:rPr>
                        <w:rFonts w:ascii="Cambria Math" w:hAnsi="Cambria Math"/>
                        <w:i/>
                      </w:rPr>
                    </m:ctrlPr>
                  </m:sSubPr>
                  <m:e>
                    <m:r>
                      <w:rPr>
                        <w:rFonts w:ascii="Cambria Math" w:hAnsi="Cambria Math"/>
                      </w:rPr>
                      <m:t>η</m:t>
                    </m:r>
                  </m:e>
                  <m:sub>
                    <m:r>
                      <w:rPr>
                        <w:rFonts w:ascii="Cambria Math" w:hAnsi="Cambria Math"/>
                      </w:rPr>
                      <m:t>2</m:t>
                    </m:r>
                  </m:sub>
                </m:sSub>
              </m:oMath>
            </m:oMathPara>
          </w:p>
        </w:tc>
        <w:tc>
          <w:tcPr>
            <w:tcW w:w="1814" w:type="dxa"/>
            <w:tcBorders>
              <w:top w:val="nil"/>
              <w:left w:val="nil"/>
              <w:bottom w:val="nil"/>
              <w:right w:val="nil"/>
            </w:tcBorders>
          </w:tcPr>
          <w:p w:rsidR="00064299" w:rsidRPr="007334B7" w:rsidRDefault="000A3E1C" w:rsidP="00082FF4">
            <w:pPr>
              <w:jc w:val="center"/>
            </w:pPr>
            <w:r w:rsidRPr="007334B7">
              <w:t>-</w:t>
            </w:r>
          </w:p>
        </w:tc>
        <w:tc>
          <w:tcPr>
            <w:tcW w:w="1815" w:type="dxa"/>
            <w:tcBorders>
              <w:top w:val="nil"/>
              <w:left w:val="nil"/>
              <w:bottom w:val="nil"/>
              <w:right w:val="nil"/>
            </w:tcBorders>
          </w:tcPr>
          <w:p w:rsidR="00064299" w:rsidRPr="007334B7" w:rsidRDefault="000A3E1C" w:rsidP="00082FF4">
            <w:pPr>
              <w:jc w:val="center"/>
            </w:pPr>
            <w:r w:rsidRPr="007334B7">
              <w:t>-</w:t>
            </w:r>
          </w:p>
        </w:tc>
        <w:tc>
          <w:tcPr>
            <w:tcW w:w="1814" w:type="dxa"/>
            <w:tcBorders>
              <w:top w:val="nil"/>
              <w:left w:val="nil"/>
              <w:bottom w:val="nil"/>
              <w:right w:val="nil"/>
            </w:tcBorders>
          </w:tcPr>
          <w:p w:rsidR="00064299" w:rsidRPr="007334B7" w:rsidRDefault="000A3E1C" w:rsidP="00082FF4">
            <w:pPr>
              <w:jc w:val="center"/>
            </w:pPr>
            <w:r w:rsidRPr="007334B7">
              <w:t>0,1292 (0,0524)</w:t>
            </w:r>
            <w:r w:rsidR="000763FC" w:rsidRPr="007334B7">
              <w:fldChar w:fldCharType="begin"/>
            </w:r>
            <w:r w:rsidRPr="007334B7">
              <w:instrText xml:space="preserve"> EQ \s\up5(†)</w:instrText>
            </w:r>
            <w:r w:rsidR="000763FC" w:rsidRPr="007334B7">
              <w:fldChar w:fldCharType="end"/>
            </w:r>
          </w:p>
        </w:tc>
        <w:tc>
          <w:tcPr>
            <w:tcW w:w="1815" w:type="dxa"/>
            <w:tcBorders>
              <w:top w:val="nil"/>
              <w:left w:val="nil"/>
              <w:bottom w:val="nil"/>
              <w:right w:val="nil"/>
            </w:tcBorders>
          </w:tcPr>
          <w:p w:rsidR="00064299" w:rsidRPr="007334B7" w:rsidRDefault="000A3E1C" w:rsidP="00082FF4">
            <w:pPr>
              <w:jc w:val="center"/>
            </w:pPr>
            <w:r w:rsidRPr="007334B7">
              <w:t>0,1204 (0,0479)</w:t>
            </w:r>
            <w:r w:rsidR="000763FC" w:rsidRPr="007334B7">
              <w:fldChar w:fldCharType="begin"/>
            </w:r>
            <w:r w:rsidRPr="007334B7">
              <w:instrText xml:space="preserve"> EQ \s\up5(†)</w:instrText>
            </w:r>
            <w:r w:rsidR="000763FC" w:rsidRPr="007334B7">
              <w:fldChar w:fldCharType="end"/>
            </w:r>
          </w:p>
        </w:tc>
      </w:tr>
      <w:tr w:rsidR="00064299" w:rsidRPr="007334B7" w:rsidTr="00935653">
        <w:tc>
          <w:tcPr>
            <w:tcW w:w="1814" w:type="dxa"/>
            <w:tcBorders>
              <w:top w:val="nil"/>
              <w:left w:val="nil"/>
              <w:bottom w:val="nil"/>
              <w:right w:val="nil"/>
            </w:tcBorders>
          </w:tcPr>
          <w:p w:rsidR="00064299" w:rsidRPr="007334B7" w:rsidRDefault="00236A0C" w:rsidP="00082FF4">
            <w:pPr>
              <w:jc w:val="center"/>
            </w:pPr>
            <m:oMathPara>
              <m:oMath>
                <m:sSub>
                  <m:sSubPr>
                    <m:ctrlPr>
                      <w:rPr>
                        <w:rFonts w:ascii="Cambria Math" w:hAnsi="Cambria Math"/>
                        <w:i/>
                      </w:rPr>
                    </m:ctrlPr>
                  </m:sSubPr>
                  <m:e>
                    <m:r>
                      <w:rPr>
                        <w:rFonts w:ascii="Cambria Math" w:hAnsi="Cambria Math"/>
                      </w:rPr>
                      <m:t>λ</m:t>
                    </m:r>
                  </m:e>
                  <m:sub>
                    <m:r>
                      <w:rPr>
                        <w:rFonts w:ascii="Cambria Math" w:hAnsi="Cambria Math"/>
                      </w:rPr>
                      <m:t>0</m:t>
                    </m:r>
                  </m:sub>
                </m:sSub>
              </m:oMath>
            </m:oMathPara>
          </w:p>
        </w:tc>
        <w:tc>
          <w:tcPr>
            <w:tcW w:w="1814" w:type="dxa"/>
            <w:tcBorders>
              <w:top w:val="nil"/>
              <w:left w:val="nil"/>
              <w:bottom w:val="nil"/>
              <w:right w:val="nil"/>
            </w:tcBorders>
          </w:tcPr>
          <w:p w:rsidR="00064299" w:rsidRPr="007334B7" w:rsidRDefault="000A3E1C" w:rsidP="00082FF4">
            <w:pPr>
              <w:jc w:val="center"/>
            </w:pPr>
            <w:r w:rsidRPr="007334B7">
              <w:t>0,2018 (0,0965)</w:t>
            </w:r>
            <w:r w:rsidR="000763FC" w:rsidRPr="007334B7">
              <w:fldChar w:fldCharType="begin"/>
            </w:r>
            <w:r w:rsidRPr="007334B7">
              <w:instrText xml:space="preserve"> EQ \s\up5(†)</w:instrText>
            </w:r>
            <w:r w:rsidR="000763FC" w:rsidRPr="007334B7">
              <w:fldChar w:fldCharType="end"/>
            </w:r>
          </w:p>
        </w:tc>
        <w:tc>
          <w:tcPr>
            <w:tcW w:w="1815" w:type="dxa"/>
            <w:tcBorders>
              <w:top w:val="nil"/>
              <w:left w:val="nil"/>
              <w:bottom w:val="nil"/>
              <w:right w:val="nil"/>
            </w:tcBorders>
          </w:tcPr>
          <w:p w:rsidR="00064299" w:rsidRPr="007334B7" w:rsidRDefault="000A3E1C" w:rsidP="00082FF4">
            <w:pPr>
              <w:jc w:val="center"/>
            </w:pPr>
            <w:r w:rsidRPr="007334B7">
              <w:t>0,0692 (0,0328)</w:t>
            </w:r>
            <w:r w:rsidR="000763FC" w:rsidRPr="007334B7">
              <w:fldChar w:fldCharType="begin"/>
            </w:r>
            <w:r w:rsidRPr="007334B7">
              <w:instrText xml:space="preserve"> EQ \s\up5(†)</w:instrText>
            </w:r>
            <w:r w:rsidR="000763FC" w:rsidRPr="007334B7">
              <w:fldChar w:fldCharType="end"/>
            </w:r>
          </w:p>
        </w:tc>
        <w:tc>
          <w:tcPr>
            <w:tcW w:w="1814" w:type="dxa"/>
            <w:tcBorders>
              <w:top w:val="nil"/>
              <w:left w:val="nil"/>
              <w:bottom w:val="nil"/>
              <w:right w:val="nil"/>
            </w:tcBorders>
          </w:tcPr>
          <w:p w:rsidR="00064299" w:rsidRPr="007334B7" w:rsidRDefault="000A3E1C" w:rsidP="00082FF4">
            <w:pPr>
              <w:jc w:val="center"/>
            </w:pPr>
            <w:r w:rsidRPr="007334B7">
              <w:t>0,0665 (0,0231)</w:t>
            </w:r>
            <w:r w:rsidR="000763FC" w:rsidRPr="007334B7">
              <w:fldChar w:fldCharType="begin"/>
            </w:r>
            <w:r w:rsidRPr="007334B7">
              <w:instrText xml:space="preserve"> EQ \s\up5(‡)</w:instrText>
            </w:r>
            <w:r w:rsidR="000763FC" w:rsidRPr="007334B7">
              <w:fldChar w:fldCharType="end"/>
            </w:r>
          </w:p>
        </w:tc>
        <w:tc>
          <w:tcPr>
            <w:tcW w:w="1815" w:type="dxa"/>
            <w:tcBorders>
              <w:top w:val="nil"/>
              <w:left w:val="nil"/>
              <w:bottom w:val="nil"/>
              <w:right w:val="nil"/>
            </w:tcBorders>
          </w:tcPr>
          <w:p w:rsidR="00064299" w:rsidRPr="007334B7" w:rsidRDefault="000A3E1C" w:rsidP="00082FF4">
            <w:pPr>
              <w:jc w:val="center"/>
            </w:pPr>
            <w:r w:rsidRPr="007334B7">
              <w:t>0,1505 (0,0616)</w:t>
            </w:r>
            <w:r w:rsidR="000763FC" w:rsidRPr="007334B7">
              <w:fldChar w:fldCharType="begin"/>
            </w:r>
            <w:r w:rsidRPr="007334B7">
              <w:instrText xml:space="preserve"> EQ \s\up5(†)</w:instrText>
            </w:r>
            <w:r w:rsidR="000763FC" w:rsidRPr="007334B7">
              <w:fldChar w:fldCharType="end"/>
            </w:r>
          </w:p>
        </w:tc>
      </w:tr>
      <w:tr w:rsidR="00064299" w:rsidRPr="007334B7" w:rsidTr="00935653">
        <w:tc>
          <w:tcPr>
            <w:tcW w:w="1814" w:type="dxa"/>
            <w:tcBorders>
              <w:top w:val="nil"/>
              <w:left w:val="nil"/>
              <w:bottom w:val="nil"/>
              <w:right w:val="nil"/>
            </w:tcBorders>
          </w:tcPr>
          <w:p w:rsidR="00064299" w:rsidRPr="007334B7" w:rsidRDefault="00840119" w:rsidP="00082FF4">
            <w:pPr>
              <w:jc w:val="center"/>
            </w:pPr>
            <m:oMathPara>
              <m:oMath>
                <m:r>
                  <w:rPr>
                    <w:rFonts w:ascii="Cambria Math" w:hAnsi="Cambria Math"/>
                  </w:rPr>
                  <m:t>ρ</m:t>
                </m:r>
              </m:oMath>
            </m:oMathPara>
          </w:p>
        </w:tc>
        <w:tc>
          <w:tcPr>
            <w:tcW w:w="1814" w:type="dxa"/>
            <w:tcBorders>
              <w:top w:val="nil"/>
              <w:left w:val="nil"/>
              <w:bottom w:val="nil"/>
              <w:right w:val="nil"/>
            </w:tcBorders>
          </w:tcPr>
          <w:p w:rsidR="00064299" w:rsidRPr="007334B7" w:rsidRDefault="000A3E1C" w:rsidP="00082FF4">
            <w:pPr>
              <w:jc w:val="center"/>
            </w:pPr>
            <w:r w:rsidRPr="007334B7">
              <w:t>-</w:t>
            </w:r>
          </w:p>
        </w:tc>
        <w:tc>
          <w:tcPr>
            <w:tcW w:w="1815" w:type="dxa"/>
            <w:tcBorders>
              <w:top w:val="nil"/>
              <w:left w:val="nil"/>
              <w:bottom w:val="nil"/>
              <w:right w:val="nil"/>
            </w:tcBorders>
          </w:tcPr>
          <w:p w:rsidR="00064299" w:rsidRPr="007334B7" w:rsidRDefault="000A3E1C" w:rsidP="00082FF4">
            <w:pPr>
              <w:jc w:val="center"/>
            </w:pPr>
            <w:r w:rsidRPr="007334B7">
              <w:t>0,8296 (0,0511)</w:t>
            </w:r>
            <w:r w:rsidR="000763FC" w:rsidRPr="007334B7">
              <w:fldChar w:fldCharType="begin"/>
            </w:r>
            <w:r w:rsidRPr="007334B7">
              <w:instrText xml:space="preserve"> EQ \s\up5(‡)</w:instrText>
            </w:r>
            <w:r w:rsidR="000763FC" w:rsidRPr="007334B7">
              <w:fldChar w:fldCharType="end"/>
            </w:r>
          </w:p>
        </w:tc>
        <w:tc>
          <w:tcPr>
            <w:tcW w:w="1814" w:type="dxa"/>
            <w:tcBorders>
              <w:top w:val="nil"/>
              <w:left w:val="nil"/>
              <w:bottom w:val="nil"/>
              <w:right w:val="nil"/>
            </w:tcBorders>
          </w:tcPr>
          <w:p w:rsidR="00064299" w:rsidRPr="007334B7" w:rsidRDefault="000A3E1C" w:rsidP="00082FF4">
            <w:pPr>
              <w:jc w:val="center"/>
            </w:pPr>
            <w:r w:rsidRPr="007334B7">
              <w:t>0,8644 (0,0322)</w:t>
            </w:r>
            <w:r w:rsidR="000763FC" w:rsidRPr="007334B7">
              <w:fldChar w:fldCharType="begin"/>
            </w:r>
            <w:r w:rsidRPr="007334B7">
              <w:instrText xml:space="preserve"> EQ \s\up5(‡)</w:instrText>
            </w:r>
            <w:r w:rsidR="000763FC" w:rsidRPr="007334B7">
              <w:fldChar w:fldCharType="end"/>
            </w:r>
          </w:p>
        </w:tc>
        <w:tc>
          <w:tcPr>
            <w:tcW w:w="1815" w:type="dxa"/>
            <w:tcBorders>
              <w:top w:val="nil"/>
              <w:left w:val="nil"/>
              <w:bottom w:val="nil"/>
              <w:right w:val="nil"/>
            </w:tcBorders>
          </w:tcPr>
          <w:p w:rsidR="00064299" w:rsidRPr="007334B7" w:rsidRDefault="000A3E1C" w:rsidP="00082FF4">
            <w:pPr>
              <w:jc w:val="center"/>
            </w:pPr>
            <w:r w:rsidRPr="007334B7">
              <w:t>0,8123 (0,0407)</w:t>
            </w:r>
            <w:r w:rsidR="000763FC" w:rsidRPr="007334B7">
              <w:fldChar w:fldCharType="begin"/>
            </w:r>
            <w:r w:rsidRPr="007334B7">
              <w:instrText xml:space="preserve"> EQ \s\up5(‡)</w:instrText>
            </w:r>
            <w:r w:rsidR="000763FC" w:rsidRPr="007334B7">
              <w:fldChar w:fldCharType="end"/>
            </w:r>
          </w:p>
        </w:tc>
      </w:tr>
      <w:tr w:rsidR="00064299" w:rsidRPr="007334B7" w:rsidTr="00935653">
        <w:tc>
          <w:tcPr>
            <w:tcW w:w="1814" w:type="dxa"/>
            <w:tcBorders>
              <w:top w:val="nil"/>
              <w:left w:val="nil"/>
              <w:bottom w:val="nil"/>
              <w:right w:val="nil"/>
            </w:tcBorders>
          </w:tcPr>
          <w:p w:rsidR="00064299" w:rsidRPr="007334B7" w:rsidRDefault="00840119" w:rsidP="00082FF4">
            <w:pPr>
              <w:jc w:val="center"/>
            </w:pPr>
            <m:oMathPara>
              <m:oMath>
                <m:r>
                  <w:rPr>
                    <w:rFonts w:ascii="Cambria Math" w:hAnsi="Cambria Math"/>
                  </w:rPr>
                  <m:t>γ</m:t>
                </m:r>
              </m:oMath>
            </m:oMathPara>
          </w:p>
        </w:tc>
        <w:tc>
          <w:tcPr>
            <w:tcW w:w="1814" w:type="dxa"/>
            <w:tcBorders>
              <w:top w:val="nil"/>
              <w:left w:val="nil"/>
              <w:bottom w:val="nil"/>
              <w:right w:val="nil"/>
            </w:tcBorders>
          </w:tcPr>
          <w:p w:rsidR="00064299" w:rsidRPr="007334B7" w:rsidRDefault="000A3E1C" w:rsidP="00082FF4">
            <w:pPr>
              <w:jc w:val="center"/>
            </w:pPr>
            <w:r w:rsidRPr="007334B7">
              <w:t>-</w:t>
            </w:r>
          </w:p>
        </w:tc>
        <w:tc>
          <w:tcPr>
            <w:tcW w:w="1815" w:type="dxa"/>
            <w:tcBorders>
              <w:top w:val="nil"/>
              <w:left w:val="nil"/>
              <w:bottom w:val="nil"/>
              <w:right w:val="nil"/>
            </w:tcBorders>
          </w:tcPr>
          <w:p w:rsidR="00064299" w:rsidRPr="007334B7" w:rsidRDefault="000A3E1C" w:rsidP="00082FF4">
            <w:pPr>
              <w:jc w:val="center"/>
            </w:pPr>
            <w:r w:rsidRPr="007334B7">
              <w:t>1,3908 (0,3944)</w:t>
            </w:r>
            <w:r w:rsidR="000763FC" w:rsidRPr="007334B7">
              <w:fldChar w:fldCharType="begin"/>
            </w:r>
            <w:r w:rsidRPr="007334B7">
              <w:instrText xml:space="preserve"> EQ \s\up5(‡)</w:instrText>
            </w:r>
            <w:r w:rsidR="000763FC" w:rsidRPr="007334B7">
              <w:fldChar w:fldCharType="end"/>
            </w:r>
          </w:p>
        </w:tc>
        <w:tc>
          <w:tcPr>
            <w:tcW w:w="1814" w:type="dxa"/>
            <w:tcBorders>
              <w:top w:val="nil"/>
              <w:left w:val="nil"/>
              <w:bottom w:val="nil"/>
              <w:right w:val="nil"/>
            </w:tcBorders>
          </w:tcPr>
          <w:p w:rsidR="00064299" w:rsidRPr="007334B7" w:rsidRDefault="000A3E1C" w:rsidP="00082FF4">
            <w:pPr>
              <w:jc w:val="center"/>
            </w:pPr>
            <w:r w:rsidRPr="007334B7">
              <w:t>1,5398 (0,3365)</w:t>
            </w:r>
            <w:r w:rsidR="000763FC" w:rsidRPr="007334B7">
              <w:fldChar w:fldCharType="begin"/>
            </w:r>
            <w:r w:rsidRPr="007334B7">
              <w:instrText xml:space="preserve"> EQ \s\up5(‡)</w:instrText>
            </w:r>
            <w:r w:rsidR="000763FC" w:rsidRPr="007334B7">
              <w:fldChar w:fldCharType="end"/>
            </w:r>
          </w:p>
        </w:tc>
        <w:tc>
          <w:tcPr>
            <w:tcW w:w="1815" w:type="dxa"/>
            <w:tcBorders>
              <w:top w:val="nil"/>
              <w:left w:val="nil"/>
              <w:bottom w:val="nil"/>
              <w:right w:val="nil"/>
            </w:tcBorders>
          </w:tcPr>
          <w:p w:rsidR="00064299" w:rsidRPr="007334B7" w:rsidRDefault="000A3E1C" w:rsidP="00082FF4">
            <w:pPr>
              <w:jc w:val="center"/>
            </w:pPr>
            <w:r w:rsidRPr="007334B7">
              <w:t>1,4820 (0,2980)</w:t>
            </w:r>
            <w:r w:rsidR="000763FC" w:rsidRPr="007334B7">
              <w:fldChar w:fldCharType="begin"/>
            </w:r>
            <w:r w:rsidRPr="007334B7">
              <w:instrText xml:space="preserve"> EQ \s\up5(‡)</w:instrText>
            </w:r>
            <w:r w:rsidR="000763FC" w:rsidRPr="007334B7">
              <w:fldChar w:fldCharType="end"/>
            </w:r>
          </w:p>
        </w:tc>
      </w:tr>
      <w:tr w:rsidR="00064299" w:rsidRPr="007334B7" w:rsidTr="00935653">
        <w:tc>
          <w:tcPr>
            <w:tcW w:w="1814" w:type="dxa"/>
            <w:tcBorders>
              <w:top w:val="nil"/>
              <w:left w:val="nil"/>
              <w:bottom w:val="nil"/>
              <w:right w:val="nil"/>
            </w:tcBorders>
          </w:tcPr>
          <w:p w:rsidR="00064299" w:rsidRPr="007334B7" w:rsidRDefault="00236A0C" w:rsidP="00082FF4">
            <w:pPr>
              <w:jc w:val="center"/>
            </w:pPr>
            <m:oMathPara>
              <m:oMath>
                <m:sSub>
                  <m:sSubPr>
                    <m:ctrlPr>
                      <w:rPr>
                        <w:rFonts w:ascii="Cambria Math" w:hAnsi="Cambria Math"/>
                        <w:i/>
                      </w:rPr>
                    </m:ctrlPr>
                  </m:sSubPr>
                  <m:e>
                    <m:r>
                      <w:rPr>
                        <w:rFonts w:ascii="Cambria Math" w:hAnsi="Cambria Math"/>
                      </w:rPr>
                      <m:t>L</m:t>
                    </m:r>
                  </m:e>
                  <m:sub>
                    <m:r>
                      <w:rPr>
                        <w:rFonts w:ascii="Cambria Math" w:hAnsi="Cambria Math"/>
                      </w:rPr>
                      <m:t>max</m:t>
                    </m:r>
                  </m:sub>
                </m:sSub>
              </m:oMath>
            </m:oMathPara>
          </w:p>
        </w:tc>
        <w:tc>
          <w:tcPr>
            <w:tcW w:w="1814" w:type="dxa"/>
            <w:tcBorders>
              <w:top w:val="nil"/>
              <w:left w:val="nil"/>
              <w:bottom w:val="nil"/>
              <w:right w:val="nil"/>
            </w:tcBorders>
          </w:tcPr>
          <w:p w:rsidR="00064299" w:rsidRPr="007334B7" w:rsidRDefault="000A3E1C" w:rsidP="00082FF4">
            <w:pPr>
              <w:jc w:val="center"/>
            </w:pPr>
            <w:r w:rsidRPr="007334B7">
              <w:t>-3917,8657</w:t>
            </w:r>
          </w:p>
        </w:tc>
        <w:tc>
          <w:tcPr>
            <w:tcW w:w="1815" w:type="dxa"/>
            <w:tcBorders>
              <w:top w:val="nil"/>
              <w:left w:val="nil"/>
              <w:bottom w:val="nil"/>
              <w:right w:val="nil"/>
            </w:tcBorders>
          </w:tcPr>
          <w:p w:rsidR="00064299" w:rsidRPr="007334B7" w:rsidRDefault="000A3E1C" w:rsidP="00082FF4">
            <w:pPr>
              <w:jc w:val="center"/>
            </w:pPr>
            <w:r w:rsidRPr="007334B7">
              <w:t>-3899,0767</w:t>
            </w:r>
          </w:p>
        </w:tc>
        <w:tc>
          <w:tcPr>
            <w:tcW w:w="1814" w:type="dxa"/>
            <w:tcBorders>
              <w:top w:val="nil"/>
              <w:left w:val="nil"/>
              <w:bottom w:val="nil"/>
              <w:right w:val="nil"/>
            </w:tcBorders>
          </w:tcPr>
          <w:p w:rsidR="00064299" w:rsidRPr="007334B7" w:rsidRDefault="000A3E1C" w:rsidP="00082FF4">
            <w:pPr>
              <w:jc w:val="center"/>
            </w:pPr>
            <w:r w:rsidRPr="007334B7">
              <w:t>-3885,5840</w:t>
            </w:r>
          </w:p>
        </w:tc>
        <w:tc>
          <w:tcPr>
            <w:tcW w:w="1815" w:type="dxa"/>
            <w:tcBorders>
              <w:top w:val="nil"/>
              <w:left w:val="nil"/>
              <w:bottom w:val="nil"/>
              <w:right w:val="nil"/>
            </w:tcBorders>
          </w:tcPr>
          <w:p w:rsidR="00064299" w:rsidRPr="007334B7" w:rsidRDefault="000A3E1C" w:rsidP="00082FF4">
            <w:pPr>
              <w:jc w:val="center"/>
            </w:pPr>
            <w:r w:rsidRPr="007334B7">
              <w:t>-3877,3982</w:t>
            </w:r>
          </w:p>
        </w:tc>
      </w:tr>
      <w:tr w:rsidR="004007DB" w:rsidRPr="007334B7" w:rsidTr="00935653">
        <w:tc>
          <w:tcPr>
            <w:tcW w:w="1814" w:type="dxa"/>
            <w:tcBorders>
              <w:top w:val="nil"/>
              <w:left w:val="nil"/>
              <w:bottom w:val="nil"/>
              <w:right w:val="nil"/>
            </w:tcBorders>
          </w:tcPr>
          <w:p w:rsidR="004007DB" w:rsidRPr="007334B7" w:rsidRDefault="00236A0C" w:rsidP="004007DB">
            <w:pPr>
              <w:jc w:val="center"/>
              <w:rPr>
                <w:rFonts w:eastAsia="Times New Roman"/>
              </w:rPr>
            </w:pPr>
            <m:oMathPara>
              <m:oMath>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(15)</m:t>
                </m:r>
              </m:oMath>
            </m:oMathPara>
          </w:p>
        </w:tc>
        <w:tc>
          <w:tcPr>
            <w:tcW w:w="1814" w:type="dxa"/>
            <w:tcBorders>
              <w:top w:val="nil"/>
              <w:left w:val="nil"/>
              <w:bottom w:val="nil"/>
              <w:right w:val="nil"/>
            </w:tcBorders>
          </w:tcPr>
          <w:p w:rsidR="004007DB" w:rsidRPr="007334B7" w:rsidRDefault="004007DB" w:rsidP="00082FF4">
            <w:pPr>
              <w:jc w:val="center"/>
            </w:pPr>
            <w:r w:rsidRPr="007334B7">
              <w:t>14,04 [0,523]</w:t>
            </w:r>
          </w:p>
        </w:tc>
        <w:tc>
          <w:tcPr>
            <w:tcW w:w="1815" w:type="dxa"/>
            <w:tcBorders>
              <w:top w:val="nil"/>
              <w:left w:val="nil"/>
              <w:bottom w:val="nil"/>
              <w:right w:val="nil"/>
            </w:tcBorders>
          </w:tcPr>
          <w:p w:rsidR="004007DB" w:rsidRPr="007334B7" w:rsidRDefault="004007DB" w:rsidP="00082FF4">
            <w:pPr>
              <w:jc w:val="center"/>
            </w:pPr>
            <w:r w:rsidRPr="007334B7">
              <w:t>10,70 [0,774]</w:t>
            </w:r>
          </w:p>
        </w:tc>
        <w:tc>
          <w:tcPr>
            <w:tcW w:w="1814" w:type="dxa"/>
            <w:tcBorders>
              <w:top w:val="nil"/>
              <w:left w:val="nil"/>
              <w:bottom w:val="nil"/>
              <w:right w:val="nil"/>
            </w:tcBorders>
          </w:tcPr>
          <w:p w:rsidR="004007DB" w:rsidRPr="007334B7" w:rsidRDefault="004007DB" w:rsidP="00082FF4">
            <w:pPr>
              <w:jc w:val="center"/>
            </w:pPr>
            <w:r w:rsidRPr="007334B7">
              <w:t>21,47 [0,123]</w:t>
            </w:r>
          </w:p>
        </w:tc>
        <w:tc>
          <w:tcPr>
            <w:tcW w:w="1815" w:type="dxa"/>
            <w:tcBorders>
              <w:top w:val="nil"/>
              <w:left w:val="nil"/>
              <w:bottom w:val="nil"/>
              <w:right w:val="nil"/>
            </w:tcBorders>
          </w:tcPr>
          <w:p w:rsidR="004007DB" w:rsidRPr="007334B7" w:rsidRDefault="004007DB" w:rsidP="00082FF4">
            <w:pPr>
              <w:jc w:val="center"/>
            </w:pPr>
            <w:r w:rsidRPr="007334B7">
              <w:t>18,31 [0,247]</w:t>
            </w:r>
          </w:p>
        </w:tc>
      </w:tr>
      <w:tr w:rsidR="00064299" w:rsidRPr="007334B7" w:rsidTr="00935653">
        <w:tc>
          <w:tcPr>
            <w:tcW w:w="1814" w:type="dxa"/>
            <w:tcBorders>
              <w:top w:val="nil"/>
              <w:left w:val="nil"/>
              <w:bottom w:val="single" w:sz="6" w:space="0" w:color="auto"/>
              <w:right w:val="nil"/>
            </w:tcBorders>
          </w:tcPr>
          <w:p w:rsidR="00064299" w:rsidRPr="007334B7" w:rsidRDefault="00236A0C" w:rsidP="00082FF4">
            <w:pPr>
              <w:jc w:val="center"/>
            </w:pPr>
            <m:oMathPara>
              <m:oMath>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ξ</m:t>
                        </m:r>
                      </m:e>
                      <m:sub>
                        <m:r>
                          <w:rPr>
                            <w:rFonts w:ascii="Cambria Math" w:hAnsi="Cambria Math"/>
                          </w:rPr>
                          <m:t>t</m:t>
                        </m:r>
                      </m:sub>
                    </m:sSub>
                  </m:sub>
                </m:sSub>
                <m:r>
                  <w:rPr>
                    <w:rFonts w:ascii="Cambria Math" w:hAnsi="Cambria Math"/>
                  </w:rPr>
                  <m:t>(15)</m:t>
                </m:r>
              </m:oMath>
            </m:oMathPara>
          </w:p>
        </w:tc>
        <w:tc>
          <w:tcPr>
            <w:tcW w:w="1814" w:type="dxa"/>
            <w:tcBorders>
              <w:top w:val="nil"/>
              <w:left w:val="nil"/>
              <w:bottom w:val="single" w:sz="6" w:space="0" w:color="auto"/>
              <w:right w:val="nil"/>
            </w:tcBorders>
          </w:tcPr>
          <w:p w:rsidR="00064299" w:rsidRPr="007334B7" w:rsidRDefault="004007DB" w:rsidP="00082FF4">
            <w:pPr>
              <w:jc w:val="center"/>
            </w:pPr>
            <w:r w:rsidRPr="007334B7">
              <w:t>23,71 [0,070]*</w:t>
            </w:r>
          </w:p>
        </w:tc>
        <w:tc>
          <w:tcPr>
            <w:tcW w:w="1815" w:type="dxa"/>
            <w:tcBorders>
              <w:top w:val="nil"/>
              <w:left w:val="nil"/>
              <w:bottom w:val="single" w:sz="6" w:space="0" w:color="auto"/>
              <w:right w:val="nil"/>
            </w:tcBorders>
          </w:tcPr>
          <w:p w:rsidR="00064299" w:rsidRPr="007334B7" w:rsidRDefault="004007DB" w:rsidP="004007DB">
            <w:pPr>
              <w:jc w:val="center"/>
            </w:pPr>
            <w:r w:rsidRPr="007334B7">
              <w:t>16</w:t>
            </w:r>
            <w:r w:rsidR="000A3E1C" w:rsidRPr="007334B7">
              <w:t>,45 [0,</w:t>
            </w:r>
            <w:r w:rsidRPr="007334B7">
              <w:t>353</w:t>
            </w:r>
            <w:r w:rsidR="000A3E1C" w:rsidRPr="007334B7">
              <w:t>]</w:t>
            </w:r>
          </w:p>
        </w:tc>
        <w:tc>
          <w:tcPr>
            <w:tcW w:w="1814" w:type="dxa"/>
            <w:tcBorders>
              <w:top w:val="nil"/>
              <w:left w:val="nil"/>
              <w:bottom w:val="single" w:sz="6" w:space="0" w:color="auto"/>
              <w:right w:val="nil"/>
            </w:tcBorders>
          </w:tcPr>
          <w:p w:rsidR="00064299" w:rsidRPr="007334B7" w:rsidRDefault="004007DB" w:rsidP="004007DB">
            <w:pPr>
              <w:jc w:val="center"/>
            </w:pPr>
            <w:r w:rsidRPr="007334B7">
              <w:t xml:space="preserve">9,51 </w:t>
            </w:r>
            <w:r w:rsidR="000A3E1C" w:rsidRPr="007334B7">
              <w:t>[0,</w:t>
            </w:r>
            <w:r w:rsidRPr="007334B7">
              <w:t>849</w:t>
            </w:r>
            <w:r w:rsidR="000A3E1C" w:rsidRPr="007334B7">
              <w:t>]</w:t>
            </w:r>
          </w:p>
        </w:tc>
        <w:tc>
          <w:tcPr>
            <w:tcW w:w="1815" w:type="dxa"/>
            <w:tcBorders>
              <w:top w:val="nil"/>
              <w:left w:val="nil"/>
              <w:bottom w:val="single" w:sz="6" w:space="0" w:color="auto"/>
              <w:right w:val="nil"/>
            </w:tcBorders>
          </w:tcPr>
          <w:p w:rsidR="00064299" w:rsidRPr="007334B7" w:rsidRDefault="004007DB" w:rsidP="004007DB">
            <w:pPr>
              <w:jc w:val="center"/>
            </w:pPr>
            <w:r w:rsidRPr="007334B7">
              <w:t>10</w:t>
            </w:r>
            <w:r w:rsidR="000A3E1C" w:rsidRPr="007334B7">
              <w:t>,</w:t>
            </w:r>
            <w:r w:rsidRPr="007334B7">
              <w:t xml:space="preserve">63 </w:t>
            </w:r>
            <w:r w:rsidR="000A3E1C" w:rsidRPr="007334B7">
              <w:t>[0,</w:t>
            </w:r>
            <w:r w:rsidRPr="007334B7">
              <w:t>779</w:t>
            </w:r>
            <w:r w:rsidR="000A3E1C" w:rsidRPr="007334B7">
              <w:t>]</w:t>
            </w:r>
          </w:p>
        </w:tc>
      </w:tr>
      <w:tr w:rsidR="000A3E1C" w:rsidRPr="007334B7" w:rsidTr="00935653">
        <w:tc>
          <w:tcPr>
            <w:tcW w:w="9072" w:type="dxa"/>
            <w:gridSpan w:val="5"/>
            <w:tcBorders>
              <w:top w:val="nil"/>
              <w:left w:val="nil"/>
              <w:bottom w:val="nil"/>
              <w:right w:val="nil"/>
            </w:tcBorders>
          </w:tcPr>
          <w:p w:rsidR="00064299" w:rsidRPr="007334B7" w:rsidRDefault="000A3E1C" w:rsidP="00840119">
            <w:pPr>
              <w:rPr>
                <w:sz w:val="22"/>
                <w:szCs w:val="22"/>
              </w:rPr>
            </w:pPr>
            <w:r w:rsidRPr="007334B7">
              <w:rPr>
                <w:sz w:val="22"/>
                <w:szCs w:val="22"/>
              </w:rPr>
              <w:t>Os símbolos ‡, † e * denotam significância ao nível de 1%, 5% e 10%, respectivamente.</w:t>
            </w:r>
          </w:p>
        </w:tc>
      </w:tr>
      <w:tr w:rsidR="000A3E1C" w:rsidRPr="007334B7" w:rsidTr="00935653">
        <w:tc>
          <w:tcPr>
            <w:tcW w:w="9072" w:type="dxa"/>
            <w:gridSpan w:val="5"/>
            <w:tcBorders>
              <w:top w:val="nil"/>
              <w:left w:val="nil"/>
              <w:bottom w:val="nil"/>
              <w:right w:val="nil"/>
            </w:tcBorders>
          </w:tcPr>
          <w:p w:rsidR="00064299" w:rsidRPr="007334B7" w:rsidRDefault="000A3E1C" w:rsidP="00840119">
            <w:pPr>
              <w:rPr>
                <w:sz w:val="22"/>
                <w:szCs w:val="22"/>
              </w:rPr>
            </w:pPr>
            <w:r w:rsidRPr="007334B7">
              <w:rPr>
                <w:sz w:val="22"/>
                <w:szCs w:val="22"/>
              </w:rPr>
              <w:t>Valores em parênteses são os erros-padrão dos coeficientes e em c</w:t>
            </w:r>
            <w:r w:rsidR="00082FF4" w:rsidRPr="007334B7">
              <w:rPr>
                <w:sz w:val="22"/>
                <w:szCs w:val="22"/>
              </w:rPr>
              <w:t xml:space="preserve">haves são os p-valores do teste </w:t>
            </w:r>
            <w:r w:rsidRPr="007334B7">
              <w:rPr>
                <w:sz w:val="22"/>
                <w:szCs w:val="22"/>
              </w:rPr>
              <w:t>Q.</w:t>
            </w:r>
          </w:p>
          <w:p w:rsidR="00020BC9" w:rsidRPr="007334B7" w:rsidRDefault="00020BC9" w:rsidP="00840119">
            <w:pPr>
              <w:rPr>
                <w:sz w:val="22"/>
                <w:szCs w:val="22"/>
              </w:rPr>
            </w:pPr>
            <w:r w:rsidRPr="007334B7">
              <w:rPr>
                <w:sz w:val="22"/>
                <w:szCs w:val="22"/>
              </w:rPr>
              <w:t>Fonte: Elaboração própria.</w:t>
            </w:r>
          </w:p>
        </w:tc>
      </w:tr>
    </w:tbl>
    <w:p w:rsidR="00840119" w:rsidRDefault="00840119" w:rsidP="00AD2257">
      <w:pPr>
        <w:spacing w:line="360" w:lineRule="auto"/>
      </w:pPr>
    </w:p>
    <w:p w:rsidR="00064299" w:rsidRPr="00E37396" w:rsidRDefault="000A3E1C" w:rsidP="002E2600">
      <w:pPr>
        <w:spacing w:line="360" w:lineRule="auto"/>
        <w:ind w:firstLine="360"/>
      </w:pPr>
      <w:r w:rsidRPr="00E37396">
        <w:t xml:space="preserve">No segundo modelo, os parâmetros da distribuição são constantes, de modo que </w:t>
      </w:r>
      <m:oMath>
        <m:sSub>
          <m:sSubPr>
            <m:ctrlPr>
              <w:rPr>
                <w:rFonts w:ascii="Cambria Math" w:hAnsi="Cambria Math"/>
                <w:i/>
              </w:rPr>
            </m:ctrlPr>
          </m:sSubPr>
          <m:e>
            <m:r>
              <w:rPr>
                <w:rFonts w:ascii="Cambria Math" w:hAnsi="Cambria Math"/>
              </w:rPr>
              <m:t>θ</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η</m:t>
            </m:r>
          </m:e>
          <m:sub>
            <m:r>
              <w:rPr>
                <w:rFonts w:ascii="Cambria Math" w:hAnsi="Cambria Math"/>
              </w:rPr>
              <m:t>0</m:t>
            </m:r>
          </m:sub>
        </m:sSub>
      </m:oMath>
      <w:r w:rsidRPr="00E37396">
        <w:t xml:space="preserve"> e </w:t>
      </w:r>
      <m:oMath>
        <m:sSubSup>
          <m:sSubSupPr>
            <m:ctrlPr>
              <w:rPr>
                <w:rFonts w:ascii="Cambria Math" w:hAnsi="Cambria Math"/>
                <w:i/>
              </w:rPr>
            </m:ctrlPr>
          </m:sSubSupPr>
          <m:e>
            <m:r>
              <w:rPr>
                <w:rFonts w:ascii="Cambria Math" w:hAnsi="Cambria Math"/>
              </w:rPr>
              <m:t>δ</m:t>
            </m:r>
          </m:e>
          <m:sub>
            <m:r>
              <w:rPr>
                <w:rFonts w:ascii="Cambria Math" w:hAnsi="Cambria Math"/>
              </w:rPr>
              <m:t>t</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ζ</m:t>
            </m:r>
          </m:e>
          <m:sub>
            <m:r>
              <w:rPr>
                <w:rFonts w:ascii="Cambria Math" w:hAnsi="Cambria Math"/>
              </w:rPr>
              <m:t>0</m:t>
            </m:r>
          </m:sub>
          <m:sup>
            <m:r>
              <w:rPr>
                <w:rFonts w:ascii="Cambria Math" w:hAnsi="Cambria Math"/>
              </w:rPr>
              <m:t>2</m:t>
            </m:r>
          </m:sup>
        </m:sSubSup>
      </m:oMath>
      <w:r w:rsidRPr="00E37396">
        <w:t>. Porém, agora a intensidade dos saltos segue uma estrutura autorregressiva de médias móveis. Observamos que todos os parâmetros são significantes. Em particular, o número médio de saltos em dado período depende de sua intensidade no período anterior, bem como da ocorrência de saltos não previstos. O valor superio</w:t>
      </w:r>
      <w:r w:rsidR="00F320ED">
        <w:t xml:space="preserve">r do coeficiente γ em relação a </w:t>
      </w:r>
      <m:oMath>
        <m:r>
          <w:rPr>
            <w:rFonts w:ascii="Cambria Math" w:hAnsi="Cambria Math"/>
          </w:rPr>
          <m:t>ρ</m:t>
        </m:r>
      </m:oMath>
      <w:r w:rsidR="00F320ED">
        <w:t xml:space="preserve"> </w:t>
      </w:r>
      <w:r w:rsidRPr="00E37396">
        <w:t>indica que saltos não previstos no período anterior têm forte influência na probabilidade de ocorrência de novos saltos. A média incondicional do número de saltos da série é 0,4061, calculada pela equação (</w:t>
      </w:r>
      <w:fldSimple w:instr="REF BMequ_media_inc \* MERGEFORMAT ">
        <w:r w:rsidR="00C70689" w:rsidRPr="00A945B1">
          <w:t>10</w:t>
        </w:r>
      </w:fldSimple>
      <w:r w:rsidRPr="00E37396">
        <w:t xml:space="preserve">), demonstrando que o modelo </w:t>
      </w:r>
      <w:r w:rsidRPr="00E37396">
        <w:rPr>
          <w:i/>
          <w:iCs/>
        </w:rPr>
        <w:t>ARJI</w:t>
      </w:r>
      <w:r w:rsidRPr="00E37396">
        <w:t xml:space="preserve"> capta um número consideravelmente maior de saltos do que o modelo com a intensidade constante.</w:t>
      </w:r>
    </w:p>
    <w:p w:rsidR="00064299" w:rsidRPr="00E37396" w:rsidRDefault="000A3E1C" w:rsidP="002E2600">
      <w:pPr>
        <w:spacing w:line="360" w:lineRule="auto"/>
        <w:ind w:firstLine="360"/>
      </w:pPr>
      <w:r w:rsidRPr="00E37396">
        <w:t xml:space="preserve">Por outro lado, o coeficiente </w:t>
      </w:r>
      <m:oMath>
        <m:sSub>
          <m:sSubPr>
            <m:ctrlPr>
              <w:rPr>
                <w:rFonts w:ascii="Cambria Math" w:hAnsi="Cambria Math"/>
                <w:i/>
              </w:rPr>
            </m:ctrlPr>
          </m:sSubPr>
          <m:e>
            <m:r>
              <w:rPr>
                <w:rFonts w:ascii="Cambria Math" w:hAnsi="Cambria Math"/>
              </w:rPr>
              <m:t>η</m:t>
            </m:r>
          </m:e>
          <m:sub>
            <m:r>
              <w:rPr>
                <w:rFonts w:ascii="Cambria Math" w:hAnsi="Cambria Math"/>
              </w:rPr>
              <m:t>0</m:t>
            </m:r>
          </m:sub>
        </m:sSub>
      </m:oMath>
      <w:r w:rsidRPr="00E37396">
        <w:t xml:space="preserve"> demonstra que a média do tamanho dos saltos é positiva, ou seja, eles são responsáveis pelo aumento das variações na taxa de câmbio (depreciações). Já o </w:t>
      </w:r>
      <w:r w:rsidRPr="00E37396">
        <w:lastRenderedPageBreak/>
        <w:t>desvio-padrão,</w:t>
      </w:r>
      <w:r w:rsidR="00C7610B" w:rsidRPr="00E37396">
        <w:t xml:space="preserve"> </w:t>
      </w:r>
      <m:oMath>
        <m:sSubSup>
          <m:sSubSupPr>
            <m:ctrlPr>
              <w:rPr>
                <w:rFonts w:ascii="Cambria Math" w:hAnsi="Cambria Math"/>
                <w:i/>
              </w:rPr>
            </m:ctrlPr>
          </m:sSubSupPr>
          <m:e>
            <m:r>
              <w:rPr>
                <w:rFonts w:ascii="Cambria Math" w:hAnsi="Cambria Math"/>
              </w:rPr>
              <m:t>ζ</m:t>
            </m:r>
          </m:e>
          <m:sub>
            <m:r>
              <w:rPr>
                <w:rFonts w:ascii="Cambria Math" w:hAnsi="Cambria Math"/>
              </w:rPr>
              <m:t>0</m:t>
            </m:r>
          </m:sub>
          <m:sup>
            <m:r>
              <w:rPr>
                <w:rFonts w:ascii="Cambria Math" w:hAnsi="Cambria Math"/>
              </w:rPr>
              <m:t>2</m:t>
            </m:r>
          </m:sup>
        </m:sSubSup>
        <m:r>
          <w:rPr>
            <w:rFonts w:ascii="Cambria Math" w:hAnsi="Cambria Math"/>
          </w:rPr>
          <m:t>=0,3643</m:t>
        </m:r>
      </m:oMath>
      <w:r w:rsidRPr="00E37396">
        <w:t xml:space="preserve"> indica que a variação no valor dos saltos é bastante significativa, embora esse valor seja considerado baixo comparado aos resultados para retornos acionários (Chan e Maheu, 2002), mostrando que saltos no mercado cambial tendem a apresentar um comportamento mais estável do que saltos no mercado acionário.</w:t>
      </w:r>
    </w:p>
    <w:p w:rsidR="00064299" w:rsidRPr="00E37396" w:rsidRDefault="000A3E1C" w:rsidP="002E2600">
      <w:pPr>
        <w:spacing w:line="360" w:lineRule="auto"/>
        <w:ind w:firstLine="360"/>
      </w:pPr>
      <w:r w:rsidRPr="00E37396">
        <w:t xml:space="preserve">No terceiro modelo, a média e a variância da distribuição dos saltos seguem as dinâmicas </w:t>
      </w:r>
      <w:r w:rsidR="00A6439E" w:rsidRPr="00E37396">
        <w:t>expressas em (12</w:t>
      </w:r>
      <w:r w:rsidRPr="00E37396">
        <w:t>) e (</w:t>
      </w:r>
      <w:fldSimple w:instr="REF BMequ_arji_r \* MERGEFORMAT ">
        <w:r w:rsidR="00C70689" w:rsidRPr="00A945B1">
          <w:t>13</w:t>
        </w:r>
      </w:fldSimple>
      <w:r w:rsidRPr="00E37396">
        <w:t>). Para a média, observamos um comportamento assimétrico em relação à depreciação cambial, visto que após variações positivas no câmbio, a média dos saltos no próximo período tende a mudar de direç</w:t>
      </w:r>
      <w:r w:rsidR="002B69F4">
        <w:t xml:space="preserve">ão, devido ao valor negativo de </w:t>
      </w:r>
      <m:oMath>
        <m:sSub>
          <m:sSubPr>
            <m:ctrlPr>
              <w:rPr>
                <w:rFonts w:ascii="Cambria Math" w:hAnsi="Cambria Math"/>
                <w:i/>
                <w:sz w:val="22"/>
                <w:szCs w:val="22"/>
              </w:rPr>
            </m:ctrlPr>
          </m:sSubPr>
          <m:e>
            <m:r>
              <w:rPr>
                <w:rFonts w:ascii="Cambria Math" w:hAnsi="Cambria Math"/>
                <w:sz w:val="22"/>
                <w:szCs w:val="22"/>
              </w:rPr>
              <m:t>η</m:t>
            </m:r>
          </m:e>
          <m:sub>
            <m:r>
              <w:rPr>
                <w:rFonts w:ascii="Cambria Math" w:hAnsi="Cambria Math"/>
                <w:sz w:val="22"/>
                <w:szCs w:val="22"/>
              </w:rPr>
              <m:t>1</m:t>
            </m:r>
          </m:sub>
        </m:sSub>
      </m:oMath>
      <w:r w:rsidRPr="00E37396">
        <w:t>. O mesmo resultado não é observado para a aprecia</w:t>
      </w:r>
      <w:r w:rsidR="002B69F4">
        <w:t xml:space="preserve">ção cambial, pois o coeficiente </w:t>
      </w:r>
      <m:oMath>
        <m:sSub>
          <m:sSubPr>
            <m:ctrlPr>
              <w:rPr>
                <w:rFonts w:ascii="Cambria Math" w:hAnsi="Cambria Math"/>
                <w:i/>
                <w:sz w:val="22"/>
                <w:szCs w:val="22"/>
              </w:rPr>
            </m:ctrlPr>
          </m:sSubPr>
          <m:e>
            <m:r>
              <w:rPr>
                <w:rFonts w:ascii="Cambria Math" w:hAnsi="Cambria Math"/>
                <w:sz w:val="22"/>
                <w:szCs w:val="22"/>
              </w:rPr>
              <m:t>η</m:t>
            </m:r>
          </m:e>
          <m:sub>
            <m:r>
              <w:rPr>
                <w:rFonts w:ascii="Cambria Math" w:hAnsi="Cambria Math"/>
                <w:sz w:val="22"/>
                <w:szCs w:val="22"/>
              </w:rPr>
              <m:t>2</m:t>
            </m:r>
          </m:sub>
        </m:sSub>
      </m:oMath>
      <w:r w:rsidRPr="00E37396">
        <w:t xml:space="preserve"> é positivo. Esse resultado corrobora a idéia de que depreciações cambiais geram tendências de reversão à média como discutido na seção</w:t>
      </w:r>
      <w:r w:rsidR="00F320ED">
        <w:t xml:space="preserve"> 3.3</w:t>
      </w:r>
      <w:r w:rsidR="000763FC" w:rsidRPr="00E37396">
        <w:fldChar w:fldCharType="begin"/>
      </w:r>
      <w:r w:rsidR="003B020A" w:rsidRPr="00E37396">
        <w:instrText xml:space="preserve">REF BMsec_interp \* MERGEFORMAT </w:instrText>
      </w:r>
      <w:r w:rsidR="000763FC" w:rsidRPr="00E37396">
        <w:fldChar w:fldCharType="end"/>
      </w:r>
      <w:r w:rsidRPr="00E37396">
        <w:t>. Para a variância, o coeficiente</w:t>
      </w:r>
      <w:r w:rsidR="002B69F4">
        <w:t xml:space="preserve"> </w:t>
      </w:r>
      <m:oMath>
        <m:sSub>
          <m:sSubPr>
            <m:ctrlPr>
              <w:rPr>
                <w:rFonts w:ascii="Cambria Math" w:hAnsi="Cambria Math"/>
                <w:i/>
                <w:sz w:val="22"/>
                <w:szCs w:val="22"/>
              </w:rPr>
            </m:ctrlPr>
          </m:sSubPr>
          <m:e>
            <m:r>
              <w:rPr>
                <w:rFonts w:ascii="Cambria Math" w:hAnsi="Cambria Math"/>
                <w:sz w:val="22"/>
                <w:szCs w:val="22"/>
              </w:rPr>
              <m:t>ζ</m:t>
            </m:r>
          </m:e>
          <m:sub>
            <m:r>
              <w:rPr>
                <w:rFonts w:ascii="Cambria Math" w:hAnsi="Cambria Math"/>
                <w:sz w:val="22"/>
                <w:szCs w:val="22"/>
              </w:rPr>
              <m:t>1</m:t>
            </m:r>
          </m:sub>
        </m:sSub>
      </m:oMath>
      <w:r w:rsidRPr="00E37396">
        <w:t xml:space="preserve"> é significativo apenas ao nível de 10%, ou seja, retornos no período passado não explicam satisfatoriamente a variância do tamanho dos saltos. Os valores dos outros parâmetros são semelhantes ao segundo modelo.</w:t>
      </w:r>
    </w:p>
    <w:p w:rsidR="00064299" w:rsidRPr="00E37396" w:rsidRDefault="000A3E1C" w:rsidP="002E2600">
      <w:pPr>
        <w:spacing w:line="360" w:lineRule="auto"/>
        <w:ind w:firstLine="360"/>
      </w:pPr>
      <w:r w:rsidRPr="00E37396">
        <w:t xml:space="preserve">O último modelo utiliza a previsão de volatilidade </w:t>
      </w:r>
      <m:oMath>
        <m:sSub>
          <m:sSubPr>
            <m:ctrlPr>
              <w:rPr>
                <w:rFonts w:ascii="Cambria Math" w:hAnsi="Cambria Math"/>
                <w:i/>
              </w:rPr>
            </m:ctrlPr>
          </m:sSubPr>
          <m:e>
            <m:r>
              <w:rPr>
                <w:rFonts w:ascii="Cambria Math" w:hAnsi="Cambria Math"/>
              </w:rPr>
              <m:t>h</m:t>
            </m:r>
          </m:e>
          <m:sub>
            <m:r>
              <w:rPr>
                <w:rFonts w:ascii="Cambria Math" w:hAnsi="Cambria Math"/>
              </w:rPr>
              <m:t>t</m:t>
            </m:r>
          </m:sub>
        </m:sSub>
      </m:oMath>
      <w:r w:rsidRPr="00E37396">
        <w:t xml:space="preserve"> como variável explicativa para a variância da distribuição do tamanho dos saltos, conforme a equação (</w:t>
      </w:r>
      <w:fldSimple w:instr="REF BMequ_arji_h \* MERGEFORMAT ">
        <w:r w:rsidR="00C70689" w:rsidRPr="00A945B1">
          <w:t>14</w:t>
        </w:r>
      </w:fldSimple>
      <w:r w:rsidRPr="00E37396">
        <w:t>). Dessa vez, o coef</w:t>
      </w:r>
      <w:r w:rsidR="002B69F4">
        <w:t xml:space="preserve">iciente </w:t>
      </w:r>
      <m:oMath>
        <m:sSub>
          <m:sSubPr>
            <m:ctrlPr>
              <w:rPr>
                <w:rFonts w:ascii="Cambria Math" w:hAnsi="Cambria Math"/>
                <w:i/>
                <w:sz w:val="22"/>
                <w:szCs w:val="22"/>
              </w:rPr>
            </m:ctrlPr>
          </m:sSubPr>
          <m:e>
            <m:r>
              <w:rPr>
                <w:rFonts w:ascii="Cambria Math" w:hAnsi="Cambria Math"/>
                <w:sz w:val="22"/>
                <w:szCs w:val="22"/>
              </w:rPr>
              <m:t>ζ</m:t>
            </m:r>
          </m:e>
          <m:sub>
            <m:r>
              <w:rPr>
                <w:rFonts w:ascii="Cambria Math" w:hAnsi="Cambria Math"/>
                <w:sz w:val="22"/>
                <w:szCs w:val="22"/>
              </w:rPr>
              <m:t>1</m:t>
            </m:r>
          </m:sub>
        </m:sSub>
      </m:oMath>
      <w:r w:rsidRPr="00E37396">
        <w:t xml:space="preserve"> é altamente significativo, podendo explicar inteiramente a variância do tamanho dos saltos. Entretanto, a evidência de assimetria em relação à depreciação cambial deixa de ser significante. Como depreciações cambiais estão associadas a períodos de maior volatilidade, a variância do tamanho dos saltos se torna maior nesses períodos, impactando o coeficiente</w:t>
      </w:r>
      <w:r w:rsidR="002B69F4">
        <w:t xml:space="preserve"> </w:t>
      </w:r>
      <m:oMath>
        <m:sSub>
          <m:sSubPr>
            <m:ctrlPr>
              <w:rPr>
                <w:rFonts w:ascii="Cambria Math" w:hAnsi="Cambria Math"/>
                <w:i/>
                <w:sz w:val="22"/>
                <w:szCs w:val="22"/>
              </w:rPr>
            </m:ctrlPr>
          </m:sSubPr>
          <m:e>
            <m:r>
              <w:rPr>
                <w:rFonts w:ascii="Cambria Math" w:hAnsi="Cambria Math"/>
                <w:sz w:val="22"/>
                <w:szCs w:val="22"/>
              </w:rPr>
              <m:t>η</m:t>
            </m:r>
          </m:e>
          <m:sub>
            <m:r>
              <w:rPr>
                <w:rFonts w:ascii="Cambria Math" w:hAnsi="Cambria Math"/>
                <w:sz w:val="22"/>
                <w:szCs w:val="22"/>
              </w:rPr>
              <m:t>1</m:t>
            </m:r>
          </m:sub>
        </m:sSub>
      </m:oMath>
      <w:r w:rsidRPr="00E37396">
        <w:t>.</w:t>
      </w:r>
    </w:p>
    <w:p w:rsidR="00064299" w:rsidRPr="00E37396" w:rsidRDefault="000A3E1C" w:rsidP="002E2600">
      <w:pPr>
        <w:spacing w:line="360" w:lineRule="auto"/>
        <w:ind w:firstLine="360"/>
      </w:pPr>
      <w:r w:rsidRPr="00E37396">
        <w:t>Os resultad</w:t>
      </w:r>
      <w:r w:rsidR="002B69F4">
        <w:t xml:space="preserve">os indicam que o último modelo, </w:t>
      </w:r>
      <m:oMath>
        <m:r>
          <w:rPr>
            <w:rFonts w:ascii="Cambria Math" w:hAnsi="Cambria Math"/>
          </w:rPr>
          <m:t>ARJI-</m:t>
        </m:r>
        <m:sSub>
          <m:sSubPr>
            <m:ctrlPr>
              <w:rPr>
                <w:rFonts w:ascii="Cambria Math" w:hAnsi="Cambria Math"/>
                <w:i/>
              </w:rPr>
            </m:ctrlPr>
          </m:sSubPr>
          <m:e>
            <m:r>
              <w:rPr>
                <w:rFonts w:ascii="Cambria Math" w:hAnsi="Cambria Math"/>
              </w:rPr>
              <m:t>h</m:t>
            </m:r>
          </m:e>
          <m:sub>
            <m:r>
              <w:rPr>
                <w:rFonts w:ascii="Cambria Math" w:hAnsi="Cambria Math"/>
              </w:rPr>
              <m:t>t</m:t>
            </m:r>
          </m:sub>
        </m:sSub>
      </m:oMath>
      <w:r w:rsidRPr="00E37396">
        <w:t xml:space="preserve">, é o que melhor descreve os dados, de modo que a intensidade dos saltos condicionais pode ser descrita como um processo </w:t>
      </w:r>
      <w:r w:rsidRPr="00F320ED">
        <w:rPr>
          <w:iCs/>
        </w:rPr>
        <w:t>ARMA</w:t>
      </w:r>
      <w:r w:rsidRPr="00E37396">
        <w:t xml:space="preserve"> e os parâmetros da distribuição dos saltos são variantes no tempo, com a média apresentando pouca evidência de assimetria em relação à depreciação cambial e a variância dependendo da volatilidade esperada das variações na taxa de câmbio.</w:t>
      </w:r>
    </w:p>
    <w:p w:rsidR="00F320ED" w:rsidRDefault="000A3E1C" w:rsidP="00F320ED">
      <w:pPr>
        <w:spacing w:line="360" w:lineRule="auto"/>
        <w:ind w:firstLine="360"/>
      </w:pPr>
      <w:r w:rsidRPr="00E37396">
        <w:t xml:space="preserve">Na Figura </w:t>
      </w:r>
      <w:fldSimple w:instr="REF BMfig_fig3_2 \* MERGEFORMAT ">
        <w:r w:rsidR="00C70689" w:rsidRPr="00E37396">
          <w:t>2</w:t>
        </w:r>
      </w:fldSimple>
      <w:r w:rsidRPr="00E37396">
        <w:t xml:space="preserve"> podemos observar a intensidade dos saltos ao longo do período amostral, calculadas pelo modelo</w:t>
      </w:r>
      <w:r w:rsidR="002B69F4">
        <w:t xml:space="preserve"> </w:t>
      </w:r>
      <m:oMath>
        <m:r>
          <w:rPr>
            <w:rFonts w:ascii="Cambria Math" w:hAnsi="Cambria Math"/>
          </w:rPr>
          <m:t>ARJI-</m:t>
        </m:r>
        <m:sSub>
          <m:sSubPr>
            <m:ctrlPr>
              <w:rPr>
                <w:rFonts w:ascii="Cambria Math" w:hAnsi="Cambria Math"/>
                <w:i/>
              </w:rPr>
            </m:ctrlPr>
          </m:sSubPr>
          <m:e>
            <m:r>
              <w:rPr>
                <w:rFonts w:ascii="Cambria Math" w:hAnsi="Cambria Math"/>
              </w:rPr>
              <m:t>h</m:t>
            </m:r>
          </m:e>
          <m:sub>
            <m:r>
              <w:rPr>
                <w:rFonts w:ascii="Cambria Math" w:hAnsi="Cambria Math"/>
              </w:rPr>
              <m:t>t</m:t>
            </m:r>
          </m:sub>
        </m:sSub>
      </m:oMath>
      <w:r w:rsidRPr="00E37396">
        <w:t xml:space="preserve">. O aumento do número esperado de saltos em períodos críticos do mercado cambial reflete a importância da utilização de saltos condicionais para modelar o aparecimento de eventos raros e a chegada de novas informações. A série </w:t>
      </w:r>
      <m:oMath>
        <m:sSub>
          <m:sSubPr>
            <m:ctrlPr>
              <w:rPr>
                <w:rFonts w:ascii="Cambria Math" w:hAnsi="Cambria Math"/>
                <w:i/>
              </w:rPr>
            </m:ctrlPr>
          </m:sSubPr>
          <m:e>
            <m:r>
              <w:rPr>
                <w:rFonts w:ascii="Cambria Math" w:hAnsi="Cambria Math"/>
              </w:rPr>
              <m:t>λ</m:t>
            </m:r>
          </m:e>
          <m:sub>
            <m:r>
              <w:rPr>
                <w:rFonts w:ascii="Cambria Math" w:hAnsi="Cambria Math"/>
              </w:rPr>
              <m:t>t</m:t>
            </m:r>
          </m:sub>
        </m:sSub>
      </m:oMath>
      <w:r w:rsidRPr="00E37396">
        <w:t xml:space="preserve"> tem uma amplitude em torno de 6, apresentando alta persistência e uma certa regularidade no aum</w:t>
      </w:r>
      <w:r w:rsidR="002B69F4">
        <w:t>ento do número médio de saltos.</w:t>
      </w:r>
    </w:p>
    <w:p w:rsidR="006F4A25" w:rsidRDefault="006F4A25" w:rsidP="00F320ED">
      <w:pPr>
        <w:pStyle w:val="Legenda"/>
        <w:spacing w:before="0" w:after="0" w:line="360" w:lineRule="auto"/>
        <w:rPr>
          <w:sz w:val="22"/>
          <w:szCs w:val="22"/>
        </w:rPr>
      </w:pPr>
      <w:r w:rsidRPr="0039003C">
        <w:rPr>
          <w:b/>
        </w:rPr>
        <w:lastRenderedPageBreak/>
        <w:t xml:space="preserve">Figura </w:t>
      </w:r>
      <w:bookmarkStart w:id="16" w:name="BMfig_fig3_2"/>
      <w:r w:rsidRPr="0039003C">
        <w:rPr>
          <w:b/>
        </w:rPr>
        <w:t>2</w:t>
      </w:r>
      <w:bookmarkEnd w:id="16"/>
      <w:r>
        <w:rPr>
          <w:b/>
        </w:rPr>
        <w:t xml:space="preserve">. </w:t>
      </w:r>
      <w:r w:rsidRPr="0039003C">
        <w:rPr>
          <w:b/>
        </w:rPr>
        <w:t>Intensidade dos saltos nas variações da taxa de câmbio</w:t>
      </w:r>
      <w:r w:rsidRPr="0039003C">
        <w:rPr>
          <w:b/>
        </w:rPr>
        <w:fldChar w:fldCharType="begin"/>
      </w:r>
      <w:r w:rsidRPr="0039003C">
        <w:rPr>
          <w:b/>
        </w:rPr>
        <w:instrText>TC "2 Intensidade dos saltos nas variações da taxa de câmbio" \f f</w:instrText>
      </w:r>
      <w:r w:rsidRPr="0039003C">
        <w:rPr>
          <w:b/>
        </w:rPr>
        <w:fldChar w:fldCharType="end"/>
      </w:r>
      <w:r w:rsidR="0039003C">
        <w:drawing>
          <wp:inline distT="0" distB="0" distL="0" distR="0">
            <wp:extent cx="5667375" cy="2833688"/>
            <wp:effectExtent l="0" t="0" r="0" b="508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32-page-001.jpg"/>
                    <pic:cNvPicPr/>
                  </pic:nvPicPr>
                  <pic:blipFill>
                    <a:blip r:embed="rId9">
                      <a:extLst>
                        <a:ext uri="{28A0092B-C50C-407E-A947-70E740481C1C}">
                          <a14:useLocalDpi xmlns:a14="http://schemas.microsoft.com/office/drawing/2010/main" val="0"/>
                        </a:ext>
                      </a:extLst>
                    </a:blip>
                    <a:stretch>
                      <a:fillRect/>
                    </a:stretch>
                  </pic:blipFill>
                  <pic:spPr>
                    <a:xfrm>
                      <a:off x="0" y="0"/>
                      <a:ext cx="5667375" cy="2833688"/>
                    </a:xfrm>
                    <a:prstGeom prst="rect">
                      <a:avLst/>
                    </a:prstGeom>
                  </pic:spPr>
                </pic:pic>
              </a:graphicData>
            </a:graphic>
          </wp:inline>
        </w:drawing>
      </w:r>
      <w:r w:rsidRPr="006F4A25">
        <w:rPr>
          <w:sz w:val="22"/>
          <w:szCs w:val="22"/>
        </w:rPr>
        <w:t>Fonte: Elaboração própria.</w:t>
      </w:r>
    </w:p>
    <w:p w:rsidR="006F4A25" w:rsidRPr="006F4A25" w:rsidRDefault="006F4A25" w:rsidP="00B628E4">
      <w:pPr>
        <w:spacing w:line="360" w:lineRule="auto"/>
      </w:pPr>
    </w:p>
    <w:p w:rsidR="00064299" w:rsidRDefault="000A3E1C" w:rsidP="00F320ED">
      <w:pPr>
        <w:pStyle w:val="Legenda"/>
        <w:spacing w:line="360" w:lineRule="auto"/>
        <w:ind w:firstLine="360"/>
        <w:jc w:val="both"/>
      </w:pPr>
      <w:r w:rsidRPr="00E37396">
        <w:t>A maior intensidade dos saltos pode ser vista durante o período eleitoral de 2002, quando o valor esperado do número de saltos chega a seis por dia. Outros períodos críticos do mercado cambial são o início da amostra, em 1999, e fins de 2008, durante a crise financeira. Em ambos os casos a intensidade dos saltos aumentou significativamente, porém não parece ser maior do que a de outras datas com grandes variações na taxa de câmbio. Isso indica que a magnitude dos saltos foi maior nesses períodos.</w:t>
      </w:r>
    </w:p>
    <w:p w:rsidR="00D10914" w:rsidRDefault="00D10914" w:rsidP="002E3BEC">
      <w:pPr>
        <w:spacing w:line="360" w:lineRule="auto"/>
      </w:pPr>
    </w:p>
    <w:p w:rsidR="00D10914" w:rsidRPr="00D10914" w:rsidRDefault="00D10914" w:rsidP="002E3BEC">
      <w:pPr>
        <w:pStyle w:val="PargrafodaLista"/>
        <w:numPr>
          <w:ilvl w:val="1"/>
          <w:numId w:val="1"/>
        </w:numPr>
        <w:spacing w:line="360" w:lineRule="auto"/>
        <w:ind w:left="714" w:hanging="357"/>
        <w:rPr>
          <w:b/>
        </w:rPr>
      </w:pPr>
      <w:r>
        <w:rPr>
          <w:b/>
        </w:rPr>
        <w:t xml:space="preserve"> </w:t>
      </w:r>
      <w:r w:rsidRPr="00D10914">
        <w:rPr>
          <w:b/>
        </w:rPr>
        <w:t>Análise de períodos críticos da amostra</w:t>
      </w:r>
    </w:p>
    <w:p w:rsidR="00D10914" w:rsidRDefault="00D10914" w:rsidP="002E3BEC">
      <w:pPr>
        <w:spacing w:line="360" w:lineRule="auto"/>
        <w:ind w:left="357"/>
      </w:pPr>
    </w:p>
    <w:p w:rsidR="00290756" w:rsidRDefault="00290756" w:rsidP="002E2600">
      <w:pPr>
        <w:spacing w:line="360" w:lineRule="auto"/>
        <w:ind w:firstLine="360"/>
      </w:pPr>
      <w:r w:rsidRPr="00290756">
        <w:t>Para avaliarmos a capacidade do modelo de reproduzir as variações do câmbio através de saltos, analisamos o período dos meses de julho de 2002 e outubro de 2008, meses em que a taxa de câmbio sofreu grandes depreciações devido a eleição de 2</w:t>
      </w:r>
      <w:r>
        <w:t xml:space="preserve">002 e a crise de 2008. A Figura 3 </w:t>
      </w:r>
      <w:r w:rsidRPr="00290756">
        <w:t xml:space="preserve">mostra as probabilidades de ocorrência do número de saltos para o primeiro modelo, que são constantes, e para o modelo </w:t>
      </w:r>
      <m:oMath>
        <m:r>
          <w:rPr>
            <w:rFonts w:ascii="Cambria Math" w:hAnsi="Cambria Math"/>
          </w:rPr>
          <m:t>ARJI-</m:t>
        </m:r>
        <m:sSub>
          <m:sSubPr>
            <m:ctrlPr>
              <w:rPr>
                <w:rFonts w:ascii="Cambria Math" w:hAnsi="Cambria Math"/>
                <w:i/>
              </w:rPr>
            </m:ctrlPr>
          </m:sSubPr>
          <m:e>
            <m:r>
              <w:rPr>
                <w:rFonts w:ascii="Cambria Math" w:hAnsi="Cambria Math"/>
              </w:rPr>
              <m:t>h</m:t>
            </m:r>
          </m:e>
          <m:sub>
            <m:r>
              <w:rPr>
                <w:rFonts w:ascii="Cambria Math" w:hAnsi="Cambria Math"/>
              </w:rPr>
              <m:t>t</m:t>
            </m:r>
          </m:sub>
        </m:sSub>
      </m:oMath>
      <w:r w:rsidRPr="00290756">
        <w:t xml:space="preserve"> nos dias 31 de julho de 2002 e 8 de outubro de 2008, quando ocorreram as maiores variações do câmbio.</w:t>
      </w:r>
    </w:p>
    <w:p w:rsidR="00D10914" w:rsidRDefault="00D10914" w:rsidP="00D10914">
      <w:pPr>
        <w:pStyle w:val="Legenda"/>
        <w:spacing w:line="360" w:lineRule="auto"/>
        <w:rPr>
          <w:sz w:val="22"/>
          <w:szCs w:val="22"/>
        </w:rPr>
      </w:pPr>
      <w:r w:rsidRPr="0039003C">
        <w:rPr>
          <w:b/>
        </w:rPr>
        <w:lastRenderedPageBreak/>
        <w:t xml:space="preserve">Figura </w:t>
      </w:r>
      <w:bookmarkStart w:id="17" w:name="BMfig_fig33"/>
      <w:r w:rsidRPr="0039003C">
        <w:rPr>
          <w:b/>
        </w:rPr>
        <w:t>3</w:t>
      </w:r>
      <w:bookmarkEnd w:id="17"/>
      <w:r>
        <w:rPr>
          <w:b/>
        </w:rPr>
        <w:t>.</w:t>
      </w:r>
      <w:r w:rsidRPr="0039003C">
        <w:rPr>
          <w:b/>
        </w:rPr>
        <w:t xml:space="preserve"> </w:t>
      </w:r>
      <w:r w:rsidRPr="00D10914">
        <w:rPr>
          <w:b/>
        </w:rPr>
        <w:t>Probabilidade do número de saltos nos meses de jul/2002 e out/2008.</w:t>
      </w:r>
      <w:r w:rsidRPr="0039003C">
        <w:rPr>
          <w:b/>
        </w:rPr>
        <w:fldChar w:fldCharType="begin"/>
      </w:r>
      <w:r w:rsidRPr="0039003C">
        <w:rPr>
          <w:b/>
        </w:rPr>
        <w:instrText>TC "3 Probabilidade de pelo menos um salto no câmbio durante o mês de outubro de 2008." \f f</w:instrText>
      </w:r>
      <w:r w:rsidRPr="0039003C">
        <w:rPr>
          <w:b/>
        </w:rPr>
        <w:fldChar w:fldCharType="end"/>
      </w:r>
      <w:r>
        <w:drawing>
          <wp:inline distT="0" distB="0" distL="0" distR="0">
            <wp:extent cx="5793740" cy="3700780"/>
            <wp:effectExtent l="0" t="0" r="0" b="0"/>
            <wp:docPr id="151" name="Imagem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Fig2.png"/>
                    <pic:cNvPicPr/>
                  </pic:nvPicPr>
                  <pic:blipFill>
                    <a:blip r:embed="rId10">
                      <a:extLst>
                        <a:ext uri="{28A0092B-C50C-407E-A947-70E740481C1C}">
                          <a14:useLocalDpi xmlns:a14="http://schemas.microsoft.com/office/drawing/2010/main" val="0"/>
                        </a:ext>
                      </a:extLst>
                    </a:blip>
                    <a:stretch>
                      <a:fillRect/>
                    </a:stretch>
                  </pic:blipFill>
                  <pic:spPr>
                    <a:xfrm>
                      <a:off x="0" y="0"/>
                      <a:ext cx="5793740" cy="3700780"/>
                    </a:xfrm>
                    <a:prstGeom prst="rect">
                      <a:avLst/>
                    </a:prstGeom>
                  </pic:spPr>
                </pic:pic>
              </a:graphicData>
            </a:graphic>
          </wp:inline>
        </w:drawing>
      </w:r>
      <w:r w:rsidRPr="00D10914">
        <w:t xml:space="preserve"> </w:t>
      </w:r>
      <w:r w:rsidRPr="00D10914">
        <w:rPr>
          <w:sz w:val="22"/>
          <w:szCs w:val="22"/>
        </w:rPr>
        <w:t>Fonte: Elaboração própria.</w:t>
      </w:r>
    </w:p>
    <w:p w:rsidR="00B628E4" w:rsidRPr="00B628E4" w:rsidRDefault="00B628E4" w:rsidP="00B628E4">
      <w:pPr>
        <w:spacing w:line="360" w:lineRule="auto"/>
      </w:pPr>
    </w:p>
    <w:p w:rsidR="00D639B9" w:rsidRDefault="00D639B9" w:rsidP="00D639B9">
      <w:pPr>
        <w:pStyle w:val="Legenda"/>
        <w:spacing w:before="0" w:after="0" w:line="360" w:lineRule="auto"/>
        <w:ind w:firstLine="357"/>
        <w:jc w:val="both"/>
      </w:pPr>
      <w:r w:rsidRPr="00D639B9">
        <w:t>Podemos observar que houve um aumento significativo nas probabilidades de ocorrência de saltos durante estes períodos. Assim, permitindo que essa probabilidade tenha uma dinâmica ao longo do tempo podemos modelar de forma mais satisfatória as variações do mercado cambial através de saltos, principalmente em períodos mais críticos.</w:t>
      </w:r>
    </w:p>
    <w:p w:rsidR="00064299" w:rsidRPr="00E37396" w:rsidRDefault="000A3E1C" w:rsidP="002E2600">
      <w:pPr>
        <w:spacing w:line="360" w:lineRule="auto"/>
        <w:ind w:firstLine="360"/>
      </w:pPr>
      <w:r w:rsidRPr="00E37396">
        <w:t xml:space="preserve">Ao analisarmos o período de maio a dezembro de 2012, em que o Banco Central tem realizado intervenções cambiais no sentido de manter a cotação da taxa de câmbio em torno de R$/US$ 2,00, observamos uma queda da intensidade média dos saltos de 0,8029 no período anterior a maio de 2012 para 0,6888 após essa data. Entretanto, essa diminuição do aparecimento de saltos se traduziu em movimentos discretos com médias maiores, sendo a média de </w:t>
      </w:r>
      <m:oMath>
        <m:sSub>
          <m:sSubPr>
            <m:ctrlPr>
              <w:rPr>
                <w:rFonts w:ascii="Cambria Math" w:hAnsi="Cambria Math"/>
                <w:i/>
              </w:rPr>
            </m:ctrlPr>
          </m:sSubPr>
          <m:e>
            <m:r>
              <w:rPr>
                <w:rFonts w:ascii="Cambria Math" w:hAnsi="Cambria Math"/>
              </w:rPr>
              <m:t>θ</m:t>
            </m:r>
          </m:e>
          <m:sub>
            <m:r>
              <w:rPr>
                <w:rFonts w:ascii="Cambria Math" w:hAnsi="Cambria Math"/>
              </w:rPr>
              <m:t>t</m:t>
            </m:r>
          </m:sub>
        </m:sSub>
      </m:oMath>
      <w:r w:rsidRPr="00E37396">
        <w:t xml:space="preserve"> igual a 0,1539 antes de maio, e 0,1776 após. Isso indica que os saltos nesse período ocorreram no sentido do aumento da desvalorização da moeda. </w:t>
      </w:r>
    </w:p>
    <w:p w:rsidR="00064299" w:rsidRDefault="000A3E1C" w:rsidP="002E2600">
      <w:pPr>
        <w:spacing w:line="360" w:lineRule="auto"/>
        <w:ind w:firstLine="360"/>
      </w:pPr>
      <w:r w:rsidRPr="00E37396">
        <w:t xml:space="preserve">Outra estatística interessante é a variância média dos saltos antes e após maio de 2012. Antes, observamos que os saltos possuem uma variância de 0,3985, bem superior a média dos saltos. Porém, após maio de 2012, essa variância cai para 0,1923, indicando que os saltos passam a ser menos voláteis. Assim, do ponto de vista do modelo econométrico, as intervenções </w:t>
      </w:r>
      <w:r w:rsidRPr="00E37396">
        <w:lastRenderedPageBreak/>
        <w:t>do Banco Central são refletidas na diminuição tanto do número de saltos quanto da variância desses saltos, apesar da média aumentar no sentido da desvalorização cambial.</w:t>
      </w:r>
    </w:p>
    <w:p w:rsidR="00D10914" w:rsidRDefault="00D10914" w:rsidP="00D10914">
      <w:pPr>
        <w:spacing w:line="360" w:lineRule="auto"/>
      </w:pPr>
    </w:p>
    <w:p w:rsidR="00D10914" w:rsidRDefault="00D10914" w:rsidP="00D10914">
      <w:pPr>
        <w:pStyle w:val="PargrafodaLista"/>
        <w:numPr>
          <w:ilvl w:val="1"/>
          <w:numId w:val="1"/>
        </w:numPr>
        <w:spacing w:line="360" w:lineRule="auto"/>
        <w:rPr>
          <w:b/>
        </w:rPr>
      </w:pPr>
      <w:r>
        <w:rPr>
          <w:b/>
        </w:rPr>
        <w:t xml:space="preserve"> </w:t>
      </w:r>
      <w:r w:rsidRPr="00D10914">
        <w:rPr>
          <w:b/>
        </w:rPr>
        <w:t>Desempenho da previsão fora da amostra</w:t>
      </w:r>
    </w:p>
    <w:p w:rsidR="00D10914" w:rsidRDefault="00D10914" w:rsidP="00D10914">
      <w:pPr>
        <w:spacing w:line="360" w:lineRule="auto"/>
      </w:pPr>
    </w:p>
    <w:p w:rsidR="00D10914" w:rsidRDefault="00D10914" w:rsidP="00D10914">
      <w:pPr>
        <w:spacing w:line="360" w:lineRule="auto"/>
        <w:ind w:firstLine="360"/>
      </w:pPr>
      <w:r w:rsidRPr="00D10914">
        <w:t xml:space="preserve">Para avaliarmos se os modelos que incorporam saltos condicionais têm melhor desempenho do que outros modelos tradicionais, realizamos uma previsão de um horizonte fora da amostra para o ano de 2012, utilizando dados de fevereiro de 1999 até dezembro de 2011. A Figura </w:t>
      </w:r>
      <w:r>
        <w:t>4</w:t>
      </w:r>
      <w:r w:rsidRPr="00D10914">
        <w:t xml:space="preserve"> mos</w:t>
      </w:r>
      <w:r>
        <w:t xml:space="preserve">tra as previsões para o modelo GARCH(1,1) e </w:t>
      </w:r>
      <m:oMath>
        <m:r>
          <w:rPr>
            <w:rFonts w:ascii="Cambria Math" w:hAnsi="Cambria Math"/>
          </w:rPr>
          <m:t>ARJI-</m:t>
        </m:r>
        <m:sSub>
          <m:sSubPr>
            <m:ctrlPr>
              <w:rPr>
                <w:rFonts w:ascii="Cambria Math" w:hAnsi="Cambria Math"/>
                <w:i/>
              </w:rPr>
            </m:ctrlPr>
          </m:sSubPr>
          <m:e>
            <m:r>
              <w:rPr>
                <w:rFonts w:ascii="Cambria Math" w:hAnsi="Cambria Math"/>
              </w:rPr>
              <m:t>h</m:t>
            </m:r>
          </m:e>
          <m:sub>
            <m:r>
              <w:rPr>
                <w:rFonts w:ascii="Cambria Math" w:hAnsi="Cambria Math"/>
              </w:rPr>
              <m:t>t</m:t>
            </m:r>
          </m:sub>
        </m:sSub>
      </m:oMath>
      <w:r w:rsidRPr="00D10914">
        <w:t xml:space="preserve"> durante o ano de 2012.</w:t>
      </w:r>
    </w:p>
    <w:p w:rsidR="00EE4297" w:rsidRDefault="00EE4297" w:rsidP="00EE4297">
      <w:pPr>
        <w:spacing w:line="360" w:lineRule="auto"/>
      </w:pPr>
    </w:p>
    <w:p w:rsidR="00D10914" w:rsidRPr="00EE4297" w:rsidRDefault="00EE4297" w:rsidP="00EE4297">
      <w:pPr>
        <w:spacing w:line="360" w:lineRule="auto"/>
        <w:rPr>
          <w:b/>
        </w:rPr>
      </w:pPr>
      <w:r w:rsidRPr="00EE4297">
        <w:rPr>
          <w:b/>
        </w:rPr>
        <w:t>Figura 4. Previsões da variância co</w:t>
      </w:r>
      <w:r>
        <w:rPr>
          <w:b/>
        </w:rPr>
        <w:t>ndicional do câmbio no ano 2012</w:t>
      </w:r>
    </w:p>
    <w:p w:rsidR="00EE4297" w:rsidRPr="00D10914" w:rsidRDefault="00EE4297" w:rsidP="00EE4297">
      <w:pPr>
        <w:spacing w:line="360" w:lineRule="auto"/>
      </w:pPr>
      <w:r>
        <w:drawing>
          <wp:inline distT="0" distB="0" distL="0" distR="0">
            <wp:extent cx="5793740" cy="2896870"/>
            <wp:effectExtent l="0" t="0" r="0" b="0"/>
            <wp:docPr id="156" name="Imagem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Figura4.png"/>
                    <pic:cNvPicPr/>
                  </pic:nvPicPr>
                  <pic:blipFill>
                    <a:blip r:embed="rId11">
                      <a:extLst>
                        <a:ext uri="{28A0092B-C50C-407E-A947-70E740481C1C}">
                          <a14:useLocalDpi xmlns:a14="http://schemas.microsoft.com/office/drawing/2010/main" val="0"/>
                        </a:ext>
                      </a:extLst>
                    </a:blip>
                    <a:stretch>
                      <a:fillRect/>
                    </a:stretch>
                  </pic:blipFill>
                  <pic:spPr>
                    <a:xfrm>
                      <a:off x="0" y="0"/>
                      <a:ext cx="5793740" cy="2896870"/>
                    </a:xfrm>
                    <a:prstGeom prst="rect">
                      <a:avLst/>
                    </a:prstGeom>
                  </pic:spPr>
                </pic:pic>
              </a:graphicData>
            </a:graphic>
          </wp:inline>
        </w:drawing>
      </w:r>
    </w:p>
    <w:p w:rsidR="003A0C41" w:rsidRPr="00EE4297" w:rsidRDefault="00EE4297" w:rsidP="003A0C41">
      <w:pPr>
        <w:spacing w:line="360" w:lineRule="auto"/>
        <w:rPr>
          <w:sz w:val="22"/>
          <w:szCs w:val="22"/>
        </w:rPr>
      </w:pPr>
      <w:r w:rsidRPr="00EE4297">
        <w:rPr>
          <w:sz w:val="22"/>
          <w:szCs w:val="22"/>
        </w:rPr>
        <w:t>Fonte: Elaboração própria.</w:t>
      </w:r>
    </w:p>
    <w:p w:rsidR="00EE4297" w:rsidRDefault="00EE4297" w:rsidP="003A0C41">
      <w:pPr>
        <w:spacing w:line="360" w:lineRule="auto"/>
      </w:pPr>
    </w:p>
    <w:p w:rsidR="00EE4297" w:rsidRDefault="00EE4297" w:rsidP="00E353A1">
      <w:pPr>
        <w:spacing w:line="360" w:lineRule="auto"/>
        <w:ind w:firstLine="360"/>
      </w:pPr>
      <w:r>
        <w:t xml:space="preserve">No modelo GARCH(1,1) </w:t>
      </w:r>
      <w:r w:rsidRPr="00EE4297">
        <w:t xml:space="preserve">a variância condicional de </w:t>
      </w:r>
      <m:oMath>
        <m:sSub>
          <m:sSubPr>
            <m:ctrlPr>
              <w:rPr>
                <w:rFonts w:ascii="Cambria Math" w:hAnsi="Cambria Math"/>
                <w:i/>
              </w:rPr>
            </m:ctrlPr>
          </m:sSubPr>
          <m:e>
            <m:r>
              <w:rPr>
                <w:rFonts w:ascii="Cambria Math" w:hAnsi="Cambria Math"/>
              </w:rPr>
              <m:t>R</m:t>
            </m:r>
          </m:e>
          <m:sub>
            <m:r>
              <w:rPr>
                <w:rFonts w:ascii="Cambria Math" w:hAnsi="Cambria Math"/>
              </w:rPr>
              <m:t>t</m:t>
            </m:r>
          </m:sub>
        </m:sSub>
      </m:oMath>
      <w:r>
        <w:t xml:space="preserve"> </w:t>
      </w:r>
      <w:r w:rsidRPr="00EE4297">
        <w:t xml:space="preserve">corresponde a variância condicional dos resíduos. Quando adicionamos a possibilidade de saltos condicionais no câmbio, a variância condicional de </w:t>
      </w:r>
      <m:oMath>
        <m:sSub>
          <m:sSubPr>
            <m:ctrlPr>
              <w:rPr>
                <w:rFonts w:ascii="Cambria Math" w:hAnsi="Cambria Math"/>
                <w:i/>
              </w:rPr>
            </m:ctrlPr>
          </m:sSubPr>
          <m:e>
            <m:r>
              <w:rPr>
                <w:rFonts w:ascii="Cambria Math" w:hAnsi="Cambria Math"/>
              </w:rPr>
              <m:t>R</m:t>
            </m:r>
          </m:e>
          <m:sub>
            <m:r>
              <w:rPr>
                <w:rFonts w:ascii="Cambria Math" w:hAnsi="Cambria Math"/>
              </w:rPr>
              <m:t>t</m:t>
            </m:r>
          </m:sub>
        </m:sSub>
      </m:oMath>
      <w:r w:rsidRPr="00EE4297">
        <w:t xml:space="preserve"> é composta por uma parcela relacionada aos resíduos e outra parte aos saltos. Com isso, reduzimos a variabilidade dos resíduos e possibilitamos maior flexibilidade na especificação do comportamento da parte da variância condicional </w:t>
      </w:r>
      <w:r>
        <w:t xml:space="preserve">associada aos saltos. A Figura 5 </w:t>
      </w:r>
      <w:r w:rsidRPr="00EE4297">
        <w:t>mostra a variância condiciona</w:t>
      </w:r>
      <w:r>
        <w:t xml:space="preserve">l dos resíduos para os modelos GARCH(1,1) </w:t>
      </w:r>
      <w:r w:rsidRPr="00EE4297">
        <w:t xml:space="preserve">e </w:t>
      </w:r>
      <m:oMath>
        <m:r>
          <w:rPr>
            <w:rFonts w:ascii="Cambria Math" w:hAnsi="Cambria Math"/>
          </w:rPr>
          <m:t>ARJI-</m:t>
        </m:r>
        <m:sSub>
          <m:sSubPr>
            <m:ctrlPr>
              <w:rPr>
                <w:rFonts w:ascii="Cambria Math" w:hAnsi="Cambria Math"/>
                <w:i/>
              </w:rPr>
            </m:ctrlPr>
          </m:sSubPr>
          <m:e>
            <m:r>
              <w:rPr>
                <w:rFonts w:ascii="Cambria Math" w:hAnsi="Cambria Math"/>
              </w:rPr>
              <m:t>h</m:t>
            </m:r>
          </m:e>
          <m:sub>
            <m:r>
              <w:rPr>
                <w:rFonts w:ascii="Cambria Math" w:hAnsi="Cambria Math"/>
              </w:rPr>
              <m:t>t</m:t>
            </m:r>
          </m:sub>
        </m:sSub>
      </m:oMath>
      <w:r w:rsidRPr="00EE4297">
        <w:t>. Podemos notar que a adição de salto</w:t>
      </w:r>
      <w:r>
        <w:t xml:space="preserve">s ao modelo GARCH(1,1) </w:t>
      </w:r>
      <w:r w:rsidRPr="00EE4297">
        <w:t>reduz significativame</w:t>
      </w:r>
      <w:r>
        <w:t>nte a variância dos resíduos.</w:t>
      </w:r>
    </w:p>
    <w:p w:rsidR="00617A34" w:rsidRDefault="00617A34" w:rsidP="00E353A1">
      <w:pPr>
        <w:spacing w:line="360" w:lineRule="auto"/>
        <w:ind w:firstLine="360"/>
      </w:pPr>
    </w:p>
    <w:p w:rsidR="00E353A1" w:rsidRPr="00E353A1" w:rsidRDefault="00E353A1" w:rsidP="00E353A1">
      <w:pPr>
        <w:spacing w:line="360" w:lineRule="auto"/>
        <w:ind w:firstLine="360"/>
        <w:jc w:val="left"/>
        <w:rPr>
          <w:b/>
        </w:rPr>
      </w:pPr>
      <w:r>
        <w:rPr>
          <w:b/>
        </w:rPr>
        <w:lastRenderedPageBreak/>
        <w:t xml:space="preserve">Figura 5. </w:t>
      </w:r>
      <w:r w:rsidRPr="00E353A1">
        <w:rPr>
          <w:b/>
        </w:rPr>
        <w:t>Variâncias condicionais dos resíduos dos modelos no ano 2012</w:t>
      </w:r>
    </w:p>
    <w:p w:rsidR="00E353A1" w:rsidRDefault="00E353A1" w:rsidP="00E353A1">
      <w:pPr>
        <w:spacing w:line="360" w:lineRule="auto"/>
      </w:pPr>
      <w:r>
        <w:drawing>
          <wp:inline distT="0" distB="0" distL="0" distR="0">
            <wp:extent cx="5793740" cy="289687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5.png"/>
                    <pic:cNvPicPr/>
                  </pic:nvPicPr>
                  <pic:blipFill>
                    <a:blip r:embed="rId12">
                      <a:extLst>
                        <a:ext uri="{28A0092B-C50C-407E-A947-70E740481C1C}">
                          <a14:useLocalDpi xmlns:a14="http://schemas.microsoft.com/office/drawing/2010/main" val="0"/>
                        </a:ext>
                      </a:extLst>
                    </a:blip>
                    <a:stretch>
                      <a:fillRect/>
                    </a:stretch>
                  </pic:blipFill>
                  <pic:spPr>
                    <a:xfrm>
                      <a:off x="0" y="0"/>
                      <a:ext cx="5793740" cy="2896870"/>
                    </a:xfrm>
                    <a:prstGeom prst="rect">
                      <a:avLst/>
                    </a:prstGeom>
                  </pic:spPr>
                </pic:pic>
              </a:graphicData>
            </a:graphic>
          </wp:inline>
        </w:drawing>
      </w:r>
    </w:p>
    <w:p w:rsidR="00E353A1" w:rsidRDefault="00E353A1" w:rsidP="00E353A1">
      <w:pPr>
        <w:spacing w:line="360" w:lineRule="auto"/>
        <w:jc w:val="left"/>
        <w:rPr>
          <w:sz w:val="22"/>
          <w:szCs w:val="22"/>
        </w:rPr>
      </w:pPr>
      <w:r w:rsidRPr="00E353A1">
        <w:rPr>
          <w:sz w:val="22"/>
          <w:szCs w:val="22"/>
        </w:rPr>
        <w:t>Fonte: Elaboração própria.</w:t>
      </w:r>
    </w:p>
    <w:p w:rsidR="00E353A1" w:rsidRDefault="00E353A1" w:rsidP="00E353A1">
      <w:pPr>
        <w:spacing w:line="360" w:lineRule="auto"/>
        <w:jc w:val="left"/>
        <w:rPr>
          <w:sz w:val="22"/>
          <w:szCs w:val="22"/>
        </w:rPr>
      </w:pPr>
    </w:p>
    <w:p w:rsidR="00E353A1" w:rsidRDefault="00E353A1" w:rsidP="00617A34">
      <w:pPr>
        <w:spacing w:line="360" w:lineRule="auto"/>
        <w:ind w:firstLine="720"/>
      </w:pPr>
      <w:r w:rsidRPr="00E353A1">
        <w:t xml:space="preserve">A Tabela </w:t>
      </w:r>
      <w:r>
        <w:t xml:space="preserve">3 </w:t>
      </w:r>
      <w:r w:rsidRPr="00E353A1">
        <w:t>mostra algumas estatísticas da previsão f</w:t>
      </w:r>
      <w:r>
        <w:t>ora da amostra para os modelos GARCH(1,1)</w:t>
      </w:r>
      <w:r w:rsidRPr="00E353A1">
        <w:t xml:space="preserve">, modelo com saltos constantes, </w:t>
      </w:r>
      <m:oMath>
        <m:r>
          <w:rPr>
            <w:rFonts w:ascii="Cambria Math" w:hAnsi="Cambria Math"/>
          </w:rPr>
          <m:t>ARJI</m:t>
        </m:r>
      </m:oMath>
      <w:r w:rsidRPr="00E353A1">
        <w:t xml:space="preserve"> e </w:t>
      </w:r>
      <m:oMath>
        <m:r>
          <w:rPr>
            <w:rFonts w:ascii="Cambria Math" w:hAnsi="Cambria Math"/>
          </w:rPr>
          <m:t>ARJI-</m:t>
        </m:r>
        <m:sSub>
          <m:sSubPr>
            <m:ctrlPr>
              <w:rPr>
                <w:rFonts w:ascii="Cambria Math" w:hAnsi="Cambria Math"/>
                <w:i/>
              </w:rPr>
            </m:ctrlPr>
          </m:sSubPr>
          <m:e>
            <m:r>
              <w:rPr>
                <w:rFonts w:ascii="Cambria Math" w:hAnsi="Cambria Math"/>
              </w:rPr>
              <m:t>h</m:t>
            </m:r>
          </m:e>
          <m:sub>
            <m:r>
              <w:rPr>
                <w:rFonts w:ascii="Cambria Math" w:hAnsi="Cambria Math"/>
              </w:rPr>
              <m:t>t</m:t>
            </m:r>
          </m:sub>
        </m:sSub>
      </m:oMath>
      <w:r w:rsidRPr="00E353A1">
        <w:t xml:space="preserve">. A primeira é o valor do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t xml:space="preserve"> </w:t>
      </w:r>
      <w:r w:rsidRPr="00E353A1">
        <w:t xml:space="preserve">da equação de Mincer-Zarnowitz, que regride </w:t>
      </w:r>
      <m:oMath>
        <m:sSubSup>
          <m:sSubSupPr>
            <m:ctrlPr>
              <w:rPr>
                <w:rFonts w:ascii="Cambria Math" w:hAnsi="Cambria Math"/>
                <w:i/>
              </w:rPr>
            </m:ctrlPr>
          </m:sSubSupPr>
          <m:e>
            <m:r>
              <w:rPr>
                <w:rFonts w:ascii="Cambria Math" w:hAnsi="Cambria Math"/>
              </w:rPr>
              <m:t>R</m:t>
            </m:r>
          </m:e>
          <m:sub>
            <m:r>
              <w:rPr>
                <w:rFonts w:ascii="Cambria Math" w:hAnsi="Cambria Math"/>
              </w:rPr>
              <m:t>t</m:t>
            </m:r>
          </m:sub>
          <m:sup>
            <m:r>
              <w:rPr>
                <w:rFonts w:ascii="Cambria Math" w:hAnsi="Cambria Math"/>
              </w:rPr>
              <m:t>2</m:t>
            </m:r>
          </m:sup>
        </m:sSubSup>
      </m:oMath>
      <w:r w:rsidRPr="00E353A1">
        <w:t xml:space="preserve"> com o valor da previsão da variância condicional. Quanto maior o valor de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Pr="00E353A1">
        <w:t xml:space="preserve"> melhor é a previsão da volatilidade. A segunda estatística é o erro quadrático médio da previsão, calculado em relação ao valor de </w:t>
      </w:r>
      <m:oMath>
        <m:sSubSup>
          <m:sSubSupPr>
            <m:ctrlPr>
              <w:rPr>
                <w:rFonts w:ascii="Cambria Math" w:hAnsi="Cambria Math"/>
                <w:i/>
              </w:rPr>
            </m:ctrlPr>
          </m:sSubSupPr>
          <m:e>
            <m:r>
              <w:rPr>
                <w:rFonts w:ascii="Cambria Math" w:hAnsi="Cambria Math"/>
              </w:rPr>
              <m:t>R</m:t>
            </m:r>
          </m:e>
          <m:sub>
            <m:r>
              <w:rPr>
                <w:rFonts w:ascii="Cambria Math" w:hAnsi="Cambria Math"/>
              </w:rPr>
              <m:t>t</m:t>
            </m:r>
          </m:sub>
          <m:sup>
            <m:r>
              <w:rPr>
                <w:rFonts w:ascii="Cambria Math" w:hAnsi="Cambria Math"/>
              </w:rPr>
              <m:t>2</m:t>
            </m:r>
          </m:sup>
        </m:sSubSup>
      </m:oMath>
      <w:r w:rsidRPr="00E353A1">
        <w:t>. A terceira estatística é o teste de Diebold-Mariano, onde a hipótese nula é a de que o respectivo modelo tem erro de previsão es</w:t>
      </w:r>
      <w:r>
        <w:t>tatisticamente igual ao modelo GARCH(1,1)</w:t>
      </w:r>
      <w:r w:rsidRPr="00E353A1">
        <w:t>, e a hipótese alternativa a de que o modelo tem erro de previsão menor do que o modelo</w:t>
      </w:r>
      <w:r>
        <w:t xml:space="preserve"> GARCH(1,1)</w:t>
      </w:r>
      <w:r w:rsidRPr="00E353A1">
        <w:t>.</w:t>
      </w:r>
    </w:p>
    <w:p w:rsidR="0020312E" w:rsidRDefault="0020312E" w:rsidP="00E353A1">
      <w:pPr>
        <w:spacing w:line="360" w:lineRule="auto"/>
      </w:pPr>
    </w:p>
    <w:p w:rsidR="00E353A1" w:rsidRPr="0020312E" w:rsidRDefault="0020312E" w:rsidP="0020312E">
      <w:pPr>
        <w:spacing w:line="360" w:lineRule="auto"/>
        <w:jc w:val="left"/>
        <w:rPr>
          <w:b/>
        </w:rPr>
      </w:pPr>
      <w:r>
        <w:rPr>
          <w:b/>
        </w:rPr>
        <w:t>Tabela 3. Estatísticas de previsão fora da amostra</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3"/>
        <w:gridCol w:w="1853"/>
        <w:gridCol w:w="1853"/>
        <w:gridCol w:w="1853"/>
        <w:gridCol w:w="1853"/>
      </w:tblGrid>
      <w:tr w:rsidR="007334B7" w:rsidTr="0020312E">
        <w:tc>
          <w:tcPr>
            <w:tcW w:w="1883" w:type="dxa"/>
            <w:tcBorders>
              <w:top w:val="single" w:sz="4" w:space="0" w:color="auto"/>
              <w:bottom w:val="single" w:sz="4" w:space="0" w:color="auto"/>
            </w:tcBorders>
          </w:tcPr>
          <w:p w:rsidR="007334B7" w:rsidRDefault="007334B7" w:rsidP="007334B7">
            <w:pPr>
              <w:jc w:val="left"/>
            </w:pPr>
            <w:r>
              <w:t>Estatística</w:t>
            </w:r>
          </w:p>
        </w:tc>
        <w:tc>
          <w:tcPr>
            <w:tcW w:w="1853" w:type="dxa"/>
            <w:tcBorders>
              <w:top w:val="single" w:sz="4" w:space="0" w:color="auto"/>
              <w:bottom w:val="single" w:sz="4" w:space="0" w:color="auto"/>
            </w:tcBorders>
          </w:tcPr>
          <w:p w:rsidR="007334B7" w:rsidRDefault="007334B7" w:rsidP="007334B7">
            <w:pPr>
              <w:jc w:val="center"/>
            </w:pPr>
            <w:r>
              <w:t>GARCH(1,1)</w:t>
            </w:r>
          </w:p>
        </w:tc>
        <w:tc>
          <w:tcPr>
            <w:tcW w:w="1853" w:type="dxa"/>
            <w:tcBorders>
              <w:top w:val="single" w:sz="4" w:space="0" w:color="auto"/>
              <w:bottom w:val="single" w:sz="4" w:space="0" w:color="auto"/>
            </w:tcBorders>
          </w:tcPr>
          <w:p w:rsidR="007334B7" w:rsidRDefault="007334B7" w:rsidP="007334B7">
            <w:pPr>
              <w:jc w:val="center"/>
            </w:pPr>
            <w:r>
              <w:t>Constante</w:t>
            </w:r>
          </w:p>
        </w:tc>
        <w:tc>
          <w:tcPr>
            <w:tcW w:w="1853" w:type="dxa"/>
            <w:tcBorders>
              <w:top w:val="single" w:sz="4" w:space="0" w:color="auto"/>
              <w:bottom w:val="single" w:sz="4" w:space="0" w:color="auto"/>
            </w:tcBorders>
          </w:tcPr>
          <w:p w:rsidR="007334B7" w:rsidRPr="007334B7" w:rsidRDefault="007334B7" w:rsidP="007334B7">
            <m:oMathPara>
              <m:oMathParaPr>
                <m:jc m:val="center"/>
              </m:oMathParaPr>
              <m:oMath>
                <m:r>
                  <w:rPr>
                    <w:rFonts w:ascii="Cambria Math" w:hAnsi="Cambria Math"/>
                  </w:rPr>
                  <m:t>ARJI</m:t>
                </m:r>
              </m:oMath>
            </m:oMathPara>
          </w:p>
        </w:tc>
        <w:tc>
          <w:tcPr>
            <w:tcW w:w="1853" w:type="dxa"/>
            <w:tcBorders>
              <w:top w:val="single" w:sz="4" w:space="0" w:color="auto"/>
              <w:bottom w:val="single" w:sz="4" w:space="0" w:color="auto"/>
            </w:tcBorders>
          </w:tcPr>
          <w:p w:rsidR="007334B7" w:rsidRPr="007334B7" w:rsidRDefault="007334B7" w:rsidP="007334B7">
            <m:oMathPara>
              <m:oMathParaPr>
                <m:jc m:val="center"/>
              </m:oMathParaPr>
              <m:oMath>
                <m:r>
                  <w:rPr>
                    <w:rFonts w:ascii="Cambria Math" w:hAnsi="Cambria Math"/>
                  </w:rPr>
                  <m:t>ARJI-</m:t>
                </m:r>
                <m:sSub>
                  <m:sSubPr>
                    <m:ctrlPr>
                      <w:rPr>
                        <w:rFonts w:ascii="Cambria Math" w:hAnsi="Cambria Math"/>
                        <w:i/>
                      </w:rPr>
                    </m:ctrlPr>
                  </m:sSubPr>
                  <m:e>
                    <m:r>
                      <w:rPr>
                        <w:rFonts w:ascii="Cambria Math" w:hAnsi="Cambria Math"/>
                      </w:rPr>
                      <m:t>h</m:t>
                    </m:r>
                  </m:e>
                  <m:sub>
                    <m:r>
                      <w:rPr>
                        <w:rFonts w:ascii="Cambria Math" w:hAnsi="Cambria Math"/>
                      </w:rPr>
                      <m:t>t</m:t>
                    </m:r>
                  </m:sub>
                </m:sSub>
              </m:oMath>
            </m:oMathPara>
          </w:p>
        </w:tc>
      </w:tr>
      <w:tr w:rsidR="007334B7" w:rsidTr="0020312E">
        <w:tc>
          <w:tcPr>
            <w:tcW w:w="1883" w:type="dxa"/>
            <w:tcBorders>
              <w:top w:val="single" w:sz="4" w:space="0" w:color="auto"/>
            </w:tcBorders>
          </w:tcPr>
          <w:p w:rsidR="007334B7" w:rsidRPr="007334B7" w:rsidRDefault="00236A0C" w:rsidP="007334B7">
            <m:oMathPara>
              <m:oMathParaPr>
                <m:jc m:val="left"/>
              </m:oMathParaPr>
              <m:oMath>
                <m:sSup>
                  <m:sSupPr>
                    <m:ctrlPr>
                      <w:rPr>
                        <w:rFonts w:ascii="Cambria Math" w:hAnsi="Cambria Math"/>
                        <w:i/>
                      </w:rPr>
                    </m:ctrlPr>
                  </m:sSupPr>
                  <m:e>
                    <m:r>
                      <w:rPr>
                        <w:rFonts w:ascii="Cambria Math" w:hAnsi="Cambria Math"/>
                      </w:rPr>
                      <m:t>R</m:t>
                    </m:r>
                  </m:e>
                  <m:sup>
                    <m:r>
                      <w:rPr>
                        <w:rFonts w:ascii="Cambria Math" w:hAnsi="Cambria Math"/>
                      </w:rPr>
                      <m:t>2</m:t>
                    </m:r>
                  </m:sup>
                </m:sSup>
              </m:oMath>
            </m:oMathPara>
          </w:p>
        </w:tc>
        <w:tc>
          <w:tcPr>
            <w:tcW w:w="1853" w:type="dxa"/>
            <w:tcBorders>
              <w:top w:val="single" w:sz="4" w:space="0" w:color="auto"/>
            </w:tcBorders>
          </w:tcPr>
          <w:p w:rsidR="007334B7" w:rsidRDefault="007334B7" w:rsidP="007334B7">
            <w:pPr>
              <w:jc w:val="center"/>
            </w:pPr>
            <w:r>
              <w:t>0,0425</w:t>
            </w:r>
          </w:p>
        </w:tc>
        <w:tc>
          <w:tcPr>
            <w:tcW w:w="1853" w:type="dxa"/>
            <w:tcBorders>
              <w:top w:val="single" w:sz="4" w:space="0" w:color="auto"/>
            </w:tcBorders>
          </w:tcPr>
          <w:p w:rsidR="007334B7" w:rsidRDefault="007334B7" w:rsidP="007334B7">
            <w:pPr>
              <w:jc w:val="center"/>
            </w:pPr>
            <w:r>
              <w:t>0,0442</w:t>
            </w:r>
          </w:p>
        </w:tc>
        <w:tc>
          <w:tcPr>
            <w:tcW w:w="1853" w:type="dxa"/>
            <w:tcBorders>
              <w:top w:val="single" w:sz="4" w:space="0" w:color="auto"/>
            </w:tcBorders>
          </w:tcPr>
          <w:p w:rsidR="007334B7" w:rsidRDefault="007334B7" w:rsidP="007334B7">
            <w:pPr>
              <w:jc w:val="center"/>
            </w:pPr>
            <w:r>
              <w:t>0,0522</w:t>
            </w:r>
          </w:p>
        </w:tc>
        <w:tc>
          <w:tcPr>
            <w:tcW w:w="1853" w:type="dxa"/>
            <w:tcBorders>
              <w:top w:val="single" w:sz="4" w:space="0" w:color="auto"/>
            </w:tcBorders>
          </w:tcPr>
          <w:p w:rsidR="007334B7" w:rsidRDefault="007334B7" w:rsidP="007334B7">
            <w:pPr>
              <w:jc w:val="center"/>
            </w:pPr>
            <w:r>
              <w:t>0,0615</w:t>
            </w:r>
          </w:p>
        </w:tc>
      </w:tr>
      <w:tr w:rsidR="007334B7" w:rsidTr="0020312E">
        <w:tc>
          <w:tcPr>
            <w:tcW w:w="1883" w:type="dxa"/>
          </w:tcPr>
          <w:p w:rsidR="007334B7" w:rsidRDefault="007334B7" w:rsidP="007334B7">
            <w:r>
              <w:t>EQM</w:t>
            </w:r>
          </w:p>
        </w:tc>
        <w:tc>
          <w:tcPr>
            <w:tcW w:w="1853" w:type="dxa"/>
          </w:tcPr>
          <w:p w:rsidR="007334B7" w:rsidRDefault="007334B7" w:rsidP="007334B7">
            <w:pPr>
              <w:jc w:val="center"/>
            </w:pPr>
            <w:r>
              <w:t>0,9605</w:t>
            </w:r>
          </w:p>
        </w:tc>
        <w:tc>
          <w:tcPr>
            <w:tcW w:w="1853" w:type="dxa"/>
          </w:tcPr>
          <w:p w:rsidR="007334B7" w:rsidRDefault="007334B7" w:rsidP="007334B7">
            <w:pPr>
              <w:jc w:val="center"/>
            </w:pPr>
            <w:r>
              <w:t>0,9477</w:t>
            </w:r>
          </w:p>
        </w:tc>
        <w:tc>
          <w:tcPr>
            <w:tcW w:w="1853" w:type="dxa"/>
          </w:tcPr>
          <w:p w:rsidR="007334B7" w:rsidRDefault="007334B7" w:rsidP="007334B7">
            <w:pPr>
              <w:jc w:val="center"/>
            </w:pPr>
            <w:r>
              <w:t>0,9415</w:t>
            </w:r>
          </w:p>
        </w:tc>
        <w:tc>
          <w:tcPr>
            <w:tcW w:w="1853" w:type="dxa"/>
          </w:tcPr>
          <w:p w:rsidR="007334B7" w:rsidRDefault="007334B7" w:rsidP="007334B7">
            <w:pPr>
              <w:jc w:val="center"/>
            </w:pPr>
            <w:r>
              <w:t>0,9303</w:t>
            </w:r>
          </w:p>
        </w:tc>
      </w:tr>
      <w:tr w:rsidR="007334B7" w:rsidTr="0020312E">
        <w:tc>
          <w:tcPr>
            <w:tcW w:w="1883" w:type="dxa"/>
            <w:tcBorders>
              <w:bottom w:val="single" w:sz="4" w:space="0" w:color="auto"/>
            </w:tcBorders>
          </w:tcPr>
          <w:p w:rsidR="007334B7" w:rsidRDefault="007334B7" w:rsidP="007334B7">
            <w:r>
              <w:t>Diebold-Mariano</w:t>
            </w:r>
          </w:p>
        </w:tc>
        <w:tc>
          <w:tcPr>
            <w:tcW w:w="1853" w:type="dxa"/>
            <w:tcBorders>
              <w:bottom w:val="single" w:sz="4" w:space="0" w:color="auto"/>
            </w:tcBorders>
          </w:tcPr>
          <w:p w:rsidR="007334B7" w:rsidRDefault="007334B7" w:rsidP="007334B7">
            <w:pPr>
              <w:jc w:val="center"/>
            </w:pPr>
            <w:r>
              <w:t>-</w:t>
            </w:r>
          </w:p>
        </w:tc>
        <w:tc>
          <w:tcPr>
            <w:tcW w:w="1853" w:type="dxa"/>
            <w:tcBorders>
              <w:bottom w:val="single" w:sz="4" w:space="0" w:color="auto"/>
            </w:tcBorders>
          </w:tcPr>
          <w:p w:rsidR="007334B7" w:rsidRDefault="007334B7" w:rsidP="007334B7">
            <w:pPr>
              <w:jc w:val="center"/>
            </w:pPr>
            <w:r>
              <w:t>2,72 [0,003]</w:t>
            </w:r>
            <w:r>
              <w:rPr>
                <w:sz w:val="22"/>
                <w:szCs w:val="22"/>
              </w:rPr>
              <w:fldChar w:fldCharType="begin"/>
            </w:r>
            <w:r>
              <w:rPr>
                <w:sz w:val="22"/>
                <w:szCs w:val="22"/>
              </w:rPr>
              <w:instrText xml:space="preserve"> EQ \s\up5(</w:instrText>
            </w:r>
            <w:r>
              <w:rPr>
                <w:sz w:val="18"/>
                <w:szCs w:val="18"/>
              </w:rPr>
              <w:instrText>‡</w:instrText>
            </w:r>
            <w:r>
              <w:rPr>
                <w:sz w:val="22"/>
                <w:szCs w:val="22"/>
              </w:rPr>
              <w:instrText>)</w:instrText>
            </w:r>
            <w:r>
              <w:rPr>
                <w:sz w:val="22"/>
                <w:szCs w:val="22"/>
              </w:rPr>
              <w:fldChar w:fldCharType="end"/>
            </w:r>
          </w:p>
        </w:tc>
        <w:tc>
          <w:tcPr>
            <w:tcW w:w="1853" w:type="dxa"/>
            <w:tcBorders>
              <w:bottom w:val="single" w:sz="4" w:space="0" w:color="auto"/>
            </w:tcBorders>
          </w:tcPr>
          <w:p w:rsidR="007334B7" w:rsidRDefault="007334B7" w:rsidP="007334B7">
            <w:pPr>
              <w:jc w:val="center"/>
            </w:pPr>
            <w:r>
              <w:t>1,28 [0,101]</w:t>
            </w:r>
          </w:p>
        </w:tc>
        <w:tc>
          <w:tcPr>
            <w:tcW w:w="1853" w:type="dxa"/>
            <w:tcBorders>
              <w:bottom w:val="single" w:sz="4" w:space="0" w:color="auto"/>
            </w:tcBorders>
          </w:tcPr>
          <w:p w:rsidR="007334B7" w:rsidRDefault="007334B7" w:rsidP="007334B7">
            <w:pPr>
              <w:jc w:val="center"/>
            </w:pPr>
            <w:r>
              <w:t>2,17 [0,015]</w:t>
            </w:r>
            <w:r>
              <w:rPr>
                <w:sz w:val="22"/>
                <w:szCs w:val="22"/>
              </w:rPr>
              <w:fldChar w:fldCharType="begin"/>
            </w:r>
            <w:r>
              <w:rPr>
                <w:sz w:val="22"/>
                <w:szCs w:val="22"/>
              </w:rPr>
              <w:instrText xml:space="preserve"> EQ \s\up5(</w:instrText>
            </w:r>
            <w:r>
              <w:rPr>
                <w:sz w:val="18"/>
                <w:szCs w:val="18"/>
              </w:rPr>
              <w:instrText>†</w:instrText>
            </w:r>
            <w:r>
              <w:rPr>
                <w:sz w:val="22"/>
                <w:szCs w:val="22"/>
              </w:rPr>
              <w:instrText>)</w:instrText>
            </w:r>
            <w:r>
              <w:rPr>
                <w:sz w:val="22"/>
                <w:szCs w:val="22"/>
              </w:rPr>
              <w:fldChar w:fldCharType="end"/>
            </w:r>
          </w:p>
        </w:tc>
      </w:tr>
    </w:tbl>
    <w:p w:rsidR="0020312E" w:rsidRDefault="0020312E" w:rsidP="00617A34">
      <w:pPr>
        <w:rPr>
          <w:sz w:val="22"/>
          <w:szCs w:val="22"/>
        </w:rPr>
      </w:pPr>
      <w:r w:rsidRPr="007334B7">
        <w:rPr>
          <w:sz w:val="22"/>
          <w:szCs w:val="22"/>
        </w:rPr>
        <w:t>Os símbolos ‡, † e * denotam significância ao nível de 1%, 5% e 10%, respectivamente.</w:t>
      </w:r>
      <w:r>
        <w:rPr>
          <w:sz w:val="22"/>
          <w:szCs w:val="22"/>
        </w:rPr>
        <w:t xml:space="preserve"> Todas as estatísticas são calculadas para o período fora da amostra, que corresponde ao ano de 2012. Valores em colchetes são p-valores.</w:t>
      </w:r>
    </w:p>
    <w:p w:rsidR="0020312E" w:rsidRDefault="0020312E" w:rsidP="00617A34">
      <w:pPr>
        <w:rPr>
          <w:sz w:val="22"/>
          <w:szCs w:val="22"/>
        </w:rPr>
      </w:pPr>
      <w:r>
        <w:rPr>
          <w:sz w:val="22"/>
          <w:szCs w:val="22"/>
        </w:rPr>
        <w:t>Fonte: Elaboração própria.</w:t>
      </w:r>
    </w:p>
    <w:p w:rsidR="001E1CF2" w:rsidRDefault="001E1CF2" w:rsidP="0020312E">
      <w:pPr>
        <w:spacing w:line="360" w:lineRule="auto"/>
        <w:rPr>
          <w:sz w:val="22"/>
          <w:szCs w:val="22"/>
        </w:rPr>
      </w:pPr>
    </w:p>
    <w:p w:rsidR="001E1CF2" w:rsidRPr="001E1CF2" w:rsidRDefault="001E1CF2" w:rsidP="001E1CF2">
      <w:pPr>
        <w:spacing w:line="360" w:lineRule="auto"/>
        <w:ind w:firstLine="360"/>
      </w:pPr>
      <w:r w:rsidRPr="001E1CF2">
        <w:t>Podemos observar que todos os mod</w:t>
      </w:r>
      <w:r>
        <w:t xml:space="preserve">elos com saltos apresentam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Pr="001E1CF2">
        <w:t xml:space="preserve"> e erro quadrático médio me</w:t>
      </w:r>
      <w:r>
        <w:t>nor do que o modelo GARCH(1,1)</w:t>
      </w:r>
      <w:r w:rsidRPr="001E1CF2">
        <w:t>. Entre todos os modelos, o com menor</w:t>
      </w:r>
      <w:r>
        <w:t xml:space="preserve"> erro de previsão é o </w:t>
      </w:r>
      <m:oMath>
        <m:r>
          <w:rPr>
            <w:rFonts w:ascii="Cambria Math" w:hAnsi="Cambria Math"/>
          </w:rPr>
          <m:t>ARJI-</m:t>
        </m:r>
        <m:sSub>
          <m:sSubPr>
            <m:ctrlPr>
              <w:rPr>
                <w:rFonts w:ascii="Cambria Math" w:hAnsi="Cambria Math"/>
                <w:i/>
              </w:rPr>
            </m:ctrlPr>
          </m:sSubPr>
          <m:e>
            <m:r>
              <w:rPr>
                <w:rFonts w:ascii="Cambria Math" w:hAnsi="Cambria Math"/>
              </w:rPr>
              <m:t>h</m:t>
            </m:r>
          </m:e>
          <m:sub>
            <m:r>
              <w:rPr>
                <w:rFonts w:ascii="Cambria Math" w:hAnsi="Cambria Math"/>
              </w:rPr>
              <m:t>t</m:t>
            </m:r>
          </m:sub>
        </m:sSub>
      </m:oMath>
      <w:r w:rsidRPr="001E1CF2">
        <w:t xml:space="preserve">. Com o teste de Diebold-Mariano identificamos se os erros de previsão são </w:t>
      </w:r>
      <w:r w:rsidRPr="001E1CF2">
        <w:lastRenderedPageBreak/>
        <w:t>estatisticamente diferentes. O teste indica que o m</w:t>
      </w:r>
      <w:r>
        <w:t xml:space="preserve">odelo com saltos constantes e o </w:t>
      </w:r>
      <m:oMath>
        <m:r>
          <w:rPr>
            <w:rFonts w:ascii="Cambria Math" w:hAnsi="Cambria Math"/>
          </w:rPr>
          <m:t>ARJI-</m:t>
        </m:r>
        <m:sSub>
          <m:sSubPr>
            <m:ctrlPr>
              <w:rPr>
                <w:rFonts w:ascii="Cambria Math" w:hAnsi="Cambria Math"/>
                <w:i/>
              </w:rPr>
            </m:ctrlPr>
          </m:sSubPr>
          <m:e>
            <m:r>
              <w:rPr>
                <w:rFonts w:ascii="Cambria Math" w:hAnsi="Cambria Math"/>
              </w:rPr>
              <m:t>h</m:t>
            </m:r>
          </m:e>
          <m:sub>
            <m:r>
              <w:rPr>
                <w:rFonts w:ascii="Cambria Math" w:hAnsi="Cambria Math"/>
              </w:rPr>
              <m:t>t</m:t>
            </m:r>
          </m:sub>
        </m:sSub>
      </m:oMath>
      <w:r>
        <w:t xml:space="preserve"> </w:t>
      </w:r>
      <w:r w:rsidRPr="001E1CF2">
        <w:t>têm menores err</w:t>
      </w:r>
      <w:r>
        <w:t>os de previsão do que o modelo GARCH(1,1)</w:t>
      </w:r>
      <w:r w:rsidRPr="001E1CF2">
        <w:t>. Apenas não rejeita</w:t>
      </w:r>
      <w:r>
        <w:t xml:space="preserve">mos esta hipótese para o modelo </w:t>
      </w:r>
      <m:oMath>
        <m:r>
          <w:rPr>
            <w:rFonts w:ascii="Cambria Math" w:hAnsi="Cambria Math"/>
          </w:rPr>
          <m:t>ARJI</m:t>
        </m:r>
      </m:oMath>
      <w:r>
        <w:t xml:space="preserve">. Assim, o modelo </w:t>
      </w:r>
      <m:oMath>
        <m:r>
          <w:rPr>
            <w:rFonts w:ascii="Cambria Math" w:hAnsi="Cambria Math"/>
          </w:rPr>
          <m:t>ARJI-</m:t>
        </m:r>
        <m:sSub>
          <m:sSubPr>
            <m:ctrlPr>
              <w:rPr>
                <w:rFonts w:ascii="Cambria Math" w:hAnsi="Cambria Math"/>
                <w:i/>
              </w:rPr>
            </m:ctrlPr>
          </m:sSubPr>
          <m:e>
            <m:r>
              <w:rPr>
                <w:rFonts w:ascii="Cambria Math" w:hAnsi="Cambria Math"/>
              </w:rPr>
              <m:t>h</m:t>
            </m:r>
          </m:e>
          <m:sub>
            <m:r>
              <w:rPr>
                <w:rFonts w:ascii="Cambria Math" w:hAnsi="Cambria Math"/>
              </w:rPr>
              <m:t>t</m:t>
            </m:r>
          </m:sub>
        </m:sSub>
      </m:oMath>
      <w:r w:rsidRPr="001E1CF2">
        <w:t xml:space="preserve"> não só é o melhor modelo que descreve os dados da amostra, como também é o modelo que possui menor erro de previsão para a volatilidade da taxa de câmbio.</w:t>
      </w:r>
    </w:p>
    <w:p w:rsidR="00E353A1" w:rsidRDefault="00E353A1" w:rsidP="00E353A1">
      <w:pPr>
        <w:spacing w:line="360" w:lineRule="auto"/>
      </w:pPr>
    </w:p>
    <w:p w:rsidR="003A0C41" w:rsidRPr="0021130F" w:rsidRDefault="003A0C41" w:rsidP="0021130F">
      <w:pPr>
        <w:pStyle w:val="PargrafodaLista"/>
        <w:numPr>
          <w:ilvl w:val="0"/>
          <w:numId w:val="1"/>
        </w:numPr>
        <w:spacing w:line="360" w:lineRule="auto"/>
        <w:rPr>
          <w:b/>
        </w:rPr>
      </w:pPr>
      <w:r w:rsidRPr="0021130F">
        <w:rPr>
          <w:b/>
        </w:rPr>
        <w:t>Conclusão</w:t>
      </w:r>
    </w:p>
    <w:p w:rsidR="003A0C41" w:rsidRDefault="003A0C41" w:rsidP="002E2600">
      <w:pPr>
        <w:spacing w:line="360" w:lineRule="auto"/>
        <w:ind w:firstLine="360"/>
      </w:pPr>
    </w:p>
    <w:p w:rsidR="00064299" w:rsidRPr="00E37396" w:rsidRDefault="000A3E1C" w:rsidP="002E2600">
      <w:pPr>
        <w:spacing w:line="360" w:lineRule="auto"/>
        <w:ind w:firstLine="360"/>
      </w:pPr>
      <w:r w:rsidRPr="00E37396">
        <w:t>Este artigo examinou a dinâmica dos saltos discretos na taxa de câmbio Real/Dólar desde a introdução do regime de câmbio flutuante no Brasil. Para isso, utilizamos um modelo de saltos condicionais constantes e três especificações diferentes do modelo ARJI-GARCH proposto por Chan e Maheu (2002), onde o número de saltos em dado período segue uma distribuição de Poisson com o coeficiente determinado por um modelo autorregressivo de médias móveis. Cada especificação determina uma dinâmica diferente para a média e a variância da distribuição do tamanho dos saltos.</w:t>
      </w:r>
    </w:p>
    <w:p w:rsidR="00064299" w:rsidRPr="00E37396" w:rsidRDefault="000A3E1C" w:rsidP="002E2600">
      <w:pPr>
        <w:spacing w:line="360" w:lineRule="auto"/>
        <w:ind w:firstLine="360"/>
      </w:pPr>
      <w:r w:rsidRPr="00E37396">
        <w:t>Os resultados indicam que a intensidade dos saltos é persistente no tempo, tendo uma amplitude máxima de seis saltos por dia, para o período analisado de fevereiro de 1999 a dezembro de 2012. Períodos críticos no mercado cambial demonstraram ter um valor esperado do número de saltos maior, bem como uma maior probabilidade de ocorrência de pelos menos um salto. Foi encontrada pouca evidência de assimetria em relação a depreciações cambia</w:t>
      </w:r>
      <w:r w:rsidR="005B5D95">
        <w:t>i</w:t>
      </w:r>
      <w:r w:rsidRPr="00E37396">
        <w:t>s na média do tamanho dos saltos, sendo que a variância dos saltos está altamente correlacionada com a previsão de volatilidade.</w:t>
      </w:r>
    </w:p>
    <w:p w:rsidR="00064299" w:rsidRPr="00E37396" w:rsidRDefault="000A3E1C" w:rsidP="002E2600">
      <w:pPr>
        <w:spacing w:line="360" w:lineRule="auto"/>
        <w:ind w:firstLine="360"/>
      </w:pPr>
      <w:r w:rsidRPr="00E37396">
        <w:t>O modelo consegue captar grandes variações na taxa de câmbio ocasionadas por períodos críticos do mercado</w:t>
      </w:r>
      <w:r w:rsidR="005B5D95">
        <w:t xml:space="preserve"> como as crises de 2002 e 2008</w:t>
      </w:r>
      <w:r w:rsidRPr="00E37396">
        <w:t>. Ao analisarmos as recentes intervenções do Banco Central no mercado cambial a partir de maio de 2012, observamos um menor número de ocorrência média de saltos, sendo estes com uma variância significativamente menor. Entretanto, a média do tamanho dos saltos é superior, sendo estes responsáveis por uma tendência de desvalorização cambial. Nesse sentido, o modelo nos indica que as intervenções do Banco Central têm tornado os movimentos discretos na taxa de câmbio menos frequentes e voláteis, embora de maior magnitude.</w:t>
      </w:r>
      <w:r w:rsidR="005B5D95">
        <w:t xml:space="preserve"> </w:t>
      </w:r>
      <w:r w:rsidR="005B5D95" w:rsidRPr="005B5D95">
        <w:t>Também analisamos o comportamento do modelo fora da amostra e mostramos a superioridade na previsão em relação a alternativas mais tradicionais como o modelo GARCH.</w:t>
      </w:r>
    </w:p>
    <w:p w:rsidR="00064299" w:rsidRPr="00E37396" w:rsidRDefault="000A3E1C" w:rsidP="002E2600">
      <w:pPr>
        <w:spacing w:line="360" w:lineRule="auto"/>
        <w:ind w:firstLine="360"/>
      </w:pPr>
      <w:r w:rsidRPr="00E37396">
        <w:lastRenderedPageBreak/>
        <w:t>Estes resultados evidenciam a importância dos saltos na modelagem da dinâmica da taxa de câmbio no Brasil. Modelos de previsão de volatilidade devem incorporar estas não linear</w:t>
      </w:r>
      <w:r w:rsidR="005B5D95">
        <w:t>idad</w:t>
      </w:r>
      <w:r w:rsidRPr="00E37396">
        <w:t xml:space="preserve">es, possibilitando resultados mais confiáveis para subsidiar a tomada de decisões, a administração de risco de portfólios e a formulação de políticas. A intensidade dos saltos apresenta um caráter persistente ao longo do tempo, podendo ser interpretada como a chegada de novos eventos ou informações no mercado. Um possível tópico para pesquisas futuras seria incluir variáveis exógenas nos processos que explicam a intensidade e os parâmetros da distribuição dos saltos, como por exemplo as intervenções do Banco Central no mercado </w:t>
      </w:r>
      <w:r w:rsidRPr="00E37396">
        <w:rPr>
          <w:i/>
          <w:iCs/>
        </w:rPr>
        <w:t>spot</w:t>
      </w:r>
      <w:r w:rsidRPr="00E37396">
        <w:t>.</w:t>
      </w:r>
    </w:p>
    <w:p w:rsidR="00064299" w:rsidRPr="0021130F" w:rsidRDefault="000A3E1C" w:rsidP="002E2600">
      <w:pPr>
        <w:pStyle w:val="bibheading"/>
        <w:widowControl/>
        <w:spacing w:before="120" w:line="360" w:lineRule="auto"/>
        <w:rPr>
          <w:sz w:val="24"/>
          <w:szCs w:val="24"/>
        </w:rPr>
      </w:pPr>
      <w:r>
        <w:br w:type="column"/>
      </w:r>
      <w:r w:rsidRPr="0021130F">
        <w:rPr>
          <w:sz w:val="24"/>
          <w:szCs w:val="24"/>
        </w:rPr>
        <w:lastRenderedPageBreak/>
        <w:t>Referências</w:t>
      </w:r>
    </w:p>
    <w:p w:rsidR="00C43D2C" w:rsidRDefault="00E4443D" w:rsidP="00E4443D">
      <w:pPr>
        <w:pStyle w:val="bibitem"/>
        <w:widowControl/>
        <w:spacing w:before="60"/>
        <w:ind w:left="0" w:firstLine="0"/>
        <w:jc w:val="both"/>
        <w:rPr>
          <w:sz w:val="24"/>
          <w:szCs w:val="24"/>
          <w:lang w:val="en-US"/>
        </w:rPr>
      </w:pPr>
      <w:r>
        <w:rPr>
          <w:caps/>
          <w:sz w:val="24"/>
          <w:szCs w:val="24"/>
        </w:rPr>
        <w:t>Akgiray, V.;</w:t>
      </w:r>
      <w:r w:rsidR="000A3E1C" w:rsidRPr="00E4443D">
        <w:rPr>
          <w:caps/>
          <w:sz w:val="24"/>
          <w:szCs w:val="24"/>
        </w:rPr>
        <w:t xml:space="preserve"> Booth, G. G.</w:t>
      </w:r>
      <w:r>
        <w:rPr>
          <w:sz w:val="24"/>
          <w:szCs w:val="24"/>
        </w:rPr>
        <w:t xml:space="preserve"> </w:t>
      </w:r>
      <w:r w:rsidR="000A3E1C" w:rsidRPr="00E37396">
        <w:rPr>
          <w:sz w:val="24"/>
          <w:szCs w:val="24"/>
          <w:lang w:val="en-US"/>
        </w:rPr>
        <w:t xml:space="preserve">Mixed diffusion-jump process modeling of exchange rate movements. </w:t>
      </w:r>
      <w:r w:rsidR="000A3E1C" w:rsidRPr="00E4443D">
        <w:rPr>
          <w:b/>
          <w:iCs/>
          <w:sz w:val="24"/>
          <w:szCs w:val="24"/>
          <w:lang w:val="en-US"/>
        </w:rPr>
        <w:t>The Review of Economics and Statistics</w:t>
      </w:r>
      <w:r>
        <w:rPr>
          <w:sz w:val="24"/>
          <w:szCs w:val="24"/>
          <w:lang w:val="en-US"/>
        </w:rPr>
        <w:t xml:space="preserve">, v. 70, n.4, p. 631–637, </w:t>
      </w:r>
      <w:r w:rsidRPr="00E37396">
        <w:rPr>
          <w:sz w:val="24"/>
          <w:szCs w:val="24"/>
        </w:rPr>
        <w:t>1988</w:t>
      </w:r>
      <w:r>
        <w:rPr>
          <w:sz w:val="24"/>
          <w:szCs w:val="24"/>
        </w:rPr>
        <w:t>.</w:t>
      </w:r>
    </w:p>
    <w:p w:rsidR="00C43D2C" w:rsidRPr="00E37396" w:rsidRDefault="00C43D2C" w:rsidP="00E4443D">
      <w:pPr>
        <w:pStyle w:val="bibitem"/>
        <w:widowControl/>
        <w:spacing w:before="60"/>
        <w:ind w:left="0" w:firstLine="0"/>
        <w:jc w:val="both"/>
        <w:rPr>
          <w:sz w:val="24"/>
          <w:szCs w:val="24"/>
          <w:lang w:val="en-US"/>
        </w:rPr>
      </w:pPr>
    </w:p>
    <w:p w:rsidR="00064299" w:rsidRDefault="00E4443D" w:rsidP="00E4443D">
      <w:pPr>
        <w:pStyle w:val="bibitem"/>
        <w:widowControl/>
        <w:ind w:left="0" w:firstLine="0"/>
        <w:jc w:val="both"/>
        <w:rPr>
          <w:sz w:val="24"/>
          <w:szCs w:val="24"/>
          <w:lang w:val="en-US"/>
        </w:rPr>
      </w:pPr>
      <w:r>
        <w:rPr>
          <w:caps/>
          <w:sz w:val="24"/>
          <w:szCs w:val="24"/>
          <w:lang w:val="en-US"/>
        </w:rPr>
        <w:t>Andersen, T. G.; Benzoni, L.;</w:t>
      </w:r>
      <w:r w:rsidR="000A3E1C" w:rsidRPr="00E4443D">
        <w:rPr>
          <w:caps/>
          <w:sz w:val="24"/>
          <w:szCs w:val="24"/>
          <w:lang w:val="en-US"/>
        </w:rPr>
        <w:t xml:space="preserve"> Lund, J.</w:t>
      </w:r>
      <w:r>
        <w:rPr>
          <w:caps/>
          <w:sz w:val="24"/>
          <w:szCs w:val="24"/>
          <w:lang w:val="en-US"/>
        </w:rPr>
        <w:t xml:space="preserve"> </w:t>
      </w:r>
      <w:r w:rsidR="000A3E1C" w:rsidRPr="00E37396">
        <w:rPr>
          <w:sz w:val="24"/>
          <w:szCs w:val="24"/>
          <w:lang w:val="en-US"/>
        </w:rPr>
        <w:t xml:space="preserve">An empirical investigation of continuous-time equity return models. </w:t>
      </w:r>
      <w:r w:rsidR="000A3E1C" w:rsidRPr="00E4443D">
        <w:rPr>
          <w:b/>
          <w:iCs/>
          <w:sz w:val="24"/>
          <w:szCs w:val="24"/>
          <w:lang w:val="en-US"/>
        </w:rPr>
        <w:t>The Journal of Finance</w:t>
      </w:r>
      <w:r>
        <w:rPr>
          <w:sz w:val="24"/>
          <w:szCs w:val="24"/>
          <w:lang w:val="en-US"/>
        </w:rPr>
        <w:t xml:space="preserve">, v. 57, n. 3, p. 1239–1284, </w:t>
      </w:r>
      <w:r w:rsidRPr="00E37396">
        <w:rPr>
          <w:sz w:val="24"/>
          <w:szCs w:val="24"/>
          <w:lang w:val="en-US"/>
        </w:rPr>
        <w:t>2002</w:t>
      </w:r>
      <w:r>
        <w:rPr>
          <w:sz w:val="24"/>
          <w:szCs w:val="24"/>
          <w:lang w:val="en-US"/>
        </w:rPr>
        <w:t>.</w:t>
      </w:r>
    </w:p>
    <w:p w:rsidR="00C43D2C" w:rsidRPr="00E37396" w:rsidRDefault="00C43D2C" w:rsidP="00E4443D">
      <w:pPr>
        <w:pStyle w:val="bibitem"/>
        <w:widowControl/>
        <w:ind w:left="0" w:firstLine="0"/>
        <w:jc w:val="both"/>
        <w:rPr>
          <w:sz w:val="24"/>
          <w:szCs w:val="24"/>
          <w:lang w:val="en-US"/>
        </w:rPr>
      </w:pPr>
    </w:p>
    <w:p w:rsidR="00064299" w:rsidRDefault="000A3E1C" w:rsidP="00E4443D">
      <w:pPr>
        <w:pStyle w:val="bibitem"/>
        <w:widowControl/>
        <w:ind w:left="0" w:firstLine="0"/>
        <w:jc w:val="both"/>
        <w:rPr>
          <w:sz w:val="24"/>
          <w:szCs w:val="24"/>
          <w:lang w:val="en-US"/>
        </w:rPr>
      </w:pPr>
      <w:r w:rsidRPr="00E4443D">
        <w:rPr>
          <w:caps/>
          <w:sz w:val="24"/>
          <w:szCs w:val="24"/>
          <w:lang w:val="en-US"/>
        </w:rPr>
        <w:t>Bates, D. S.</w:t>
      </w:r>
      <w:r w:rsidR="00E4443D">
        <w:rPr>
          <w:sz w:val="24"/>
          <w:szCs w:val="24"/>
          <w:lang w:val="en-US"/>
        </w:rPr>
        <w:t xml:space="preserve"> </w:t>
      </w:r>
      <w:r w:rsidRPr="00E37396">
        <w:rPr>
          <w:sz w:val="24"/>
          <w:szCs w:val="24"/>
          <w:lang w:val="en-US"/>
        </w:rPr>
        <w:t xml:space="preserve">The crash of ’87: was it expected? The evidence from options markets. </w:t>
      </w:r>
      <w:r w:rsidRPr="00E4443D">
        <w:rPr>
          <w:b/>
          <w:iCs/>
          <w:sz w:val="24"/>
          <w:szCs w:val="24"/>
          <w:lang w:val="en-US"/>
        </w:rPr>
        <w:t>The Journal of Finance</w:t>
      </w:r>
      <w:r w:rsidR="00E4443D">
        <w:rPr>
          <w:sz w:val="24"/>
          <w:szCs w:val="24"/>
          <w:lang w:val="en-US"/>
        </w:rPr>
        <w:t xml:space="preserve">, v. 46, n. 3, p. 1009–1044, </w:t>
      </w:r>
      <w:r w:rsidR="00E4443D" w:rsidRPr="00E37396">
        <w:rPr>
          <w:sz w:val="24"/>
          <w:szCs w:val="24"/>
          <w:lang w:val="en-US"/>
        </w:rPr>
        <w:t>1991</w:t>
      </w:r>
      <w:r w:rsidR="00E4443D">
        <w:rPr>
          <w:sz w:val="24"/>
          <w:szCs w:val="24"/>
          <w:lang w:val="en-US"/>
        </w:rPr>
        <w:t>.</w:t>
      </w:r>
    </w:p>
    <w:p w:rsidR="00C43D2C" w:rsidRPr="00E37396" w:rsidRDefault="00C43D2C" w:rsidP="00E4443D">
      <w:pPr>
        <w:pStyle w:val="bibitem"/>
        <w:widowControl/>
        <w:ind w:left="0" w:firstLine="0"/>
        <w:jc w:val="both"/>
        <w:rPr>
          <w:sz w:val="24"/>
          <w:szCs w:val="24"/>
          <w:lang w:val="en-US"/>
        </w:rPr>
      </w:pPr>
    </w:p>
    <w:p w:rsidR="00064299" w:rsidRDefault="000A3E1C" w:rsidP="00E4443D">
      <w:pPr>
        <w:pStyle w:val="bibitem"/>
        <w:widowControl/>
        <w:ind w:left="0" w:firstLine="0"/>
        <w:jc w:val="both"/>
        <w:rPr>
          <w:sz w:val="24"/>
          <w:szCs w:val="24"/>
          <w:lang w:val="en-US"/>
        </w:rPr>
      </w:pPr>
      <w:r w:rsidRPr="00E4443D">
        <w:rPr>
          <w:caps/>
          <w:sz w:val="24"/>
          <w:szCs w:val="24"/>
          <w:lang w:val="en-US"/>
        </w:rPr>
        <w:t>Chan, W. H.</w:t>
      </w:r>
      <w:r w:rsidR="00E4443D">
        <w:rPr>
          <w:sz w:val="24"/>
          <w:szCs w:val="24"/>
          <w:lang w:val="en-US"/>
        </w:rPr>
        <w:t xml:space="preserve"> </w:t>
      </w:r>
      <w:r w:rsidRPr="00E37396">
        <w:rPr>
          <w:sz w:val="24"/>
          <w:szCs w:val="24"/>
          <w:lang w:val="en-US"/>
        </w:rPr>
        <w:t xml:space="preserve">Conditional correlated jump dynamics in foreign exchange. </w:t>
      </w:r>
      <w:r w:rsidRPr="00E4443D">
        <w:rPr>
          <w:b/>
          <w:iCs/>
          <w:sz w:val="24"/>
          <w:szCs w:val="24"/>
          <w:lang w:val="en-US"/>
        </w:rPr>
        <w:t>Economics Letters</w:t>
      </w:r>
      <w:r w:rsidR="00E4443D">
        <w:rPr>
          <w:sz w:val="24"/>
          <w:szCs w:val="24"/>
          <w:lang w:val="en-US"/>
        </w:rPr>
        <w:t xml:space="preserve">, v. 83, n. 1, p. 23–28, </w:t>
      </w:r>
      <w:r w:rsidR="00E4443D" w:rsidRPr="00E37396">
        <w:rPr>
          <w:sz w:val="24"/>
          <w:szCs w:val="24"/>
          <w:lang w:val="en-US"/>
        </w:rPr>
        <w:t>2004</w:t>
      </w:r>
      <w:r w:rsidR="00E4443D">
        <w:rPr>
          <w:sz w:val="24"/>
          <w:szCs w:val="24"/>
          <w:lang w:val="en-US"/>
        </w:rPr>
        <w:t>.</w:t>
      </w:r>
    </w:p>
    <w:p w:rsidR="00C43D2C" w:rsidRPr="00E37396" w:rsidRDefault="00C43D2C" w:rsidP="00E4443D">
      <w:pPr>
        <w:pStyle w:val="bibitem"/>
        <w:widowControl/>
        <w:ind w:left="0" w:firstLine="0"/>
        <w:jc w:val="both"/>
        <w:rPr>
          <w:sz w:val="24"/>
          <w:szCs w:val="24"/>
          <w:lang w:val="en-US"/>
        </w:rPr>
      </w:pPr>
    </w:p>
    <w:p w:rsidR="00064299" w:rsidRDefault="00860EE6" w:rsidP="00E4443D">
      <w:pPr>
        <w:pStyle w:val="bibitem"/>
        <w:widowControl/>
        <w:ind w:left="0" w:firstLine="0"/>
        <w:jc w:val="both"/>
        <w:rPr>
          <w:sz w:val="24"/>
          <w:szCs w:val="24"/>
          <w:lang w:val="en-US"/>
        </w:rPr>
      </w:pPr>
      <w:r>
        <w:rPr>
          <w:caps/>
          <w:sz w:val="24"/>
          <w:szCs w:val="24"/>
          <w:lang w:val="en-US"/>
        </w:rPr>
        <w:t>Chan, W. H.;</w:t>
      </w:r>
      <w:r w:rsidR="000A3E1C" w:rsidRPr="00E4443D">
        <w:rPr>
          <w:caps/>
          <w:sz w:val="24"/>
          <w:szCs w:val="24"/>
          <w:lang w:val="en-US"/>
        </w:rPr>
        <w:t xml:space="preserve"> Maheu, J. M.</w:t>
      </w:r>
      <w:r w:rsidR="000A3E1C" w:rsidRPr="00E37396">
        <w:rPr>
          <w:sz w:val="24"/>
          <w:szCs w:val="24"/>
          <w:lang w:val="en-US"/>
        </w:rPr>
        <w:t xml:space="preserve"> Conditional jump dynamics in stock market returns. </w:t>
      </w:r>
      <w:r w:rsidR="000A3E1C" w:rsidRPr="00E4443D">
        <w:rPr>
          <w:b/>
          <w:iCs/>
          <w:sz w:val="24"/>
          <w:szCs w:val="24"/>
          <w:lang w:val="en-US"/>
        </w:rPr>
        <w:t>Journal of Business &amp; Economic Statistics</w:t>
      </w:r>
      <w:r w:rsidR="00E4443D">
        <w:rPr>
          <w:sz w:val="24"/>
          <w:szCs w:val="24"/>
          <w:lang w:val="en-US"/>
        </w:rPr>
        <w:t xml:space="preserve">, v. 20, n. 3, p. 377–389, </w:t>
      </w:r>
      <w:r w:rsidR="00E4443D" w:rsidRPr="00E37396">
        <w:rPr>
          <w:sz w:val="24"/>
          <w:szCs w:val="24"/>
          <w:lang w:val="en-US"/>
        </w:rPr>
        <w:t>2002</w:t>
      </w:r>
      <w:r w:rsidR="00E4443D">
        <w:rPr>
          <w:sz w:val="24"/>
          <w:szCs w:val="24"/>
          <w:lang w:val="en-US"/>
        </w:rPr>
        <w:t>.</w:t>
      </w:r>
    </w:p>
    <w:p w:rsidR="00C43D2C" w:rsidRPr="00E37396" w:rsidRDefault="00C43D2C" w:rsidP="00E4443D">
      <w:pPr>
        <w:pStyle w:val="bibitem"/>
        <w:widowControl/>
        <w:ind w:left="0" w:firstLine="0"/>
        <w:jc w:val="both"/>
        <w:rPr>
          <w:sz w:val="24"/>
          <w:szCs w:val="24"/>
          <w:lang w:val="en-US"/>
        </w:rPr>
      </w:pPr>
    </w:p>
    <w:p w:rsidR="00064299" w:rsidRDefault="00860EE6" w:rsidP="00E4443D">
      <w:pPr>
        <w:pStyle w:val="bibitem"/>
        <w:widowControl/>
        <w:ind w:left="0" w:firstLine="0"/>
        <w:jc w:val="both"/>
        <w:rPr>
          <w:sz w:val="24"/>
          <w:szCs w:val="24"/>
          <w:lang w:val="en-US"/>
        </w:rPr>
      </w:pPr>
      <w:r>
        <w:rPr>
          <w:caps/>
          <w:sz w:val="24"/>
          <w:szCs w:val="24"/>
          <w:lang w:val="en-US"/>
        </w:rPr>
        <w:t>Chernov, M.; Gallant, A. R.;</w:t>
      </w:r>
      <w:r w:rsidR="000A3E1C" w:rsidRPr="00E4443D">
        <w:rPr>
          <w:caps/>
          <w:sz w:val="24"/>
          <w:szCs w:val="24"/>
          <w:lang w:val="en-US"/>
        </w:rPr>
        <w:t xml:space="preserve"> Ghysels, E.</w:t>
      </w:r>
      <w:r>
        <w:rPr>
          <w:caps/>
          <w:sz w:val="24"/>
          <w:szCs w:val="24"/>
          <w:lang w:val="en-US"/>
        </w:rPr>
        <w:t xml:space="preserve">; </w:t>
      </w:r>
      <w:r w:rsidR="000A3E1C" w:rsidRPr="00E4443D">
        <w:rPr>
          <w:caps/>
          <w:sz w:val="24"/>
          <w:szCs w:val="24"/>
          <w:lang w:val="en-US"/>
        </w:rPr>
        <w:t>Tauchen, G.</w:t>
      </w:r>
      <w:r>
        <w:rPr>
          <w:sz w:val="24"/>
          <w:szCs w:val="24"/>
          <w:lang w:val="en-US"/>
        </w:rPr>
        <w:t xml:space="preserve"> </w:t>
      </w:r>
      <w:r w:rsidR="000A3E1C" w:rsidRPr="00E37396">
        <w:rPr>
          <w:sz w:val="24"/>
          <w:szCs w:val="24"/>
          <w:lang w:val="en-US"/>
        </w:rPr>
        <w:t xml:space="preserve">Alternative models for stock price dynamics. </w:t>
      </w:r>
      <w:r w:rsidR="000A3E1C" w:rsidRPr="00860EE6">
        <w:rPr>
          <w:b/>
          <w:iCs/>
          <w:sz w:val="24"/>
          <w:szCs w:val="24"/>
          <w:lang w:val="en-US"/>
        </w:rPr>
        <w:t>Journal of Econometrics</w:t>
      </w:r>
      <w:r w:rsidR="000A3E1C" w:rsidRPr="00E37396">
        <w:rPr>
          <w:sz w:val="24"/>
          <w:szCs w:val="24"/>
          <w:lang w:val="en-US"/>
        </w:rPr>
        <w:t xml:space="preserve">, </w:t>
      </w:r>
      <w:r>
        <w:rPr>
          <w:sz w:val="24"/>
          <w:szCs w:val="24"/>
          <w:lang w:val="en-US"/>
        </w:rPr>
        <w:t xml:space="preserve">v. </w:t>
      </w:r>
      <w:r w:rsidR="000A3E1C" w:rsidRPr="00E37396">
        <w:rPr>
          <w:sz w:val="24"/>
          <w:szCs w:val="24"/>
          <w:lang w:val="en-US"/>
        </w:rPr>
        <w:t>116</w:t>
      </w:r>
      <w:r>
        <w:rPr>
          <w:sz w:val="24"/>
          <w:szCs w:val="24"/>
          <w:lang w:val="en-US"/>
        </w:rPr>
        <w:t xml:space="preserve">, n. </w:t>
      </w:r>
      <w:r w:rsidR="000A3E1C" w:rsidRPr="00E37396">
        <w:rPr>
          <w:sz w:val="24"/>
          <w:szCs w:val="24"/>
          <w:lang w:val="en-US"/>
        </w:rPr>
        <w:t>1</w:t>
      </w:r>
      <w:r>
        <w:rPr>
          <w:sz w:val="24"/>
          <w:szCs w:val="24"/>
          <w:lang w:val="en-US"/>
        </w:rPr>
        <w:t xml:space="preserve">, p. 225–257, </w:t>
      </w:r>
      <w:r w:rsidRPr="00E37396">
        <w:rPr>
          <w:sz w:val="24"/>
          <w:szCs w:val="24"/>
          <w:lang w:val="en-US"/>
        </w:rPr>
        <w:t>2003</w:t>
      </w:r>
      <w:r>
        <w:rPr>
          <w:sz w:val="24"/>
          <w:szCs w:val="24"/>
          <w:lang w:val="en-US"/>
        </w:rPr>
        <w:t>.</w:t>
      </w:r>
    </w:p>
    <w:p w:rsidR="00C43D2C" w:rsidRPr="00E37396" w:rsidRDefault="00C43D2C" w:rsidP="00E4443D">
      <w:pPr>
        <w:pStyle w:val="bibitem"/>
        <w:widowControl/>
        <w:ind w:left="0" w:firstLine="0"/>
        <w:jc w:val="both"/>
        <w:rPr>
          <w:sz w:val="24"/>
          <w:szCs w:val="24"/>
          <w:lang w:val="en-US"/>
        </w:rPr>
      </w:pPr>
    </w:p>
    <w:p w:rsidR="00064299" w:rsidRDefault="00186D89" w:rsidP="00E4443D">
      <w:pPr>
        <w:pStyle w:val="bibitem"/>
        <w:widowControl/>
        <w:ind w:left="0" w:firstLine="0"/>
        <w:jc w:val="both"/>
        <w:rPr>
          <w:sz w:val="24"/>
          <w:szCs w:val="24"/>
          <w:lang w:val="en-US"/>
        </w:rPr>
      </w:pPr>
      <w:r>
        <w:rPr>
          <w:caps/>
          <w:sz w:val="24"/>
          <w:szCs w:val="24"/>
          <w:lang w:val="en-US"/>
        </w:rPr>
        <w:t xml:space="preserve">Christoffersen, P.; Jacobs, K.; </w:t>
      </w:r>
      <w:r w:rsidR="000A3E1C" w:rsidRPr="00186D89">
        <w:rPr>
          <w:caps/>
          <w:sz w:val="24"/>
          <w:szCs w:val="24"/>
          <w:lang w:val="en-US"/>
        </w:rPr>
        <w:t>Ornthanalai, C.</w:t>
      </w:r>
      <w:r>
        <w:rPr>
          <w:sz w:val="24"/>
          <w:szCs w:val="24"/>
          <w:lang w:val="en-US"/>
        </w:rPr>
        <w:t xml:space="preserve"> </w:t>
      </w:r>
      <w:r w:rsidR="000A3E1C" w:rsidRPr="00E37396">
        <w:rPr>
          <w:sz w:val="24"/>
          <w:szCs w:val="24"/>
          <w:lang w:val="en-US"/>
        </w:rPr>
        <w:t xml:space="preserve">Dynamic jump intensities and risk premiums: evidence from S&amp;P500 returns and options. </w:t>
      </w:r>
      <w:r w:rsidR="000A3E1C" w:rsidRPr="00186D89">
        <w:rPr>
          <w:b/>
          <w:iCs/>
          <w:sz w:val="24"/>
          <w:szCs w:val="24"/>
          <w:lang w:val="en-US"/>
        </w:rPr>
        <w:t>Journal of Financial Economics</w:t>
      </w:r>
      <w:r>
        <w:rPr>
          <w:sz w:val="24"/>
          <w:szCs w:val="24"/>
          <w:lang w:val="en-US"/>
        </w:rPr>
        <w:t xml:space="preserve">, v. 106, n. 3, p. 447–684, </w:t>
      </w:r>
      <w:r w:rsidRPr="00E37396">
        <w:rPr>
          <w:sz w:val="24"/>
          <w:szCs w:val="24"/>
          <w:lang w:val="en-US"/>
        </w:rPr>
        <w:t>2012</w:t>
      </w:r>
      <w:r>
        <w:rPr>
          <w:sz w:val="24"/>
          <w:szCs w:val="24"/>
          <w:lang w:val="en-US"/>
        </w:rPr>
        <w:t>.</w:t>
      </w:r>
    </w:p>
    <w:p w:rsidR="00C43D2C" w:rsidRPr="00E37396" w:rsidRDefault="00C43D2C" w:rsidP="00E4443D">
      <w:pPr>
        <w:pStyle w:val="bibitem"/>
        <w:widowControl/>
        <w:ind w:left="0" w:firstLine="0"/>
        <w:jc w:val="both"/>
        <w:rPr>
          <w:sz w:val="24"/>
          <w:szCs w:val="24"/>
          <w:lang w:val="en-US"/>
        </w:rPr>
      </w:pPr>
    </w:p>
    <w:p w:rsidR="00064299" w:rsidRDefault="000A3E1C" w:rsidP="00E4443D">
      <w:pPr>
        <w:pStyle w:val="bibitem"/>
        <w:widowControl/>
        <w:ind w:left="0" w:firstLine="0"/>
        <w:jc w:val="both"/>
        <w:rPr>
          <w:sz w:val="24"/>
          <w:szCs w:val="24"/>
        </w:rPr>
      </w:pPr>
      <w:r w:rsidRPr="00186D89">
        <w:rPr>
          <w:caps/>
          <w:sz w:val="24"/>
          <w:szCs w:val="24"/>
          <w:lang w:val="en-US"/>
        </w:rPr>
        <w:t>Evans, K. P.</w:t>
      </w:r>
      <w:r w:rsidR="00186D89">
        <w:rPr>
          <w:sz w:val="24"/>
          <w:szCs w:val="24"/>
          <w:lang w:val="en-US"/>
        </w:rPr>
        <w:t xml:space="preserve"> </w:t>
      </w:r>
      <w:r w:rsidRPr="00E37396">
        <w:rPr>
          <w:sz w:val="24"/>
          <w:szCs w:val="24"/>
          <w:lang w:val="en-US"/>
        </w:rPr>
        <w:t xml:space="preserve">Intraday jumps and US macroeconomic news announcements. </w:t>
      </w:r>
      <w:r w:rsidRPr="00186D89">
        <w:rPr>
          <w:b/>
          <w:iCs/>
          <w:sz w:val="24"/>
          <w:szCs w:val="24"/>
        </w:rPr>
        <w:t>Journal of Banking &amp; Finance</w:t>
      </w:r>
      <w:r w:rsidR="00186D89">
        <w:rPr>
          <w:sz w:val="24"/>
          <w:szCs w:val="24"/>
        </w:rPr>
        <w:t xml:space="preserve">, v. 35, n. 10, p. 2511–2527, </w:t>
      </w:r>
      <w:r w:rsidR="00186D89" w:rsidRPr="00E37396">
        <w:rPr>
          <w:sz w:val="24"/>
          <w:szCs w:val="24"/>
          <w:lang w:val="en-US"/>
        </w:rPr>
        <w:t>2011</w:t>
      </w:r>
      <w:r w:rsidR="00186D89">
        <w:rPr>
          <w:sz w:val="24"/>
          <w:szCs w:val="24"/>
          <w:lang w:val="en-US"/>
        </w:rPr>
        <w:t>.</w:t>
      </w:r>
    </w:p>
    <w:p w:rsidR="00C43D2C" w:rsidRPr="00E37396" w:rsidRDefault="00C43D2C" w:rsidP="00E4443D">
      <w:pPr>
        <w:pStyle w:val="bibitem"/>
        <w:widowControl/>
        <w:ind w:left="0" w:firstLine="0"/>
        <w:jc w:val="both"/>
        <w:rPr>
          <w:sz w:val="24"/>
          <w:szCs w:val="24"/>
        </w:rPr>
      </w:pPr>
    </w:p>
    <w:p w:rsidR="00064299" w:rsidRDefault="000A3E1C" w:rsidP="00E4443D">
      <w:pPr>
        <w:pStyle w:val="bibitem"/>
        <w:widowControl/>
        <w:ind w:left="0" w:firstLine="0"/>
        <w:jc w:val="both"/>
        <w:rPr>
          <w:sz w:val="24"/>
          <w:szCs w:val="24"/>
          <w:lang w:val="en-US"/>
        </w:rPr>
      </w:pPr>
      <w:r w:rsidRPr="00186D89">
        <w:rPr>
          <w:caps/>
          <w:sz w:val="24"/>
          <w:szCs w:val="24"/>
        </w:rPr>
        <w:t>Ferreira, R. T.</w:t>
      </w:r>
      <w:r w:rsidR="00186D89">
        <w:rPr>
          <w:caps/>
          <w:sz w:val="24"/>
          <w:szCs w:val="24"/>
        </w:rPr>
        <w:t>;</w:t>
      </w:r>
      <w:r w:rsidRPr="00186D89">
        <w:rPr>
          <w:caps/>
          <w:sz w:val="24"/>
          <w:szCs w:val="24"/>
        </w:rPr>
        <w:t xml:space="preserve"> de Melo Zachis, S.</w:t>
      </w:r>
      <w:r w:rsidR="00186D89">
        <w:rPr>
          <w:sz w:val="24"/>
          <w:szCs w:val="24"/>
        </w:rPr>
        <w:t xml:space="preserve"> </w:t>
      </w:r>
      <w:r w:rsidRPr="00E37396">
        <w:rPr>
          <w:sz w:val="24"/>
          <w:szCs w:val="24"/>
        </w:rPr>
        <w:t xml:space="preserve">Análise dos saltos e co-saltos nas séries do Ibovespa, Dow Jones, taxa de juros, taxa de câmbio e no spread do c-bond. </w:t>
      </w:r>
      <w:r w:rsidRPr="00186D89">
        <w:rPr>
          <w:b/>
          <w:iCs/>
          <w:sz w:val="24"/>
          <w:szCs w:val="24"/>
          <w:lang w:val="en-US"/>
        </w:rPr>
        <w:t>Revista Economia</w:t>
      </w:r>
      <w:r w:rsidR="00186D89">
        <w:rPr>
          <w:sz w:val="24"/>
          <w:szCs w:val="24"/>
          <w:lang w:val="en-US"/>
        </w:rPr>
        <w:t xml:space="preserve">, v. 13, p. 15–34, </w:t>
      </w:r>
      <w:r w:rsidR="00186D89" w:rsidRPr="00E37396">
        <w:rPr>
          <w:sz w:val="24"/>
          <w:szCs w:val="24"/>
        </w:rPr>
        <w:t>2012</w:t>
      </w:r>
      <w:r w:rsidR="00186D89">
        <w:rPr>
          <w:sz w:val="24"/>
          <w:szCs w:val="24"/>
        </w:rPr>
        <w:t>.</w:t>
      </w:r>
    </w:p>
    <w:p w:rsidR="00C43D2C" w:rsidRPr="00E37396" w:rsidRDefault="00C43D2C" w:rsidP="00E4443D">
      <w:pPr>
        <w:pStyle w:val="bibitem"/>
        <w:widowControl/>
        <w:ind w:left="0" w:firstLine="0"/>
        <w:jc w:val="both"/>
        <w:rPr>
          <w:sz w:val="24"/>
          <w:szCs w:val="24"/>
          <w:lang w:val="en-US"/>
        </w:rPr>
      </w:pPr>
    </w:p>
    <w:p w:rsidR="00064299" w:rsidRDefault="000A3E1C" w:rsidP="00E4443D">
      <w:pPr>
        <w:pStyle w:val="bibitem"/>
        <w:widowControl/>
        <w:ind w:left="0" w:firstLine="0"/>
        <w:jc w:val="both"/>
        <w:rPr>
          <w:sz w:val="24"/>
          <w:szCs w:val="24"/>
        </w:rPr>
      </w:pPr>
      <w:r w:rsidRPr="00AC6B5B">
        <w:rPr>
          <w:caps/>
          <w:sz w:val="24"/>
          <w:szCs w:val="24"/>
          <w:lang w:val="en-US"/>
        </w:rPr>
        <w:t>Fortune, P.</w:t>
      </w:r>
      <w:r w:rsidR="00AC6B5B">
        <w:rPr>
          <w:sz w:val="24"/>
          <w:szCs w:val="24"/>
          <w:lang w:val="en-US"/>
        </w:rPr>
        <w:t xml:space="preserve"> </w:t>
      </w:r>
      <w:r w:rsidRPr="00E37396">
        <w:rPr>
          <w:sz w:val="24"/>
          <w:szCs w:val="24"/>
          <w:lang w:val="en-US"/>
        </w:rPr>
        <w:t>Are stock re</w:t>
      </w:r>
      <w:r w:rsidR="00AC6B5B">
        <w:rPr>
          <w:sz w:val="24"/>
          <w:szCs w:val="24"/>
          <w:lang w:val="en-US"/>
        </w:rPr>
        <w:t xml:space="preserve">turns different over weekends? </w:t>
      </w:r>
      <w:r w:rsidRPr="00E37396">
        <w:rPr>
          <w:sz w:val="24"/>
          <w:szCs w:val="24"/>
          <w:lang w:val="en-US"/>
        </w:rPr>
        <w:t xml:space="preserve">A jump diffusion analysis of the weekend effect. </w:t>
      </w:r>
      <w:r w:rsidRPr="00AC6B5B">
        <w:rPr>
          <w:b/>
          <w:iCs/>
          <w:sz w:val="24"/>
          <w:szCs w:val="24"/>
        </w:rPr>
        <w:t>New England Economic Review</w:t>
      </w:r>
      <w:r w:rsidR="00AC6B5B">
        <w:rPr>
          <w:sz w:val="24"/>
          <w:szCs w:val="24"/>
        </w:rPr>
        <w:t xml:space="preserve">, set./out., p. 3–19, </w:t>
      </w:r>
      <w:r w:rsidR="00AC6B5B" w:rsidRPr="00E37396">
        <w:rPr>
          <w:sz w:val="24"/>
          <w:szCs w:val="24"/>
          <w:lang w:val="en-US"/>
        </w:rPr>
        <w:t>1999</w:t>
      </w:r>
      <w:r w:rsidR="00AC6B5B">
        <w:rPr>
          <w:sz w:val="24"/>
          <w:szCs w:val="24"/>
          <w:lang w:val="en-US"/>
        </w:rPr>
        <w:t>.</w:t>
      </w:r>
    </w:p>
    <w:p w:rsidR="00C43D2C" w:rsidRPr="00E37396" w:rsidRDefault="00C43D2C" w:rsidP="00E4443D">
      <w:pPr>
        <w:pStyle w:val="bibitem"/>
        <w:widowControl/>
        <w:ind w:left="0" w:firstLine="0"/>
        <w:jc w:val="both"/>
        <w:rPr>
          <w:sz w:val="24"/>
          <w:szCs w:val="24"/>
        </w:rPr>
      </w:pPr>
    </w:p>
    <w:p w:rsidR="00064299" w:rsidRDefault="000A3E1C" w:rsidP="00E4443D">
      <w:pPr>
        <w:pStyle w:val="bibitem"/>
        <w:widowControl/>
        <w:ind w:left="0" w:firstLine="0"/>
        <w:jc w:val="both"/>
        <w:rPr>
          <w:sz w:val="24"/>
          <w:szCs w:val="24"/>
          <w:lang w:val="en-US"/>
        </w:rPr>
      </w:pPr>
      <w:r w:rsidRPr="00AC6B5B">
        <w:rPr>
          <w:caps/>
          <w:sz w:val="24"/>
          <w:szCs w:val="24"/>
        </w:rPr>
        <w:t xml:space="preserve">Guimarães, B. </w:t>
      </w:r>
      <w:r w:rsidRPr="002273C2">
        <w:rPr>
          <w:sz w:val="24"/>
          <w:szCs w:val="24"/>
        </w:rPr>
        <w:t>d</w:t>
      </w:r>
      <w:r w:rsidRPr="00AC6B5B">
        <w:rPr>
          <w:caps/>
          <w:sz w:val="24"/>
          <w:szCs w:val="24"/>
        </w:rPr>
        <w:t>. V.</w:t>
      </w:r>
      <w:r w:rsidR="002273C2">
        <w:rPr>
          <w:caps/>
          <w:sz w:val="24"/>
          <w:szCs w:val="24"/>
        </w:rPr>
        <w:t xml:space="preserve">; Silva, M. E. </w:t>
      </w:r>
      <w:r w:rsidR="002273C2" w:rsidRPr="002273C2">
        <w:rPr>
          <w:sz w:val="24"/>
          <w:szCs w:val="24"/>
        </w:rPr>
        <w:t>d</w:t>
      </w:r>
      <w:r w:rsidR="002273C2">
        <w:rPr>
          <w:sz w:val="24"/>
          <w:szCs w:val="24"/>
        </w:rPr>
        <w:t xml:space="preserve">. </w:t>
      </w:r>
      <w:r w:rsidRPr="00E37396">
        <w:rPr>
          <w:sz w:val="24"/>
          <w:szCs w:val="24"/>
        </w:rPr>
        <w:t xml:space="preserve">A possibilidade de saltos no câmbio implícita nos prêmios das opções. </w:t>
      </w:r>
      <w:r w:rsidRPr="00AC6B5B">
        <w:rPr>
          <w:b/>
          <w:iCs/>
          <w:sz w:val="24"/>
          <w:szCs w:val="24"/>
          <w:lang w:val="en-US"/>
        </w:rPr>
        <w:t>Revista Brasileira de Economia</w:t>
      </w:r>
      <w:r w:rsidRPr="00E37396">
        <w:rPr>
          <w:sz w:val="24"/>
          <w:szCs w:val="24"/>
          <w:lang w:val="en-US"/>
        </w:rPr>
        <w:t>,</w:t>
      </w:r>
      <w:r w:rsidR="00AC6B5B">
        <w:rPr>
          <w:sz w:val="24"/>
          <w:szCs w:val="24"/>
          <w:lang w:val="en-US"/>
        </w:rPr>
        <w:t xml:space="preserve"> v.</w:t>
      </w:r>
      <w:r w:rsidRPr="00E37396">
        <w:rPr>
          <w:sz w:val="24"/>
          <w:szCs w:val="24"/>
          <w:lang w:val="en-US"/>
        </w:rPr>
        <w:t xml:space="preserve"> 56</w:t>
      </w:r>
      <w:r w:rsidR="00AC6B5B">
        <w:rPr>
          <w:sz w:val="24"/>
          <w:szCs w:val="24"/>
          <w:lang w:val="en-US"/>
        </w:rPr>
        <w:t xml:space="preserve">, p. 397–428, </w:t>
      </w:r>
      <w:r w:rsidR="00AC6B5B" w:rsidRPr="00E37396">
        <w:rPr>
          <w:sz w:val="24"/>
          <w:szCs w:val="24"/>
        </w:rPr>
        <w:t>2002</w:t>
      </w:r>
      <w:r w:rsidR="00AC6B5B">
        <w:rPr>
          <w:sz w:val="24"/>
          <w:szCs w:val="24"/>
        </w:rPr>
        <w:t>.</w:t>
      </w:r>
    </w:p>
    <w:p w:rsidR="00C43D2C" w:rsidRPr="00E37396" w:rsidRDefault="00C43D2C" w:rsidP="00E4443D">
      <w:pPr>
        <w:pStyle w:val="bibitem"/>
        <w:widowControl/>
        <w:ind w:left="0" w:firstLine="0"/>
        <w:jc w:val="both"/>
        <w:rPr>
          <w:sz w:val="24"/>
          <w:szCs w:val="24"/>
          <w:lang w:val="en-US"/>
        </w:rPr>
      </w:pPr>
    </w:p>
    <w:p w:rsidR="00064299" w:rsidRDefault="000A3E1C" w:rsidP="00E4443D">
      <w:pPr>
        <w:pStyle w:val="bibitem"/>
        <w:widowControl/>
        <w:ind w:left="0" w:firstLine="0"/>
        <w:jc w:val="both"/>
        <w:rPr>
          <w:sz w:val="24"/>
          <w:szCs w:val="24"/>
          <w:lang w:val="en-US"/>
        </w:rPr>
      </w:pPr>
      <w:r w:rsidRPr="00AC6B5B">
        <w:rPr>
          <w:caps/>
          <w:sz w:val="24"/>
          <w:szCs w:val="24"/>
          <w:lang w:val="en-US"/>
        </w:rPr>
        <w:t>Hsieh, D. A.</w:t>
      </w:r>
      <w:r w:rsidR="00AC6B5B">
        <w:rPr>
          <w:caps/>
          <w:sz w:val="24"/>
          <w:szCs w:val="24"/>
          <w:lang w:val="en-US"/>
        </w:rPr>
        <w:t xml:space="preserve"> </w:t>
      </w:r>
      <w:r w:rsidRPr="00E37396">
        <w:rPr>
          <w:sz w:val="24"/>
          <w:szCs w:val="24"/>
          <w:lang w:val="en-US"/>
        </w:rPr>
        <w:t xml:space="preserve">The statistical properties of daily foreign exchange rates: 1974 - 1983. </w:t>
      </w:r>
      <w:r w:rsidRPr="00AC6B5B">
        <w:rPr>
          <w:b/>
          <w:iCs/>
          <w:sz w:val="24"/>
          <w:szCs w:val="24"/>
          <w:lang w:val="en-US"/>
        </w:rPr>
        <w:t>Journal of International Economics</w:t>
      </w:r>
      <w:r w:rsidR="00AC6B5B">
        <w:rPr>
          <w:sz w:val="24"/>
          <w:szCs w:val="24"/>
          <w:lang w:val="en-US"/>
        </w:rPr>
        <w:t xml:space="preserve">, v. 24, n. 1, p. 129–145, </w:t>
      </w:r>
      <w:r w:rsidR="00AC6B5B" w:rsidRPr="00E37396">
        <w:rPr>
          <w:sz w:val="24"/>
          <w:szCs w:val="24"/>
          <w:lang w:val="en-US"/>
        </w:rPr>
        <w:t>1988</w:t>
      </w:r>
      <w:r w:rsidR="00AC6B5B">
        <w:rPr>
          <w:sz w:val="24"/>
          <w:szCs w:val="24"/>
          <w:lang w:val="en-US"/>
        </w:rPr>
        <w:t>.</w:t>
      </w:r>
    </w:p>
    <w:p w:rsidR="00C43D2C" w:rsidRPr="00E37396" w:rsidRDefault="00C43D2C" w:rsidP="00E4443D">
      <w:pPr>
        <w:pStyle w:val="bibitem"/>
        <w:widowControl/>
        <w:ind w:left="0" w:firstLine="0"/>
        <w:jc w:val="both"/>
        <w:rPr>
          <w:sz w:val="24"/>
          <w:szCs w:val="24"/>
          <w:lang w:val="en-US"/>
        </w:rPr>
      </w:pPr>
    </w:p>
    <w:p w:rsidR="00064299" w:rsidRDefault="000A3E1C" w:rsidP="00E4443D">
      <w:pPr>
        <w:pStyle w:val="bibitem"/>
        <w:widowControl/>
        <w:ind w:left="0" w:firstLine="0"/>
        <w:jc w:val="both"/>
        <w:rPr>
          <w:sz w:val="24"/>
          <w:szCs w:val="24"/>
          <w:lang w:val="en-US"/>
        </w:rPr>
      </w:pPr>
      <w:r w:rsidRPr="00AC6B5B">
        <w:rPr>
          <w:caps/>
          <w:sz w:val="24"/>
          <w:szCs w:val="24"/>
          <w:lang w:val="en-US"/>
        </w:rPr>
        <w:t>Hsieh, D. A.</w:t>
      </w:r>
      <w:r w:rsidR="00AC6B5B">
        <w:rPr>
          <w:sz w:val="24"/>
          <w:szCs w:val="24"/>
          <w:lang w:val="en-US"/>
        </w:rPr>
        <w:t xml:space="preserve"> </w:t>
      </w:r>
      <w:r w:rsidRPr="00E37396">
        <w:rPr>
          <w:sz w:val="24"/>
          <w:szCs w:val="24"/>
          <w:lang w:val="en-US"/>
        </w:rPr>
        <w:t xml:space="preserve">Testing for nonlinear dependence in daily foreign exchange rates. </w:t>
      </w:r>
      <w:r w:rsidRPr="00AC6B5B">
        <w:rPr>
          <w:b/>
          <w:iCs/>
          <w:sz w:val="24"/>
          <w:szCs w:val="24"/>
          <w:lang w:val="en-US"/>
        </w:rPr>
        <w:t>The Journal of Business</w:t>
      </w:r>
      <w:r w:rsidR="00AC6B5B">
        <w:rPr>
          <w:sz w:val="24"/>
          <w:szCs w:val="24"/>
          <w:lang w:val="en-US"/>
        </w:rPr>
        <w:t xml:space="preserve">, v. 62, n. 3, p. 339–368, </w:t>
      </w:r>
      <w:r w:rsidR="00AC6B5B" w:rsidRPr="00E37396">
        <w:rPr>
          <w:sz w:val="24"/>
          <w:szCs w:val="24"/>
          <w:lang w:val="en-US"/>
        </w:rPr>
        <w:t>1989</w:t>
      </w:r>
      <w:r w:rsidR="00AC6B5B">
        <w:rPr>
          <w:sz w:val="24"/>
          <w:szCs w:val="24"/>
          <w:lang w:val="en-US"/>
        </w:rPr>
        <w:t>.</w:t>
      </w:r>
    </w:p>
    <w:p w:rsidR="00C43D2C" w:rsidRPr="00E37396" w:rsidRDefault="00C43D2C" w:rsidP="00E4443D">
      <w:pPr>
        <w:pStyle w:val="bibitem"/>
        <w:widowControl/>
        <w:ind w:left="0" w:firstLine="0"/>
        <w:jc w:val="both"/>
        <w:rPr>
          <w:sz w:val="24"/>
          <w:szCs w:val="24"/>
          <w:lang w:val="en-US"/>
        </w:rPr>
      </w:pPr>
    </w:p>
    <w:p w:rsidR="00064299" w:rsidRDefault="000A3E1C" w:rsidP="00E4443D">
      <w:pPr>
        <w:pStyle w:val="bibitem"/>
        <w:widowControl/>
        <w:ind w:left="0" w:firstLine="0"/>
        <w:jc w:val="both"/>
        <w:rPr>
          <w:sz w:val="24"/>
          <w:szCs w:val="24"/>
          <w:lang w:val="en-US"/>
        </w:rPr>
      </w:pPr>
      <w:r w:rsidRPr="00AC6B5B">
        <w:rPr>
          <w:caps/>
          <w:sz w:val="24"/>
          <w:szCs w:val="24"/>
          <w:lang w:val="en-US"/>
        </w:rPr>
        <w:t>Jorion, P.</w:t>
      </w:r>
      <w:r w:rsidR="00AC6B5B">
        <w:rPr>
          <w:sz w:val="24"/>
          <w:szCs w:val="24"/>
          <w:lang w:val="en-US"/>
        </w:rPr>
        <w:t xml:space="preserve"> </w:t>
      </w:r>
      <w:r w:rsidRPr="00E37396">
        <w:rPr>
          <w:sz w:val="24"/>
          <w:szCs w:val="24"/>
          <w:lang w:val="en-US"/>
        </w:rPr>
        <w:t xml:space="preserve">On jump processes in the foreign exchange and stock markets. </w:t>
      </w:r>
      <w:r w:rsidRPr="00AC6B5B">
        <w:rPr>
          <w:b/>
          <w:iCs/>
          <w:sz w:val="24"/>
          <w:szCs w:val="24"/>
          <w:lang w:val="en-US"/>
        </w:rPr>
        <w:t>Review of Financial Studies</w:t>
      </w:r>
      <w:r w:rsidR="00AC6B5B">
        <w:rPr>
          <w:sz w:val="24"/>
          <w:szCs w:val="24"/>
          <w:lang w:val="en-US"/>
        </w:rPr>
        <w:t xml:space="preserve">, v. 1, n. 4, p. 427–445, </w:t>
      </w:r>
      <w:r w:rsidR="00AC6B5B" w:rsidRPr="00E37396">
        <w:rPr>
          <w:sz w:val="24"/>
          <w:szCs w:val="24"/>
          <w:lang w:val="en-US"/>
        </w:rPr>
        <w:t>1988</w:t>
      </w:r>
      <w:r w:rsidR="00AC6B5B">
        <w:rPr>
          <w:sz w:val="24"/>
          <w:szCs w:val="24"/>
          <w:lang w:val="en-US"/>
        </w:rPr>
        <w:t>.</w:t>
      </w:r>
    </w:p>
    <w:p w:rsidR="00C43D2C" w:rsidRPr="00E37396" w:rsidRDefault="00C43D2C" w:rsidP="00E4443D">
      <w:pPr>
        <w:pStyle w:val="bibitem"/>
        <w:widowControl/>
        <w:ind w:left="0" w:firstLine="0"/>
        <w:jc w:val="both"/>
        <w:rPr>
          <w:sz w:val="24"/>
          <w:szCs w:val="24"/>
          <w:lang w:val="en-US"/>
        </w:rPr>
      </w:pPr>
    </w:p>
    <w:p w:rsidR="00064299" w:rsidRPr="00E37396" w:rsidRDefault="00AC6B5B" w:rsidP="00E4443D">
      <w:pPr>
        <w:pStyle w:val="bibitem"/>
        <w:widowControl/>
        <w:ind w:left="0" w:firstLine="0"/>
        <w:jc w:val="both"/>
        <w:rPr>
          <w:sz w:val="24"/>
          <w:szCs w:val="24"/>
          <w:lang w:val="en-US"/>
        </w:rPr>
      </w:pPr>
      <w:r>
        <w:rPr>
          <w:caps/>
          <w:sz w:val="24"/>
          <w:szCs w:val="24"/>
          <w:lang w:val="en-US"/>
        </w:rPr>
        <w:t>Lee, Y.-H.; Hu, H.-N.;</w:t>
      </w:r>
      <w:r w:rsidR="000A3E1C" w:rsidRPr="00AC6B5B">
        <w:rPr>
          <w:caps/>
          <w:sz w:val="24"/>
          <w:szCs w:val="24"/>
          <w:lang w:val="en-US"/>
        </w:rPr>
        <w:t xml:space="preserve"> Chiou, J.-S.</w:t>
      </w:r>
      <w:r>
        <w:rPr>
          <w:sz w:val="24"/>
          <w:szCs w:val="24"/>
          <w:lang w:val="en-US"/>
        </w:rPr>
        <w:t xml:space="preserve"> </w:t>
      </w:r>
      <w:r w:rsidR="000A3E1C" w:rsidRPr="00E37396">
        <w:rPr>
          <w:sz w:val="24"/>
          <w:szCs w:val="24"/>
          <w:lang w:val="en-US"/>
        </w:rPr>
        <w:t xml:space="preserve">Jump dynamics with structural breaks for crude oil prices. </w:t>
      </w:r>
      <w:r w:rsidR="000A3E1C" w:rsidRPr="00AC6B5B">
        <w:rPr>
          <w:b/>
          <w:iCs/>
          <w:sz w:val="24"/>
          <w:szCs w:val="24"/>
          <w:lang w:val="en-US"/>
        </w:rPr>
        <w:t>Energy Economics</w:t>
      </w:r>
      <w:r>
        <w:rPr>
          <w:sz w:val="24"/>
          <w:szCs w:val="24"/>
          <w:lang w:val="en-US"/>
        </w:rPr>
        <w:t xml:space="preserve">, v. 32, n. 2, p. 343–350, </w:t>
      </w:r>
      <w:r w:rsidRPr="00E37396">
        <w:rPr>
          <w:sz w:val="24"/>
          <w:szCs w:val="24"/>
          <w:lang w:val="en-US"/>
        </w:rPr>
        <w:t>2010</w:t>
      </w:r>
      <w:r>
        <w:rPr>
          <w:sz w:val="24"/>
          <w:szCs w:val="24"/>
          <w:lang w:val="en-US"/>
        </w:rPr>
        <w:t>.</w:t>
      </w:r>
    </w:p>
    <w:p w:rsidR="00064299" w:rsidRDefault="000A3E1C" w:rsidP="00E4443D">
      <w:pPr>
        <w:pStyle w:val="bibitem"/>
        <w:widowControl/>
        <w:ind w:left="0" w:firstLine="0"/>
        <w:jc w:val="both"/>
        <w:rPr>
          <w:sz w:val="24"/>
          <w:szCs w:val="24"/>
          <w:lang w:val="en-US"/>
        </w:rPr>
      </w:pPr>
      <w:r w:rsidRPr="00BC3B52">
        <w:rPr>
          <w:caps/>
          <w:sz w:val="24"/>
          <w:szCs w:val="24"/>
          <w:lang w:val="en-US"/>
        </w:rPr>
        <w:lastRenderedPageBreak/>
        <w:t>Liu, P.</w:t>
      </w:r>
      <w:r w:rsidR="00140ECD">
        <w:rPr>
          <w:sz w:val="24"/>
          <w:szCs w:val="24"/>
          <w:lang w:val="en-US"/>
        </w:rPr>
        <w:t xml:space="preserve"> </w:t>
      </w:r>
      <w:r w:rsidRPr="00E37396">
        <w:rPr>
          <w:sz w:val="24"/>
          <w:szCs w:val="24"/>
          <w:lang w:val="en-US"/>
        </w:rPr>
        <w:t xml:space="preserve">Regime-switching garch-jump models with autoregressive jump intensity. </w:t>
      </w:r>
      <w:r w:rsidR="00140ECD" w:rsidRPr="00140ECD">
        <w:rPr>
          <w:b/>
          <w:iCs/>
          <w:sz w:val="24"/>
          <w:szCs w:val="24"/>
          <w:lang w:val="en-US"/>
        </w:rPr>
        <w:t>Working paper</w:t>
      </w:r>
      <w:r w:rsidR="00140ECD">
        <w:rPr>
          <w:sz w:val="24"/>
          <w:szCs w:val="24"/>
          <w:lang w:val="en-US"/>
        </w:rPr>
        <w:t>, 2012.</w:t>
      </w:r>
    </w:p>
    <w:p w:rsidR="00C43D2C" w:rsidRPr="00E37396" w:rsidRDefault="00C43D2C" w:rsidP="00E4443D">
      <w:pPr>
        <w:pStyle w:val="bibitem"/>
        <w:widowControl/>
        <w:ind w:left="0" w:firstLine="0"/>
        <w:jc w:val="both"/>
        <w:rPr>
          <w:sz w:val="24"/>
          <w:szCs w:val="24"/>
          <w:lang w:val="en-US"/>
        </w:rPr>
      </w:pPr>
    </w:p>
    <w:p w:rsidR="00064299" w:rsidRPr="00140ECD" w:rsidRDefault="00140ECD" w:rsidP="00E4443D">
      <w:pPr>
        <w:pStyle w:val="bibitem"/>
        <w:widowControl/>
        <w:ind w:left="0" w:firstLine="0"/>
        <w:jc w:val="both"/>
        <w:rPr>
          <w:caps/>
          <w:sz w:val="24"/>
          <w:szCs w:val="24"/>
          <w:lang w:val="en-US"/>
        </w:rPr>
      </w:pPr>
      <w:r>
        <w:rPr>
          <w:caps/>
          <w:sz w:val="24"/>
          <w:szCs w:val="24"/>
          <w:lang w:val="en-US"/>
        </w:rPr>
        <w:t>Maheu, J. M.;</w:t>
      </w:r>
      <w:r w:rsidR="000A3E1C" w:rsidRPr="00140ECD">
        <w:rPr>
          <w:caps/>
          <w:sz w:val="24"/>
          <w:szCs w:val="24"/>
          <w:lang w:val="en-US"/>
        </w:rPr>
        <w:t xml:space="preserve"> McCurdy, T. H.</w:t>
      </w:r>
      <w:r>
        <w:rPr>
          <w:sz w:val="24"/>
          <w:szCs w:val="24"/>
          <w:lang w:val="en-US"/>
        </w:rPr>
        <w:t xml:space="preserve"> </w:t>
      </w:r>
      <w:r w:rsidR="000A3E1C" w:rsidRPr="00E37396">
        <w:rPr>
          <w:sz w:val="24"/>
          <w:szCs w:val="24"/>
          <w:lang w:val="en-US"/>
        </w:rPr>
        <w:t xml:space="preserve">News arrival, jump dynamics, and volatility components for individual stock returns. </w:t>
      </w:r>
      <w:r w:rsidR="000A3E1C" w:rsidRPr="00140ECD">
        <w:rPr>
          <w:b/>
          <w:iCs/>
          <w:sz w:val="24"/>
          <w:szCs w:val="24"/>
          <w:lang w:val="en-US"/>
        </w:rPr>
        <w:t>The Journal of Finance</w:t>
      </w:r>
      <w:r>
        <w:rPr>
          <w:sz w:val="24"/>
          <w:szCs w:val="24"/>
          <w:lang w:val="en-US"/>
        </w:rPr>
        <w:t xml:space="preserve">, v. 59, n. 2, p. 755–793, </w:t>
      </w:r>
      <w:r w:rsidRPr="00E37396">
        <w:rPr>
          <w:sz w:val="24"/>
          <w:szCs w:val="24"/>
          <w:lang w:val="en-US"/>
        </w:rPr>
        <w:t>2004</w:t>
      </w:r>
      <w:r>
        <w:rPr>
          <w:sz w:val="24"/>
          <w:szCs w:val="24"/>
          <w:lang w:val="en-US"/>
        </w:rPr>
        <w:t>.</w:t>
      </w:r>
    </w:p>
    <w:p w:rsidR="00C43D2C" w:rsidRPr="00E37396" w:rsidRDefault="00C43D2C" w:rsidP="00E4443D">
      <w:pPr>
        <w:pStyle w:val="bibitem"/>
        <w:widowControl/>
        <w:ind w:left="0" w:firstLine="0"/>
        <w:jc w:val="both"/>
        <w:rPr>
          <w:sz w:val="24"/>
          <w:szCs w:val="24"/>
          <w:lang w:val="en-US"/>
        </w:rPr>
      </w:pPr>
    </w:p>
    <w:p w:rsidR="00064299" w:rsidRDefault="00140ECD" w:rsidP="00E4443D">
      <w:pPr>
        <w:pStyle w:val="bibitem"/>
        <w:widowControl/>
        <w:ind w:left="0" w:firstLine="0"/>
        <w:jc w:val="both"/>
        <w:rPr>
          <w:sz w:val="24"/>
          <w:szCs w:val="24"/>
          <w:lang w:val="en-US"/>
        </w:rPr>
      </w:pPr>
      <w:r>
        <w:rPr>
          <w:caps/>
          <w:sz w:val="24"/>
          <w:szCs w:val="24"/>
          <w:lang w:val="en-US"/>
        </w:rPr>
        <w:t xml:space="preserve">Nieuwland, F. G.; Verschoor, W. F.; </w:t>
      </w:r>
      <w:r w:rsidR="000A3E1C" w:rsidRPr="00140ECD">
        <w:rPr>
          <w:caps/>
          <w:sz w:val="24"/>
          <w:szCs w:val="24"/>
          <w:lang w:val="en-US"/>
        </w:rPr>
        <w:t>Wolff, C. C.</w:t>
      </w:r>
      <w:r>
        <w:rPr>
          <w:sz w:val="24"/>
          <w:szCs w:val="24"/>
          <w:lang w:val="en-US"/>
        </w:rPr>
        <w:t xml:space="preserve"> </w:t>
      </w:r>
      <w:r w:rsidR="000A3E1C" w:rsidRPr="00E37396">
        <w:rPr>
          <w:sz w:val="24"/>
          <w:szCs w:val="24"/>
          <w:lang w:val="en-US"/>
        </w:rPr>
        <w:t xml:space="preserve">Stochastic trends and jumps in EMS exchange rates. </w:t>
      </w:r>
      <w:r w:rsidR="000A3E1C" w:rsidRPr="00140ECD">
        <w:rPr>
          <w:b/>
          <w:iCs/>
          <w:sz w:val="24"/>
          <w:szCs w:val="24"/>
          <w:lang w:val="en-US"/>
        </w:rPr>
        <w:t>Journal of International Money and Finance</w:t>
      </w:r>
      <w:r>
        <w:rPr>
          <w:sz w:val="24"/>
          <w:szCs w:val="24"/>
          <w:lang w:val="en-US"/>
        </w:rPr>
        <w:t xml:space="preserve">, v. 13, n. 6, p. 699–727, </w:t>
      </w:r>
      <w:r w:rsidRPr="00E37396">
        <w:rPr>
          <w:sz w:val="24"/>
          <w:szCs w:val="24"/>
          <w:lang w:val="en-US"/>
        </w:rPr>
        <w:t>1994</w:t>
      </w:r>
      <w:r>
        <w:rPr>
          <w:sz w:val="24"/>
          <w:szCs w:val="24"/>
          <w:lang w:val="en-US"/>
        </w:rPr>
        <w:t>.</w:t>
      </w:r>
    </w:p>
    <w:p w:rsidR="00C43D2C" w:rsidRPr="00E37396" w:rsidRDefault="00C43D2C" w:rsidP="00E4443D">
      <w:pPr>
        <w:pStyle w:val="bibitem"/>
        <w:widowControl/>
        <w:ind w:left="0" w:firstLine="0"/>
        <w:jc w:val="both"/>
        <w:rPr>
          <w:sz w:val="24"/>
          <w:szCs w:val="24"/>
          <w:lang w:val="en-US"/>
        </w:rPr>
      </w:pPr>
    </w:p>
    <w:p w:rsidR="00064299" w:rsidRDefault="00140ECD" w:rsidP="00E4443D">
      <w:pPr>
        <w:pStyle w:val="bibitem"/>
        <w:widowControl/>
        <w:ind w:left="0" w:firstLine="0"/>
        <w:jc w:val="both"/>
        <w:rPr>
          <w:sz w:val="24"/>
          <w:szCs w:val="24"/>
          <w:lang w:val="en-US"/>
        </w:rPr>
      </w:pPr>
      <w:r>
        <w:rPr>
          <w:caps/>
          <w:sz w:val="24"/>
          <w:szCs w:val="24"/>
          <w:lang w:val="en-US"/>
        </w:rPr>
        <w:t>Oliveira, F. N.;</w:t>
      </w:r>
      <w:r w:rsidR="000A3E1C" w:rsidRPr="00140ECD">
        <w:rPr>
          <w:caps/>
          <w:sz w:val="24"/>
          <w:szCs w:val="24"/>
          <w:lang w:val="en-US"/>
        </w:rPr>
        <w:t xml:space="preserve"> Plaga, A. R.</w:t>
      </w:r>
      <w:r>
        <w:rPr>
          <w:sz w:val="24"/>
          <w:szCs w:val="24"/>
          <w:lang w:val="en-US"/>
        </w:rPr>
        <w:t xml:space="preserve"> </w:t>
      </w:r>
      <w:r w:rsidR="000A3E1C" w:rsidRPr="00E37396">
        <w:rPr>
          <w:sz w:val="24"/>
          <w:szCs w:val="24"/>
        </w:rPr>
        <w:t xml:space="preserve">Eficácia das intervenções do Banco Central do Brasil sobre a volatilidade da taxa de câmbio nominal. </w:t>
      </w:r>
      <w:r w:rsidR="000A3E1C" w:rsidRPr="00140ECD">
        <w:rPr>
          <w:b/>
          <w:iCs/>
          <w:sz w:val="24"/>
          <w:szCs w:val="24"/>
          <w:lang w:val="en-US"/>
        </w:rPr>
        <w:t>Revista Brasileira de Economia</w:t>
      </w:r>
      <w:r>
        <w:rPr>
          <w:sz w:val="24"/>
          <w:szCs w:val="24"/>
          <w:lang w:val="en-US"/>
        </w:rPr>
        <w:t xml:space="preserve">, v. 65, p. 71–92, </w:t>
      </w:r>
      <w:r w:rsidRPr="00E37396">
        <w:rPr>
          <w:sz w:val="24"/>
          <w:szCs w:val="24"/>
          <w:lang w:val="en-US"/>
        </w:rPr>
        <w:t>2011</w:t>
      </w:r>
      <w:r>
        <w:rPr>
          <w:sz w:val="24"/>
          <w:szCs w:val="24"/>
          <w:lang w:val="en-US"/>
        </w:rPr>
        <w:t>.</w:t>
      </w:r>
    </w:p>
    <w:p w:rsidR="00C43D2C" w:rsidRPr="00E37396" w:rsidRDefault="00C43D2C" w:rsidP="00E4443D">
      <w:pPr>
        <w:pStyle w:val="bibitem"/>
        <w:widowControl/>
        <w:ind w:left="0" w:firstLine="0"/>
        <w:jc w:val="both"/>
        <w:rPr>
          <w:sz w:val="24"/>
          <w:szCs w:val="24"/>
          <w:lang w:val="en-US"/>
        </w:rPr>
      </w:pPr>
    </w:p>
    <w:p w:rsidR="00064299" w:rsidRDefault="000A3E1C" w:rsidP="00E4443D">
      <w:pPr>
        <w:pStyle w:val="bibitem"/>
        <w:widowControl/>
        <w:ind w:left="0" w:firstLine="0"/>
        <w:jc w:val="both"/>
        <w:rPr>
          <w:sz w:val="24"/>
          <w:szCs w:val="24"/>
          <w:lang w:val="en-US"/>
        </w:rPr>
      </w:pPr>
      <w:r w:rsidRPr="00140ECD">
        <w:rPr>
          <w:caps/>
          <w:sz w:val="24"/>
          <w:szCs w:val="24"/>
          <w:lang w:val="en-US"/>
        </w:rPr>
        <w:t>Press, S. J.</w:t>
      </w:r>
      <w:r w:rsidR="00140ECD">
        <w:rPr>
          <w:sz w:val="24"/>
          <w:szCs w:val="24"/>
          <w:lang w:val="en-US"/>
        </w:rPr>
        <w:t xml:space="preserve"> </w:t>
      </w:r>
      <w:r w:rsidRPr="00E37396">
        <w:rPr>
          <w:sz w:val="24"/>
          <w:szCs w:val="24"/>
          <w:lang w:val="en-US"/>
        </w:rPr>
        <w:t xml:space="preserve">A compound events model for security prices. </w:t>
      </w:r>
      <w:r w:rsidRPr="00140ECD">
        <w:rPr>
          <w:b/>
          <w:iCs/>
          <w:sz w:val="24"/>
          <w:szCs w:val="24"/>
          <w:lang w:val="en-US"/>
        </w:rPr>
        <w:t>The Journal of Business</w:t>
      </w:r>
      <w:r w:rsidR="00140ECD">
        <w:rPr>
          <w:sz w:val="24"/>
          <w:szCs w:val="24"/>
          <w:lang w:val="en-US"/>
        </w:rPr>
        <w:t xml:space="preserve">, v. 40, n. 3, p. 317–335, </w:t>
      </w:r>
      <w:r w:rsidR="00140ECD" w:rsidRPr="00E37396">
        <w:rPr>
          <w:sz w:val="24"/>
          <w:szCs w:val="24"/>
          <w:lang w:val="en-US"/>
        </w:rPr>
        <w:t>1967</w:t>
      </w:r>
      <w:r w:rsidR="00140ECD">
        <w:rPr>
          <w:sz w:val="24"/>
          <w:szCs w:val="24"/>
          <w:lang w:val="en-US"/>
        </w:rPr>
        <w:t>.</w:t>
      </w:r>
    </w:p>
    <w:p w:rsidR="00C43D2C" w:rsidRPr="00E37396" w:rsidRDefault="00C43D2C" w:rsidP="00E4443D">
      <w:pPr>
        <w:pStyle w:val="bibitem"/>
        <w:widowControl/>
        <w:ind w:left="0" w:firstLine="0"/>
        <w:jc w:val="both"/>
        <w:rPr>
          <w:sz w:val="24"/>
          <w:szCs w:val="24"/>
          <w:lang w:val="en-US"/>
        </w:rPr>
      </w:pPr>
    </w:p>
    <w:p w:rsidR="00064299" w:rsidRDefault="00140ECD" w:rsidP="00E4443D">
      <w:pPr>
        <w:pStyle w:val="bibitem"/>
        <w:widowControl/>
        <w:ind w:left="0" w:firstLine="0"/>
        <w:jc w:val="both"/>
        <w:rPr>
          <w:sz w:val="24"/>
          <w:szCs w:val="24"/>
          <w:lang w:val="en-US"/>
        </w:rPr>
      </w:pPr>
      <w:r>
        <w:rPr>
          <w:caps/>
          <w:sz w:val="24"/>
          <w:szCs w:val="24"/>
        </w:rPr>
        <w:t>Tabak, B. M.;</w:t>
      </w:r>
      <w:r w:rsidR="000A3E1C" w:rsidRPr="00140ECD">
        <w:rPr>
          <w:caps/>
          <w:sz w:val="24"/>
          <w:szCs w:val="24"/>
        </w:rPr>
        <w:t xml:space="preserve"> Lima, E. J.</w:t>
      </w:r>
      <w:r>
        <w:rPr>
          <w:caps/>
          <w:sz w:val="24"/>
          <w:szCs w:val="24"/>
        </w:rPr>
        <w:t xml:space="preserve"> </w:t>
      </w:r>
      <w:r w:rsidR="000A3E1C" w:rsidRPr="00E37396">
        <w:rPr>
          <w:sz w:val="24"/>
          <w:szCs w:val="24"/>
          <w:lang w:val="en-US"/>
        </w:rPr>
        <w:t xml:space="preserve">Market efficiency of brazilian exchange rate: evidence from variance ratio statistics and technical trading rules. </w:t>
      </w:r>
      <w:r w:rsidR="000A3E1C" w:rsidRPr="00140ECD">
        <w:rPr>
          <w:b/>
          <w:iCs/>
          <w:sz w:val="24"/>
          <w:szCs w:val="24"/>
          <w:lang w:val="en-US"/>
        </w:rPr>
        <w:t>European Journal of Operational Research</w:t>
      </w:r>
      <w:r w:rsidR="000A3E1C" w:rsidRPr="00E37396">
        <w:rPr>
          <w:sz w:val="24"/>
          <w:szCs w:val="24"/>
          <w:lang w:val="en-US"/>
        </w:rPr>
        <w:t xml:space="preserve">, </w:t>
      </w:r>
      <w:r>
        <w:rPr>
          <w:sz w:val="24"/>
          <w:szCs w:val="24"/>
          <w:lang w:val="en-US"/>
        </w:rPr>
        <w:t xml:space="preserve">v. 194, n. 3, p. 814–820, </w:t>
      </w:r>
      <w:r w:rsidRPr="00E37396">
        <w:rPr>
          <w:sz w:val="24"/>
          <w:szCs w:val="24"/>
        </w:rPr>
        <w:t>2009</w:t>
      </w:r>
      <w:r>
        <w:rPr>
          <w:sz w:val="24"/>
          <w:szCs w:val="24"/>
        </w:rPr>
        <w:t>.</w:t>
      </w:r>
    </w:p>
    <w:p w:rsidR="00C43D2C" w:rsidRPr="00E37396" w:rsidRDefault="00C43D2C" w:rsidP="00E4443D">
      <w:pPr>
        <w:pStyle w:val="bibitem"/>
        <w:widowControl/>
        <w:ind w:left="0" w:firstLine="0"/>
        <w:jc w:val="both"/>
        <w:rPr>
          <w:sz w:val="24"/>
          <w:szCs w:val="24"/>
          <w:lang w:val="en-US"/>
        </w:rPr>
      </w:pPr>
    </w:p>
    <w:p w:rsidR="00064299" w:rsidRDefault="00140ECD" w:rsidP="00E4443D">
      <w:pPr>
        <w:pStyle w:val="bibitem"/>
        <w:widowControl/>
        <w:ind w:left="0" w:firstLine="0"/>
        <w:jc w:val="both"/>
        <w:rPr>
          <w:sz w:val="24"/>
          <w:szCs w:val="24"/>
          <w:lang w:val="en-US"/>
        </w:rPr>
      </w:pPr>
      <w:r>
        <w:rPr>
          <w:caps/>
          <w:sz w:val="24"/>
          <w:szCs w:val="24"/>
          <w:lang w:val="en-US"/>
        </w:rPr>
        <w:t xml:space="preserve">Tauchen, G.; </w:t>
      </w:r>
      <w:r w:rsidR="000A3E1C" w:rsidRPr="00140ECD">
        <w:rPr>
          <w:caps/>
          <w:sz w:val="24"/>
          <w:szCs w:val="24"/>
          <w:lang w:val="en-US"/>
        </w:rPr>
        <w:t>Zhou, H.</w:t>
      </w:r>
      <w:r w:rsidR="000A3E1C" w:rsidRPr="00E37396">
        <w:rPr>
          <w:sz w:val="24"/>
          <w:szCs w:val="24"/>
          <w:lang w:val="en-US"/>
        </w:rPr>
        <w:t xml:space="preserve"> Realized jumps on financial markets and predicting credit spreads. </w:t>
      </w:r>
      <w:r w:rsidR="000A3E1C" w:rsidRPr="00140ECD">
        <w:rPr>
          <w:b/>
          <w:iCs/>
          <w:sz w:val="24"/>
          <w:szCs w:val="24"/>
          <w:lang w:val="en-US"/>
        </w:rPr>
        <w:t>Journal of Econometrics</w:t>
      </w:r>
      <w:r>
        <w:rPr>
          <w:sz w:val="24"/>
          <w:szCs w:val="24"/>
          <w:lang w:val="en-US"/>
        </w:rPr>
        <w:t xml:space="preserve">, v. 160, n. 1, p. 102–118, </w:t>
      </w:r>
      <w:r w:rsidRPr="00E37396">
        <w:rPr>
          <w:sz w:val="24"/>
          <w:szCs w:val="24"/>
          <w:lang w:val="en-US"/>
        </w:rPr>
        <w:t>2011</w:t>
      </w:r>
      <w:r>
        <w:rPr>
          <w:sz w:val="24"/>
          <w:szCs w:val="24"/>
          <w:lang w:val="en-US"/>
        </w:rPr>
        <w:t>.</w:t>
      </w:r>
    </w:p>
    <w:p w:rsidR="00C43D2C" w:rsidRPr="00E37396" w:rsidRDefault="00C43D2C" w:rsidP="00E4443D">
      <w:pPr>
        <w:pStyle w:val="bibitem"/>
        <w:widowControl/>
        <w:ind w:left="0" w:firstLine="0"/>
        <w:jc w:val="both"/>
        <w:rPr>
          <w:sz w:val="24"/>
          <w:szCs w:val="24"/>
          <w:lang w:val="en-US"/>
        </w:rPr>
      </w:pPr>
    </w:p>
    <w:p w:rsidR="00064299" w:rsidRDefault="000A3E1C" w:rsidP="00E4443D">
      <w:pPr>
        <w:pStyle w:val="bibitem"/>
        <w:widowControl/>
        <w:ind w:left="0" w:firstLine="0"/>
        <w:jc w:val="both"/>
        <w:rPr>
          <w:sz w:val="24"/>
          <w:szCs w:val="24"/>
          <w:lang w:val="en-US"/>
        </w:rPr>
      </w:pPr>
      <w:r w:rsidRPr="00140ECD">
        <w:rPr>
          <w:caps/>
          <w:sz w:val="24"/>
          <w:szCs w:val="24"/>
          <w:lang w:val="en-US"/>
        </w:rPr>
        <w:t>Todorov, V.</w:t>
      </w:r>
      <w:r w:rsidR="00140ECD">
        <w:rPr>
          <w:sz w:val="24"/>
          <w:szCs w:val="24"/>
          <w:lang w:val="en-US"/>
        </w:rPr>
        <w:t xml:space="preserve"> </w:t>
      </w:r>
      <w:r w:rsidRPr="00E37396">
        <w:rPr>
          <w:sz w:val="24"/>
          <w:szCs w:val="24"/>
          <w:lang w:val="en-US"/>
        </w:rPr>
        <w:t xml:space="preserve">Econometric analysis of jump-driven stochastic volatility models. </w:t>
      </w:r>
      <w:r w:rsidRPr="00140ECD">
        <w:rPr>
          <w:b/>
          <w:iCs/>
          <w:sz w:val="24"/>
          <w:szCs w:val="24"/>
          <w:lang w:val="en-US"/>
        </w:rPr>
        <w:t>Journal of Econometrics</w:t>
      </w:r>
      <w:r w:rsidR="00140ECD">
        <w:rPr>
          <w:sz w:val="24"/>
          <w:szCs w:val="24"/>
          <w:lang w:val="en-US"/>
        </w:rPr>
        <w:t xml:space="preserve">, v. 160, n. 1, p. 12–21, </w:t>
      </w:r>
      <w:r w:rsidR="00140ECD" w:rsidRPr="00E37396">
        <w:rPr>
          <w:sz w:val="24"/>
          <w:szCs w:val="24"/>
          <w:lang w:val="en-US"/>
        </w:rPr>
        <w:t>2011</w:t>
      </w:r>
      <w:r w:rsidR="00140ECD">
        <w:rPr>
          <w:sz w:val="24"/>
          <w:szCs w:val="24"/>
          <w:lang w:val="en-US"/>
        </w:rPr>
        <w:t>.</w:t>
      </w:r>
    </w:p>
    <w:p w:rsidR="00C43D2C" w:rsidRPr="00E37396" w:rsidRDefault="00C43D2C" w:rsidP="00E4443D">
      <w:pPr>
        <w:pStyle w:val="bibitem"/>
        <w:widowControl/>
        <w:ind w:left="0" w:firstLine="0"/>
        <w:jc w:val="both"/>
        <w:rPr>
          <w:sz w:val="24"/>
          <w:szCs w:val="24"/>
          <w:lang w:val="en-US"/>
        </w:rPr>
      </w:pPr>
    </w:p>
    <w:p w:rsidR="00064299" w:rsidRDefault="000A3E1C" w:rsidP="00E4443D">
      <w:pPr>
        <w:pStyle w:val="bibitem"/>
        <w:widowControl/>
        <w:ind w:left="0" w:firstLine="0"/>
        <w:jc w:val="both"/>
        <w:rPr>
          <w:sz w:val="24"/>
          <w:szCs w:val="24"/>
          <w:lang w:val="en-US"/>
        </w:rPr>
      </w:pPr>
      <w:r w:rsidRPr="00140ECD">
        <w:rPr>
          <w:caps/>
          <w:sz w:val="24"/>
          <w:szCs w:val="24"/>
          <w:lang w:val="en-US"/>
        </w:rPr>
        <w:t>Tucker, A. L.</w:t>
      </w:r>
      <w:r w:rsidR="00140ECD">
        <w:rPr>
          <w:caps/>
          <w:sz w:val="24"/>
          <w:szCs w:val="24"/>
          <w:lang w:val="en-US"/>
        </w:rPr>
        <w:t xml:space="preserve">; </w:t>
      </w:r>
      <w:r w:rsidRPr="00140ECD">
        <w:rPr>
          <w:caps/>
          <w:sz w:val="24"/>
          <w:szCs w:val="24"/>
          <w:lang w:val="en-US"/>
        </w:rPr>
        <w:t>Pond, L.</w:t>
      </w:r>
      <w:r w:rsidR="00140ECD">
        <w:rPr>
          <w:caps/>
          <w:sz w:val="24"/>
          <w:szCs w:val="24"/>
          <w:lang w:val="en-US"/>
        </w:rPr>
        <w:t xml:space="preserve"> </w:t>
      </w:r>
      <w:r w:rsidRPr="00E37396">
        <w:rPr>
          <w:sz w:val="24"/>
          <w:szCs w:val="24"/>
          <w:lang w:val="en-US"/>
        </w:rPr>
        <w:t xml:space="preserve">The probability distribution of foreign exchange price changes: tests of candidate processes. </w:t>
      </w:r>
      <w:r w:rsidRPr="00140ECD">
        <w:rPr>
          <w:b/>
          <w:iCs/>
          <w:sz w:val="24"/>
          <w:szCs w:val="24"/>
          <w:lang w:val="en-US"/>
        </w:rPr>
        <w:t>The Review of Economics and Statistics</w:t>
      </w:r>
      <w:r w:rsidR="00140ECD">
        <w:rPr>
          <w:sz w:val="24"/>
          <w:szCs w:val="24"/>
          <w:lang w:val="en-US"/>
        </w:rPr>
        <w:t xml:space="preserve">, v. 70, n. 4, p. 638–647, </w:t>
      </w:r>
      <w:r w:rsidR="00140ECD" w:rsidRPr="00E37396">
        <w:rPr>
          <w:sz w:val="24"/>
          <w:szCs w:val="24"/>
          <w:lang w:val="en-US"/>
        </w:rPr>
        <w:t>1988</w:t>
      </w:r>
      <w:r w:rsidR="00140ECD">
        <w:rPr>
          <w:sz w:val="24"/>
          <w:szCs w:val="24"/>
          <w:lang w:val="en-US"/>
        </w:rPr>
        <w:t>.</w:t>
      </w:r>
    </w:p>
    <w:p w:rsidR="00C43D2C" w:rsidRPr="00E37396" w:rsidRDefault="00C43D2C" w:rsidP="00E4443D">
      <w:pPr>
        <w:pStyle w:val="bibitem"/>
        <w:widowControl/>
        <w:ind w:left="0" w:firstLine="0"/>
        <w:jc w:val="both"/>
        <w:rPr>
          <w:sz w:val="24"/>
          <w:szCs w:val="24"/>
          <w:lang w:val="en-US"/>
        </w:rPr>
      </w:pPr>
    </w:p>
    <w:p w:rsidR="00064299" w:rsidRDefault="000A3E1C" w:rsidP="00E4443D">
      <w:pPr>
        <w:pStyle w:val="bibitem"/>
        <w:widowControl/>
        <w:ind w:left="0" w:firstLine="0"/>
        <w:jc w:val="both"/>
        <w:rPr>
          <w:sz w:val="24"/>
          <w:szCs w:val="24"/>
          <w:lang w:val="en-US"/>
        </w:rPr>
      </w:pPr>
      <w:r w:rsidRPr="00140ECD">
        <w:rPr>
          <w:caps/>
          <w:sz w:val="24"/>
          <w:szCs w:val="24"/>
          <w:lang w:val="en-US"/>
        </w:rPr>
        <w:t>Vlaar, P. J. G.</w:t>
      </w:r>
      <w:r w:rsidR="00140ECD">
        <w:rPr>
          <w:caps/>
          <w:sz w:val="24"/>
          <w:szCs w:val="24"/>
          <w:lang w:val="en-US"/>
        </w:rPr>
        <w:t>;</w:t>
      </w:r>
      <w:r w:rsidRPr="00140ECD">
        <w:rPr>
          <w:caps/>
          <w:sz w:val="24"/>
          <w:szCs w:val="24"/>
          <w:lang w:val="en-US"/>
        </w:rPr>
        <w:t xml:space="preserve"> Palm, F. C.</w:t>
      </w:r>
      <w:r w:rsidR="00140ECD">
        <w:rPr>
          <w:caps/>
          <w:sz w:val="24"/>
          <w:szCs w:val="24"/>
          <w:lang w:val="en-US"/>
        </w:rPr>
        <w:t xml:space="preserve"> </w:t>
      </w:r>
      <w:r w:rsidRPr="00E37396">
        <w:rPr>
          <w:sz w:val="24"/>
          <w:szCs w:val="24"/>
          <w:lang w:val="en-US"/>
        </w:rPr>
        <w:t xml:space="preserve">The message in weekly exchange rates in the European monetary system: mean reversion, conditional heteroscedasticity, and jumps. </w:t>
      </w:r>
      <w:r w:rsidRPr="00140ECD">
        <w:rPr>
          <w:b/>
          <w:iCs/>
          <w:sz w:val="24"/>
          <w:szCs w:val="24"/>
        </w:rPr>
        <w:t>Journal of Business &amp; Economic Statistics</w:t>
      </w:r>
      <w:r w:rsidR="00140ECD">
        <w:rPr>
          <w:sz w:val="24"/>
          <w:szCs w:val="24"/>
        </w:rPr>
        <w:t xml:space="preserve">, v. 11, n. 3, p. 351–360, </w:t>
      </w:r>
      <w:r w:rsidR="00140ECD" w:rsidRPr="00E37396">
        <w:rPr>
          <w:sz w:val="24"/>
          <w:szCs w:val="24"/>
          <w:lang w:val="en-US"/>
        </w:rPr>
        <w:t>1993</w:t>
      </w:r>
      <w:r w:rsidR="00140ECD">
        <w:rPr>
          <w:sz w:val="24"/>
          <w:szCs w:val="24"/>
          <w:lang w:val="en-US"/>
        </w:rPr>
        <w:t>.</w:t>
      </w:r>
    </w:p>
    <w:p w:rsidR="00B50B75" w:rsidRDefault="00B50B75" w:rsidP="00E4443D">
      <w:pPr>
        <w:pStyle w:val="bibitem"/>
        <w:widowControl/>
        <w:ind w:left="0" w:firstLine="0"/>
        <w:jc w:val="both"/>
        <w:rPr>
          <w:sz w:val="24"/>
          <w:szCs w:val="24"/>
          <w:lang w:val="en-US"/>
        </w:rPr>
      </w:pPr>
    </w:p>
    <w:p w:rsidR="00B50B75" w:rsidRPr="00B50B75" w:rsidRDefault="00B50B75" w:rsidP="00B50B75">
      <w:r>
        <w:rPr>
          <w:caps/>
          <w:noProof w:val="0"/>
        </w:rPr>
        <w:t>West, K. D.;</w:t>
      </w:r>
      <w:r w:rsidRPr="00B50B75">
        <w:rPr>
          <w:caps/>
          <w:noProof w:val="0"/>
        </w:rPr>
        <w:t xml:space="preserve"> Cho, D.</w:t>
      </w:r>
      <w:r>
        <w:rPr>
          <w:noProof w:val="0"/>
        </w:rPr>
        <w:t xml:space="preserve"> </w:t>
      </w:r>
      <w:r w:rsidR="009477EA">
        <w:rPr>
          <w:noProof w:val="0"/>
        </w:rPr>
        <w:t xml:space="preserve">The </w:t>
      </w:r>
      <w:r w:rsidRPr="00B50B75">
        <w:rPr>
          <w:noProof w:val="0"/>
        </w:rPr>
        <w:t>predictive ability of several models of exchange rate</w:t>
      </w:r>
      <w:r>
        <w:rPr>
          <w:noProof w:val="0"/>
        </w:rPr>
        <w:t xml:space="preserve"> </w:t>
      </w:r>
      <w:r w:rsidRPr="00B50B75">
        <w:rPr>
          <w:noProof w:val="0"/>
        </w:rPr>
        <w:t>volatility</w:t>
      </w:r>
      <w:r>
        <w:rPr>
          <w:noProof w:val="0"/>
        </w:rPr>
        <w:t xml:space="preserve">. </w:t>
      </w:r>
      <w:r w:rsidRPr="00B50B75">
        <w:rPr>
          <w:b/>
          <w:noProof w:val="0"/>
        </w:rPr>
        <w:t>Journal of Econometrics</w:t>
      </w:r>
      <w:r>
        <w:rPr>
          <w:noProof w:val="0"/>
        </w:rPr>
        <w:t>, v. 69, n. 2, p. 367</w:t>
      </w:r>
      <w:r>
        <w:t>–</w:t>
      </w:r>
      <w:r>
        <w:rPr>
          <w:noProof w:val="0"/>
        </w:rPr>
        <w:t xml:space="preserve">391, </w:t>
      </w:r>
      <w:r w:rsidRPr="00B50B75">
        <w:rPr>
          <w:noProof w:val="0"/>
        </w:rPr>
        <w:t>1995</w:t>
      </w:r>
      <w:r>
        <w:rPr>
          <w:noProof w:val="0"/>
        </w:rPr>
        <w:t>.</w:t>
      </w:r>
    </w:p>
    <w:sectPr w:rsidR="00B50B75" w:rsidRPr="00B50B75" w:rsidSect="00EC1C96">
      <w:headerReference w:type="default" r:id="rId13"/>
      <w:pgSz w:w="11960" w:h="16900"/>
      <w:pgMar w:top="1701" w:right="1418" w:bottom="1418" w:left="141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6A0C" w:rsidRDefault="00236A0C">
      <w:r>
        <w:separator/>
      </w:r>
    </w:p>
  </w:endnote>
  <w:endnote w:type="continuationSeparator" w:id="0">
    <w:p w:rsidR="00236A0C" w:rsidRDefault="00236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6A0C" w:rsidRDefault="00236A0C">
      <w:r>
        <w:separator/>
      </w:r>
    </w:p>
  </w:footnote>
  <w:footnote w:type="continuationSeparator" w:id="0">
    <w:p w:rsidR="00236A0C" w:rsidRDefault="00236A0C">
      <w:r>
        <w:continuationSeparator/>
      </w:r>
    </w:p>
  </w:footnote>
  <w:footnote w:id="1">
    <w:p w:rsidR="009D2AB4" w:rsidRDefault="009D2AB4" w:rsidP="00B1241D">
      <w:pPr>
        <w:pStyle w:val="Textodenotaderodap"/>
        <w:jc w:val="both"/>
      </w:pPr>
      <w:r>
        <w:rPr>
          <w:rStyle w:val="Refdenotaderodap"/>
        </w:rPr>
        <w:footnoteRef/>
      </w:r>
      <w:r>
        <w:t xml:space="preserve"> Departamento de Economia, Universidade Federal de Pelotas (UFPel). </w:t>
      </w:r>
      <w:r w:rsidRPr="00B1241D">
        <w:rPr>
          <w:i/>
        </w:rPr>
        <w:t>E-mail:</w:t>
      </w:r>
      <w:r>
        <w:t xml:space="preserve"> </w:t>
      </w:r>
      <w:hyperlink r:id="rId1" w:history="1">
        <w:r w:rsidRPr="00472C27">
          <w:rPr>
            <w:rStyle w:val="Hyperlink"/>
          </w:rPr>
          <w:t>regis.ely@ufpel.edu.br</w:t>
        </w:r>
      </w:hyperlink>
      <w:r>
        <w:t xml:space="preserve">. </w:t>
      </w:r>
      <w:r w:rsidRPr="00B1241D">
        <w:rPr>
          <w:i/>
        </w:rPr>
        <w:t>Endereço para correspondência:</w:t>
      </w:r>
      <w:r>
        <w:t xml:space="preserve"> Rua Gomes Carneiro nº 1, 4º andar, UFPel, Campus Porto. Cep 96010-610, Pelotas – 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0074843"/>
      <w:docPartObj>
        <w:docPartGallery w:val="Page Numbers (Top of Page)"/>
        <w:docPartUnique/>
      </w:docPartObj>
    </w:sdtPr>
    <w:sdtContent>
      <w:p w:rsidR="00932723" w:rsidRDefault="00932723">
        <w:pPr>
          <w:pStyle w:val="Cabealho"/>
          <w:jc w:val="right"/>
        </w:pPr>
        <w:r>
          <w:fldChar w:fldCharType="begin"/>
        </w:r>
        <w:r>
          <w:instrText>PAGE   \* MERGEFORMAT</w:instrText>
        </w:r>
        <w:r>
          <w:fldChar w:fldCharType="separate"/>
        </w:r>
        <w:r>
          <w:t>1</w:t>
        </w:r>
        <w:r>
          <w:fldChar w:fldCharType="end"/>
        </w:r>
      </w:p>
    </w:sdtContent>
  </w:sdt>
  <w:p w:rsidR="00932723" w:rsidRDefault="0093272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340172"/>
    <w:multiLevelType w:val="multilevel"/>
    <w:tmpl w:val="08669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E1C"/>
    <w:rsid w:val="00020BC9"/>
    <w:rsid w:val="00064299"/>
    <w:rsid w:val="000763FC"/>
    <w:rsid w:val="00082FF4"/>
    <w:rsid w:val="000965DA"/>
    <w:rsid w:val="000A3E1C"/>
    <w:rsid w:val="000B19F2"/>
    <w:rsid w:val="000E18A6"/>
    <w:rsid w:val="000F3FBB"/>
    <w:rsid w:val="00100FD6"/>
    <w:rsid w:val="00111437"/>
    <w:rsid w:val="00125CC2"/>
    <w:rsid w:val="00140ECD"/>
    <w:rsid w:val="00186D89"/>
    <w:rsid w:val="001E1CF2"/>
    <w:rsid w:val="0020312E"/>
    <w:rsid w:val="0021130F"/>
    <w:rsid w:val="002273C2"/>
    <w:rsid w:val="00236A0C"/>
    <w:rsid w:val="002879E4"/>
    <w:rsid w:val="00290756"/>
    <w:rsid w:val="002B6305"/>
    <w:rsid w:val="002B69F4"/>
    <w:rsid w:val="002E2600"/>
    <w:rsid w:val="002E2661"/>
    <w:rsid w:val="002E3BEC"/>
    <w:rsid w:val="002E51B9"/>
    <w:rsid w:val="003014A4"/>
    <w:rsid w:val="003327F6"/>
    <w:rsid w:val="00343F98"/>
    <w:rsid w:val="003621A7"/>
    <w:rsid w:val="00375EFF"/>
    <w:rsid w:val="0039003C"/>
    <w:rsid w:val="003A0C41"/>
    <w:rsid w:val="003B020A"/>
    <w:rsid w:val="003B3514"/>
    <w:rsid w:val="003C36AE"/>
    <w:rsid w:val="003D29CE"/>
    <w:rsid w:val="003D6CB5"/>
    <w:rsid w:val="003E588A"/>
    <w:rsid w:val="004007DB"/>
    <w:rsid w:val="004477BE"/>
    <w:rsid w:val="00454A99"/>
    <w:rsid w:val="0047787B"/>
    <w:rsid w:val="00481822"/>
    <w:rsid w:val="004C2696"/>
    <w:rsid w:val="005340EC"/>
    <w:rsid w:val="005A0188"/>
    <w:rsid w:val="005A5D93"/>
    <w:rsid w:val="005B5D95"/>
    <w:rsid w:val="00614768"/>
    <w:rsid w:val="00617A34"/>
    <w:rsid w:val="00625E7C"/>
    <w:rsid w:val="00661C8E"/>
    <w:rsid w:val="006B634D"/>
    <w:rsid w:val="006F4A25"/>
    <w:rsid w:val="00710222"/>
    <w:rsid w:val="00725CB4"/>
    <w:rsid w:val="007334B7"/>
    <w:rsid w:val="00780EAC"/>
    <w:rsid w:val="00786F27"/>
    <w:rsid w:val="007A54AF"/>
    <w:rsid w:val="007B77C3"/>
    <w:rsid w:val="007C1FBD"/>
    <w:rsid w:val="007E7BA4"/>
    <w:rsid w:val="00812E1A"/>
    <w:rsid w:val="00840119"/>
    <w:rsid w:val="00860EE6"/>
    <w:rsid w:val="008C56B4"/>
    <w:rsid w:val="008F3A11"/>
    <w:rsid w:val="00932723"/>
    <w:rsid w:val="00935653"/>
    <w:rsid w:val="00944EE0"/>
    <w:rsid w:val="009477EA"/>
    <w:rsid w:val="009D2AB4"/>
    <w:rsid w:val="009D6ED3"/>
    <w:rsid w:val="00A47C3D"/>
    <w:rsid w:val="00A6439E"/>
    <w:rsid w:val="00A945B1"/>
    <w:rsid w:val="00AA661B"/>
    <w:rsid w:val="00AC6B5B"/>
    <w:rsid w:val="00AD2257"/>
    <w:rsid w:val="00B01CA6"/>
    <w:rsid w:val="00B1241D"/>
    <w:rsid w:val="00B26372"/>
    <w:rsid w:val="00B349A4"/>
    <w:rsid w:val="00B50B75"/>
    <w:rsid w:val="00B628E4"/>
    <w:rsid w:val="00B92DC1"/>
    <w:rsid w:val="00BC3B52"/>
    <w:rsid w:val="00BC4058"/>
    <w:rsid w:val="00C20788"/>
    <w:rsid w:val="00C43D2C"/>
    <w:rsid w:val="00C566BC"/>
    <w:rsid w:val="00C70689"/>
    <w:rsid w:val="00C74353"/>
    <w:rsid w:val="00C7610B"/>
    <w:rsid w:val="00C8355B"/>
    <w:rsid w:val="00CA4FAF"/>
    <w:rsid w:val="00CE3D0C"/>
    <w:rsid w:val="00D10914"/>
    <w:rsid w:val="00D1148F"/>
    <w:rsid w:val="00D639B9"/>
    <w:rsid w:val="00DA69F2"/>
    <w:rsid w:val="00DF2709"/>
    <w:rsid w:val="00E353A1"/>
    <w:rsid w:val="00E37396"/>
    <w:rsid w:val="00E4443D"/>
    <w:rsid w:val="00E83826"/>
    <w:rsid w:val="00E87AFB"/>
    <w:rsid w:val="00EC1C96"/>
    <w:rsid w:val="00EE4297"/>
    <w:rsid w:val="00EE58E2"/>
    <w:rsid w:val="00EF5164"/>
    <w:rsid w:val="00F068A9"/>
    <w:rsid w:val="00F07155"/>
    <w:rsid w:val="00F13AA2"/>
    <w:rsid w:val="00F320ED"/>
    <w:rsid w:val="00FB4A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7C48A84-9722-4D6B-A59F-E6FD0F083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20A"/>
    <w:pPr>
      <w:autoSpaceDE w:val="0"/>
      <w:autoSpaceDN w:val="0"/>
      <w:adjustRightInd w:val="0"/>
      <w:spacing w:after="0" w:line="240" w:lineRule="auto"/>
      <w:jc w:val="both"/>
    </w:pPr>
    <w:rPr>
      <w:rFonts w:ascii="Times New Roman" w:hAnsi="Times New Roman" w:cs="Times New Roman"/>
      <w:noProof/>
      <w:sz w:val="24"/>
      <w:szCs w:val="24"/>
    </w:rPr>
  </w:style>
  <w:style w:type="paragraph" w:styleId="Ttulo1">
    <w:name w:val="heading 1"/>
    <w:basedOn w:val="Normal"/>
    <w:next w:val="Normal"/>
    <w:link w:val="Ttulo1Char"/>
    <w:uiPriority w:val="99"/>
    <w:qFormat/>
    <w:rsid w:val="003B020A"/>
    <w:pPr>
      <w:keepNext/>
      <w:widowControl w:val="0"/>
      <w:spacing w:before="240" w:after="120"/>
      <w:jc w:val="left"/>
      <w:outlineLvl w:val="0"/>
    </w:pPr>
    <w:rPr>
      <w:b/>
      <w:bCs/>
      <w:sz w:val="40"/>
      <w:szCs w:val="40"/>
    </w:rPr>
  </w:style>
  <w:style w:type="paragraph" w:styleId="Ttulo2">
    <w:name w:val="heading 2"/>
    <w:basedOn w:val="Normal"/>
    <w:next w:val="Normal"/>
    <w:link w:val="Ttulo2Char"/>
    <w:uiPriority w:val="99"/>
    <w:qFormat/>
    <w:rsid w:val="003B020A"/>
    <w:pPr>
      <w:keepNext/>
      <w:widowControl w:val="0"/>
      <w:spacing w:before="240" w:after="120"/>
      <w:jc w:val="left"/>
      <w:outlineLvl w:val="1"/>
    </w:pPr>
    <w:rPr>
      <w:b/>
      <w:bCs/>
      <w:sz w:val="32"/>
      <w:szCs w:val="32"/>
    </w:rPr>
  </w:style>
  <w:style w:type="paragraph" w:styleId="Ttulo3">
    <w:name w:val="heading 3"/>
    <w:basedOn w:val="Normal"/>
    <w:next w:val="Normal"/>
    <w:link w:val="Ttulo3Char"/>
    <w:uiPriority w:val="99"/>
    <w:qFormat/>
    <w:rsid w:val="003B020A"/>
    <w:pPr>
      <w:keepNext/>
      <w:widowControl w:val="0"/>
      <w:spacing w:before="240" w:after="120"/>
      <w:jc w:val="left"/>
      <w:outlineLvl w:val="2"/>
    </w:pPr>
    <w:rPr>
      <w:b/>
      <w:bCs/>
      <w:sz w:val="32"/>
      <w:szCs w:val="32"/>
    </w:rPr>
  </w:style>
  <w:style w:type="paragraph" w:styleId="Ttulo4">
    <w:name w:val="heading 4"/>
    <w:basedOn w:val="Normal"/>
    <w:next w:val="Normal"/>
    <w:link w:val="Ttulo4Char"/>
    <w:uiPriority w:val="99"/>
    <w:qFormat/>
    <w:rsid w:val="003B020A"/>
    <w:pPr>
      <w:keepNext/>
      <w:widowControl w:val="0"/>
      <w:spacing w:before="240" w:after="120"/>
      <w:jc w:val="left"/>
      <w:outlineLvl w:val="3"/>
    </w:pPr>
    <w:rPr>
      <w:b/>
      <w:bCs/>
    </w:rPr>
  </w:style>
  <w:style w:type="paragraph" w:styleId="Ttulo5">
    <w:name w:val="heading 5"/>
    <w:basedOn w:val="Normal"/>
    <w:next w:val="Normal"/>
    <w:link w:val="Ttulo5Char"/>
    <w:uiPriority w:val="99"/>
    <w:qFormat/>
    <w:rsid w:val="003B020A"/>
    <w:pPr>
      <w:keepNext/>
      <w:widowControl w:val="0"/>
      <w:spacing w:before="240" w:after="120"/>
      <w:jc w:val="left"/>
      <w:outlineLvl w:val="4"/>
    </w:pPr>
    <w:rPr>
      <w:b/>
      <w:bCs/>
    </w:rPr>
  </w:style>
  <w:style w:type="paragraph" w:styleId="Ttulo6">
    <w:name w:val="heading 6"/>
    <w:basedOn w:val="Normal"/>
    <w:next w:val="Normal"/>
    <w:link w:val="Ttulo6Char"/>
    <w:uiPriority w:val="99"/>
    <w:qFormat/>
    <w:rsid w:val="003B020A"/>
    <w:pPr>
      <w:keepNext/>
      <w:widowControl w:val="0"/>
      <w:spacing w:before="240" w:after="120"/>
      <w:jc w:val="left"/>
      <w:outlineLvl w:val="5"/>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t">
    <w:name w:val="Part"/>
    <w:basedOn w:val="Normal"/>
    <w:next w:val="Normal"/>
    <w:uiPriority w:val="99"/>
    <w:rsid w:val="003B020A"/>
    <w:pPr>
      <w:keepNext/>
      <w:widowControl w:val="0"/>
      <w:spacing w:before="240" w:after="120"/>
      <w:jc w:val="center"/>
    </w:pPr>
    <w:rPr>
      <w:b/>
      <w:bCs/>
      <w:sz w:val="40"/>
      <w:szCs w:val="40"/>
    </w:rPr>
  </w:style>
  <w:style w:type="character" w:customStyle="1" w:styleId="Ttulo1Char">
    <w:name w:val="Título 1 Char"/>
    <w:basedOn w:val="Fontepargpadro"/>
    <w:link w:val="Ttulo1"/>
    <w:uiPriority w:val="9"/>
    <w:rsid w:val="003B020A"/>
    <w:rPr>
      <w:rFonts w:asciiTheme="majorHAnsi" w:eastAsiaTheme="majorEastAsia" w:hAnsiTheme="majorHAnsi" w:cstheme="majorBidi"/>
      <w:b/>
      <w:bCs/>
      <w:noProof/>
      <w:kern w:val="32"/>
      <w:sz w:val="32"/>
      <w:szCs w:val="32"/>
    </w:rPr>
  </w:style>
  <w:style w:type="character" w:customStyle="1" w:styleId="Ttulo2Char">
    <w:name w:val="Título 2 Char"/>
    <w:basedOn w:val="Fontepargpadro"/>
    <w:link w:val="Ttulo2"/>
    <w:uiPriority w:val="9"/>
    <w:semiHidden/>
    <w:rsid w:val="003B020A"/>
    <w:rPr>
      <w:rFonts w:asciiTheme="majorHAnsi" w:eastAsiaTheme="majorEastAsia" w:hAnsiTheme="majorHAnsi" w:cstheme="majorBidi"/>
      <w:b/>
      <w:bCs/>
      <w:i/>
      <w:iCs/>
      <w:noProof/>
      <w:sz w:val="28"/>
      <w:szCs w:val="28"/>
    </w:rPr>
  </w:style>
  <w:style w:type="character" w:customStyle="1" w:styleId="Ttulo3Char">
    <w:name w:val="Título 3 Char"/>
    <w:basedOn w:val="Fontepargpadro"/>
    <w:link w:val="Ttulo3"/>
    <w:uiPriority w:val="9"/>
    <w:semiHidden/>
    <w:rsid w:val="003B020A"/>
    <w:rPr>
      <w:rFonts w:asciiTheme="majorHAnsi" w:eastAsiaTheme="majorEastAsia" w:hAnsiTheme="majorHAnsi" w:cstheme="majorBidi"/>
      <w:b/>
      <w:bCs/>
      <w:noProof/>
      <w:sz w:val="26"/>
      <w:szCs w:val="26"/>
    </w:rPr>
  </w:style>
  <w:style w:type="character" w:customStyle="1" w:styleId="Ttulo4Char">
    <w:name w:val="Título 4 Char"/>
    <w:basedOn w:val="Fontepargpadro"/>
    <w:link w:val="Ttulo4"/>
    <w:uiPriority w:val="9"/>
    <w:semiHidden/>
    <w:rsid w:val="003B020A"/>
    <w:rPr>
      <w:b/>
      <w:bCs/>
      <w:noProof/>
      <w:sz w:val="28"/>
      <w:szCs w:val="28"/>
    </w:rPr>
  </w:style>
  <w:style w:type="character" w:customStyle="1" w:styleId="Ttulo5Char">
    <w:name w:val="Título 5 Char"/>
    <w:basedOn w:val="Fontepargpadro"/>
    <w:link w:val="Ttulo5"/>
    <w:uiPriority w:val="9"/>
    <w:semiHidden/>
    <w:rsid w:val="003B020A"/>
    <w:rPr>
      <w:b/>
      <w:bCs/>
      <w:i/>
      <w:iCs/>
      <w:noProof/>
      <w:sz w:val="26"/>
      <w:szCs w:val="26"/>
    </w:rPr>
  </w:style>
  <w:style w:type="character" w:customStyle="1" w:styleId="Ttulo6Char">
    <w:name w:val="Título 6 Char"/>
    <w:basedOn w:val="Fontepargpadro"/>
    <w:link w:val="Ttulo6"/>
    <w:uiPriority w:val="9"/>
    <w:semiHidden/>
    <w:rsid w:val="003B020A"/>
    <w:rPr>
      <w:b/>
      <w:bCs/>
      <w:noProof/>
    </w:rPr>
  </w:style>
  <w:style w:type="paragraph" w:customStyle="1" w:styleId="rightpar">
    <w:name w:val="rightpar"/>
    <w:basedOn w:val="Normal"/>
    <w:uiPriority w:val="99"/>
    <w:rsid w:val="003B020A"/>
    <w:pPr>
      <w:keepLines/>
      <w:spacing w:before="120" w:after="120"/>
      <w:jc w:val="right"/>
    </w:pPr>
  </w:style>
  <w:style w:type="paragraph" w:customStyle="1" w:styleId="centerpar">
    <w:name w:val="centerpar"/>
    <w:basedOn w:val="Normal"/>
    <w:uiPriority w:val="99"/>
    <w:rsid w:val="003B020A"/>
    <w:pPr>
      <w:keepLines/>
      <w:spacing w:before="120" w:after="120"/>
      <w:jc w:val="center"/>
    </w:pPr>
  </w:style>
  <w:style w:type="paragraph" w:customStyle="1" w:styleId="equation">
    <w:name w:val="equation"/>
    <w:basedOn w:val="Normal"/>
    <w:next w:val="Normal"/>
    <w:uiPriority w:val="99"/>
    <w:rsid w:val="003B020A"/>
    <w:pPr>
      <w:keepLines/>
      <w:spacing w:before="120" w:after="120"/>
      <w:jc w:val="left"/>
    </w:pPr>
  </w:style>
  <w:style w:type="paragraph" w:customStyle="1" w:styleId="equationNum">
    <w:name w:val="equationNum"/>
    <w:basedOn w:val="Normal"/>
    <w:next w:val="Normal"/>
    <w:uiPriority w:val="99"/>
    <w:rsid w:val="003B020A"/>
    <w:pPr>
      <w:keepLines/>
      <w:spacing w:before="120" w:after="120"/>
      <w:jc w:val="left"/>
    </w:pPr>
  </w:style>
  <w:style w:type="paragraph" w:customStyle="1" w:styleId="equationAlign">
    <w:name w:val="equationAlign"/>
    <w:basedOn w:val="Normal"/>
    <w:next w:val="Normal"/>
    <w:uiPriority w:val="99"/>
    <w:rsid w:val="003B020A"/>
    <w:pPr>
      <w:keepLines/>
      <w:spacing w:before="120" w:after="120"/>
      <w:jc w:val="left"/>
    </w:pPr>
  </w:style>
  <w:style w:type="paragraph" w:customStyle="1" w:styleId="equationAlignNum">
    <w:name w:val="equationAlignNum"/>
    <w:basedOn w:val="Normal"/>
    <w:next w:val="Normal"/>
    <w:uiPriority w:val="99"/>
    <w:rsid w:val="003B020A"/>
    <w:pPr>
      <w:keepLines/>
      <w:spacing w:before="120" w:after="120"/>
      <w:jc w:val="left"/>
    </w:pPr>
  </w:style>
  <w:style w:type="paragraph" w:customStyle="1" w:styleId="equationArray">
    <w:name w:val="equationArray"/>
    <w:basedOn w:val="Normal"/>
    <w:next w:val="Normal"/>
    <w:uiPriority w:val="99"/>
    <w:rsid w:val="003B020A"/>
    <w:pPr>
      <w:keepLines/>
      <w:spacing w:before="120" w:after="120"/>
      <w:jc w:val="left"/>
    </w:pPr>
  </w:style>
  <w:style w:type="paragraph" w:customStyle="1" w:styleId="equationArrayNum">
    <w:name w:val="equationArrayNum"/>
    <w:basedOn w:val="Normal"/>
    <w:next w:val="Normal"/>
    <w:uiPriority w:val="99"/>
    <w:rsid w:val="003B020A"/>
    <w:pPr>
      <w:keepLines/>
      <w:spacing w:before="120" w:after="120"/>
      <w:jc w:val="left"/>
    </w:pPr>
  </w:style>
  <w:style w:type="paragraph" w:customStyle="1" w:styleId="theorem">
    <w:name w:val="theorem"/>
    <w:basedOn w:val="Normal"/>
    <w:next w:val="Normal"/>
    <w:uiPriority w:val="99"/>
    <w:rsid w:val="003B020A"/>
    <w:pPr>
      <w:keepLines/>
      <w:spacing w:before="120" w:after="120"/>
      <w:jc w:val="left"/>
    </w:pPr>
    <w:rPr>
      <w:sz w:val="20"/>
      <w:szCs w:val="20"/>
    </w:rPr>
  </w:style>
  <w:style w:type="paragraph" w:customStyle="1" w:styleId="bitmapCenter">
    <w:name w:val="bitmapCenter"/>
    <w:basedOn w:val="Normal"/>
    <w:next w:val="Normal"/>
    <w:uiPriority w:val="99"/>
    <w:rsid w:val="003B020A"/>
    <w:pPr>
      <w:keepLines/>
      <w:spacing w:before="120" w:after="120"/>
      <w:jc w:val="left"/>
    </w:pPr>
  </w:style>
  <w:style w:type="paragraph" w:styleId="Ttulo">
    <w:name w:val="Title"/>
    <w:basedOn w:val="Normal"/>
    <w:next w:val="author"/>
    <w:link w:val="TtuloChar"/>
    <w:uiPriority w:val="99"/>
    <w:qFormat/>
    <w:rsid w:val="003B020A"/>
    <w:pPr>
      <w:widowControl w:val="0"/>
      <w:spacing w:before="240" w:after="240"/>
      <w:jc w:val="center"/>
    </w:pPr>
    <w:rPr>
      <w:b/>
      <w:bCs/>
      <w:sz w:val="36"/>
      <w:szCs w:val="36"/>
    </w:rPr>
  </w:style>
  <w:style w:type="character" w:customStyle="1" w:styleId="TtuloChar">
    <w:name w:val="Título Char"/>
    <w:basedOn w:val="Fontepargpadro"/>
    <w:link w:val="Ttulo"/>
    <w:uiPriority w:val="10"/>
    <w:rsid w:val="003B020A"/>
    <w:rPr>
      <w:rFonts w:asciiTheme="majorHAnsi" w:eastAsiaTheme="majorEastAsia" w:hAnsiTheme="majorHAnsi" w:cstheme="majorBidi"/>
      <w:b/>
      <w:bCs/>
      <w:noProof/>
      <w:kern w:val="28"/>
      <w:sz w:val="32"/>
      <w:szCs w:val="32"/>
    </w:rPr>
  </w:style>
  <w:style w:type="paragraph" w:customStyle="1" w:styleId="author">
    <w:name w:val="author"/>
    <w:basedOn w:val="Normal"/>
    <w:next w:val="Normal"/>
    <w:uiPriority w:val="99"/>
    <w:rsid w:val="003B020A"/>
    <w:pPr>
      <w:widowControl w:val="0"/>
      <w:spacing w:after="120"/>
      <w:jc w:val="center"/>
    </w:pPr>
  </w:style>
  <w:style w:type="paragraph" w:styleId="Rodap">
    <w:name w:val="footer"/>
    <w:basedOn w:val="Normal"/>
    <w:link w:val="RodapChar"/>
    <w:uiPriority w:val="99"/>
    <w:rsid w:val="003B020A"/>
    <w:pPr>
      <w:widowControl w:val="0"/>
      <w:tabs>
        <w:tab w:val="center" w:pos="4536"/>
        <w:tab w:val="right" w:pos="9072"/>
      </w:tabs>
      <w:jc w:val="left"/>
    </w:pPr>
    <w:rPr>
      <w:sz w:val="20"/>
      <w:szCs w:val="20"/>
    </w:rPr>
  </w:style>
  <w:style w:type="character" w:customStyle="1" w:styleId="RodapChar">
    <w:name w:val="Rodapé Char"/>
    <w:basedOn w:val="Fontepargpadro"/>
    <w:link w:val="Rodap"/>
    <w:uiPriority w:val="99"/>
    <w:rsid w:val="003B020A"/>
    <w:rPr>
      <w:rFonts w:ascii="Times New Roman" w:hAnsi="Times New Roman" w:cs="Times New Roman"/>
      <w:noProof/>
      <w:sz w:val="24"/>
      <w:szCs w:val="24"/>
    </w:rPr>
  </w:style>
  <w:style w:type="paragraph" w:styleId="Cabealho">
    <w:name w:val="header"/>
    <w:basedOn w:val="Normal"/>
    <w:link w:val="CabealhoChar"/>
    <w:uiPriority w:val="99"/>
    <w:rsid w:val="003B020A"/>
    <w:pPr>
      <w:widowControl w:val="0"/>
      <w:tabs>
        <w:tab w:val="center" w:pos="4536"/>
        <w:tab w:val="right" w:pos="9072"/>
      </w:tabs>
      <w:jc w:val="left"/>
    </w:pPr>
    <w:rPr>
      <w:sz w:val="20"/>
      <w:szCs w:val="20"/>
    </w:rPr>
  </w:style>
  <w:style w:type="character" w:customStyle="1" w:styleId="CabealhoChar">
    <w:name w:val="Cabeçalho Char"/>
    <w:basedOn w:val="Fontepargpadro"/>
    <w:link w:val="Cabealho"/>
    <w:uiPriority w:val="99"/>
    <w:rsid w:val="003B020A"/>
    <w:rPr>
      <w:rFonts w:ascii="Times New Roman" w:hAnsi="Times New Roman" w:cs="Times New Roman"/>
      <w:noProof/>
      <w:sz w:val="24"/>
      <w:szCs w:val="24"/>
    </w:rPr>
  </w:style>
  <w:style w:type="paragraph" w:styleId="Legenda">
    <w:name w:val="caption"/>
    <w:basedOn w:val="Normal"/>
    <w:next w:val="Normal"/>
    <w:uiPriority w:val="99"/>
    <w:qFormat/>
    <w:rsid w:val="003B020A"/>
    <w:pPr>
      <w:keepLines/>
      <w:spacing w:before="120" w:after="120"/>
      <w:jc w:val="left"/>
    </w:pPr>
  </w:style>
  <w:style w:type="paragraph" w:customStyle="1" w:styleId="Figure">
    <w:name w:val="Figure"/>
    <w:basedOn w:val="Normal"/>
    <w:next w:val="Normal"/>
    <w:uiPriority w:val="99"/>
    <w:rsid w:val="003B020A"/>
    <w:pPr>
      <w:keepLines/>
      <w:spacing w:before="120"/>
      <w:jc w:val="center"/>
    </w:pPr>
    <w:rPr>
      <w:sz w:val="20"/>
      <w:szCs w:val="20"/>
    </w:rPr>
  </w:style>
  <w:style w:type="paragraph" w:customStyle="1" w:styleId="Table">
    <w:name w:val="Table"/>
    <w:basedOn w:val="Normal"/>
    <w:uiPriority w:val="99"/>
    <w:rsid w:val="003B020A"/>
    <w:pPr>
      <w:keepLines/>
      <w:spacing w:before="120"/>
      <w:jc w:val="center"/>
    </w:pPr>
    <w:rPr>
      <w:sz w:val="20"/>
      <w:szCs w:val="20"/>
    </w:rPr>
  </w:style>
  <w:style w:type="paragraph" w:customStyle="1" w:styleId="Tabular">
    <w:name w:val="Tabular"/>
    <w:basedOn w:val="Normal"/>
    <w:uiPriority w:val="99"/>
    <w:rsid w:val="003B020A"/>
    <w:pPr>
      <w:keepLines/>
      <w:spacing w:before="120"/>
      <w:jc w:val="center"/>
    </w:pPr>
    <w:rPr>
      <w:sz w:val="20"/>
      <w:szCs w:val="20"/>
    </w:rPr>
  </w:style>
  <w:style w:type="paragraph" w:customStyle="1" w:styleId="Tabbing">
    <w:name w:val="Tabbing"/>
    <w:basedOn w:val="Normal"/>
    <w:uiPriority w:val="99"/>
    <w:rsid w:val="003B020A"/>
    <w:pPr>
      <w:keepLines/>
      <w:spacing w:before="120"/>
      <w:jc w:val="center"/>
    </w:pPr>
    <w:rPr>
      <w:sz w:val="20"/>
      <w:szCs w:val="20"/>
    </w:rPr>
  </w:style>
  <w:style w:type="paragraph" w:styleId="Citao">
    <w:name w:val="Quote"/>
    <w:basedOn w:val="Normal"/>
    <w:link w:val="CitaoChar"/>
    <w:uiPriority w:val="99"/>
    <w:qFormat/>
    <w:rsid w:val="003B020A"/>
    <w:pPr>
      <w:ind w:left="1024" w:right="1024" w:firstLine="340"/>
    </w:pPr>
    <w:rPr>
      <w:sz w:val="20"/>
      <w:szCs w:val="20"/>
    </w:rPr>
  </w:style>
  <w:style w:type="character" w:customStyle="1" w:styleId="CitaoChar">
    <w:name w:val="Citação Char"/>
    <w:basedOn w:val="Fontepargpadro"/>
    <w:link w:val="Citao"/>
    <w:uiPriority w:val="29"/>
    <w:rsid w:val="003B020A"/>
    <w:rPr>
      <w:rFonts w:ascii="Times New Roman" w:hAnsi="Times New Roman" w:cs="Times New Roman"/>
      <w:i/>
      <w:iCs/>
      <w:noProof/>
      <w:color w:val="000000" w:themeColor="text1"/>
      <w:sz w:val="24"/>
      <w:szCs w:val="24"/>
    </w:rPr>
  </w:style>
  <w:style w:type="paragraph" w:customStyle="1" w:styleId="verbatim">
    <w:name w:val="verbatim"/>
    <w:uiPriority w:val="99"/>
    <w:rsid w:val="003B020A"/>
    <w:pPr>
      <w:autoSpaceDE w:val="0"/>
      <w:autoSpaceDN w:val="0"/>
      <w:adjustRightInd w:val="0"/>
      <w:spacing w:after="0" w:line="240" w:lineRule="auto"/>
    </w:pPr>
    <w:rPr>
      <w:rFonts w:ascii="Courier New" w:hAnsi="Courier New" w:cs="Courier New"/>
      <w:noProof/>
      <w:sz w:val="24"/>
      <w:szCs w:val="24"/>
    </w:rPr>
  </w:style>
  <w:style w:type="paragraph" w:styleId="Lista">
    <w:name w:val="List"/>
    <w:basedOn w:val="Normal"/>
    <w:uiPriority w:val="99"/>
    <w:rsid w:val="003B020A"/>
    <w:pPr>
      <w:tabs>
        <w:tab w:val="left" w:pos="283"/>
      </w:tabs>
      <w:spacing w:after="120"/>
      <w:ind w:left="283" w:hanging="283"/>
      <w:jc w:val="left"/>
    </w:pPr>
    <w:rPr>
      <w:sz w:val="20"/>
      <w:szCs w:val="20"/>
    </w:rPr>
  </w:style>
  <w:style w:type="paragraph" w:customStyle="1" w:styleId="List1">
    <w:name w:val="List 1"/>
    <w:basedOn w:val="Normal"/>
    <w:uiPriority w:val="99"/>
    <w:rsid w:val="003B020A"/>
    <w:pPr>
      <w:tabs>
        <w:tab w:val="left" w:pos="283"/>
      </w:tabs>
      <w:spacing w:after="120"/>
      <w:ind w:left="283" w:hanging="283"/>
      <w:jc w:val="left"/>
    </w:pPr>
    <w:rPr>
      <w:sz w:val="20"/>
      <w:szCs w:val="20"/>
    </w:rPr>
  </w:style>
  <w:style w:type="paragraph" w:customStyle="1" w:styleId="latexpicture">
    <w:name w:val="latex picture"/>
    <w:basedOn w:val="Normal"/>
    <w:next w:val="Normal"/>
    <w:uiPriority w:val="99"/>
    <w:rsid w:val="003B020A"/>
    <w:pPr>
      <w:keepLines/>
      <w:spacing w:before="120" w:after="120"/>
      <w:jc w:val="center"/>
    </w:pPr>
  </w:style>
  <w:style w:type="paragraph" w:customStyle="1" w:styleId="subfigure">
    <w:name w:val="subfigure"/>
    <w:basedOn w:val="Normal"/>
    <w:next w:val="Normal"/>
    <w:uiPriority w:val="99"/>
    <w:rsid w:val="003B020A"/>
    <w:pPr>
      <w:keepLines/>
      <w:spacing w:before="120" w:after="120"/>
      <w:jc w:val="center"/>
    </w:pPr>
  </w:style>
  <w:style w:type="paragraph" w:customStyle="1" w:styleId="bibheading">
    <w:name w:val="bibheading"/>
    <w:basedOn w:val="Normal"/>
    <w:next w:val="bibitem"/>
    <w:uiPriority w:val="99"/>
    <w:rsid w:val="003B020A"/>
    <w:pPr>
      <w:keepNext/>
      <w:widowControl w:val="0"/>
      <w:spacing w:before="240" w:after="120"/>
      <w:jc w:val="left"/>
    </w:pPr>
    <w:rPr>
      <w:b/>
      <w:bCs/>
      <w:sz w:val="32"/>
      <w:szCs w:val="32"/>
    </w:rPr>
  </w:style>
  <w:style w:type="paragraph" w:customStyle="1" w:styleId="bibitem">
    <w:name w:val="bibitem"/>
    <w:basedOn w:val="Normal"/>
    <w:uiPriority w:val="99"/>
    <w:rsid w:val="003B020A"/>
    <w:pPr>
      <w:widowControl w:val="0"/>
      <w:ind w:left="567" w:hanging="567"/>
      <w:jc w:val="left"/>
    </w:pPr>
    <w:rPr>
      <w:sz w:val="20"/>
      <w:szCs w:val="20"/>
    </w:rPr>
  </w:style>
  <w:style w:type="paragraph" w:customStyle="1" w:styleId="endnotes">
    <w:name w:val="endnotes"/>
    <w:basedOn w:val="Normal"/>
    <w:uiPriority w:val="99"/>
    <w:rsid w:val="003B020A"/>
    <w:pPr>
      <w:tabs>
        <w:tab w:val="left" w:pos="283"/>
      </w:tabs>
      <w:spacing w:after="120"/>
      <w:ind w:left="283" w:hanging="283"/>
      <w:jc w:val="left"/>
    </w:pPr>
    <w:rPr>
      <w:sz w:val="20"/>
      <w:szCs w:val="20"/>
    </w:rPr>
  </w:style>
  <w:style w:type="paragraph" w:styleId="Textodenotaderodap">
    <w:name w:val="footnote text"/>
    <w:basedOn w:val="Normal"/>
    <w:link w:val="TextodenotaderodapChar"/>
    <w:uiPriority w:val="99"/>
    <w:rsid w:val="003B020A"/>
    <w:pPr>
      <w:widowControl w:val="0"/>
      <w:ind w:left="397" w:hanging="113"/>
      <w:jc w:val="left"/>
    </w:pPr>
  </w:style>
  <w:style w:type="character" w:customStyle="1" w:styleId="TextodenotaderodapChar">
    <w:name w:val="Texto de nota de rodapé Char"/>
    <w:basedOn w:val="Fontepargpadro"/>
    <w:link w:val="Textodenotaderodap"/>
    <w:uiPriority w:val="99"/>
    <w:semiHidden/>
    <w:rsid w:val="003B020A"/>
    <w:rPr>
      <w:rFonts w:ascii="Times New Roman" w:hAnsi="Times New Roman" w:cs="Times New Roman"/>
      <w:noProof/>
      <w:sz w:val="20"/>
      <w:szCs w:val="20"/>
    </w:rPr>
  </w:style>
  <w:style w:type="paragraph" w:styleId="Textodenotadefim">
    <w:name w:val="endnote text"/>
    <w:basedOn w:val="Normal"/>
    <w:link w:val="TextodenotadefimChar"/>
    <w:uiPriority w:val="99"/>
    <w:rsid w:val="003B020A"/>
    <w:pPr>
      <w:widowControl w:val="0"/>
      <w:ind w:left="454" w:hanging="170"/>
    </w:pPr>
  </w:style>
  <w:style w:type="character" w:customStyle="1" w:styleId="TextodenotadefimChar">
    <w:name w:val="Texto de nota de fim Char"/>
    <w:basedOn w:val="Fontepargpadro"/>
    <w:link w:val="Textodenotadefim"/>
    <w:uiPriority w:val="99"/>
    <w:semiHidden/>
    <w:rsid w:val="003B020A"/>
    <w:rPr>
      <w:rFonts w:ascii="Times New Roman" w:hAnsi="Times New Roman" w:cs="Times New Roman"/>
      <w:noProof/>
      <w:sz w:val="20"/>
      <w:szCs w:val="20"/>
    </w:rPr>
  </w:style>
  <w:style w:type="character" w:styleId="Refdenotaderodap">
    <w:name w:val="footnote reference"/>
    <w:basedOn w:val="Fontepargpadro"/>
    <w:uiPriority w:val="99"/>
    <w:semiHidden/>
    <w:unhideWhenUsed/>
    <w:rsid w:val="003B020A"/>
    <w:rPr>
      <w:vertAlign w:val="superscript"/>
    </w:rPr>
  </w:style>
  <w:style w:type="character" w:styleId="Refdenotadefim">
    <w:name w:val="endnote reference"/>
    <w:basedOn w:val="Fontepargpadro"/>
    <w:uiPriority w:val="99"/>
    <w:rsid w:val="003B020A"/>
    <w:rPr>
      <w:vertAlign w:val="superscript"/>
    </w:rPr>
  </w:style>
  <w:style w:type="paragraph" w:customStyle="1" w:styleId="acronym">
    <w:name w:val="acronym"/>
    <w:basedOn w:val="Normal"/>
    <w:uiPriority w:val="99"/>
    <w:rsid w:val="003B020A"/>
    <w:pPr>
      <w:keepNext/>
      <w:widowControl w:val="0"/>
      <w:spacing w:before="60" w:after="60"/>
      <w:jc w:val="left"/>
    </w:pPr>
  </w:style>
  <w:style w:type="paragraph" w:customStyle="1" w:styleId="abstracttitle">
    <w:name w:val="abstract title"/>
    <w:basedOn w:val="Normal"/>
    <w:next w:val="abstract"/>
    <w:uiPriority w:val="99"/>
    <w:rsid w:val="003B020A"/>
    <w:pPr>
      <w:widowControl w:val="0"/>
      <w:spacing w:after="120"/>
      <w:jc w:val="center"/>
    </w:pPr>
    <w:rPr>
      <w:b/>
      <w:bCs/>
    </w:rPr>
  </w:style>
  <w:style w:type="paragraph" w:customStyle="1" w:styleId="abstract">
    <w:name w:val="abstract"/>
    <w:basedOn w:val="Normal"/>
    <w:next w:val="Normal"/>
    <w:uiPriority w:val="99"/>
    <w:rsid w:val="003B020A"/>
    <w:pPr>
      <w:ind w:left="1024" w:right="1024" w:firstLine="340"/>
    </w:pPr>
  </w:style>
  <w:style w:type="paragraph" w:customStyle="1" w:styleId="contentsheading">
    <w:name w:val="contents_heading"/>
    <w:basedOn w:val="Normal"/>
    <w:next w:val="Normal"/>
    <w:uiPriority w:val="99"/>
    <w:rsid w:val="003B020A"/>
    <w:pPr>
      <w:keepNext/>
      <w:widowControl w:val="0"/>
      <w:spacing w:before="240" w:after="120"/>
      <w:jc w:val="left"/>
    </w:pPr>
    <w:rPr>
      <w:b/>
      <w:bCs/>
      <w:sz w:val="20"/>
      <w:szCs w:val="20"/>
    </w:rPr>
  </w:style>
  <w:style w:type="paragraph" w:styleId="Sumrio1">
    <w:name w:val="toc 1"/>
    <w:basedOn w:val="Normal"/>
    <w:next w:val="Sumrio2"/>
    <w:uiPriority w:val="99"/>
    <w:rsid w:val="003B020A"/>
    <w:pPr>
      <w:keepNext/>
      <w:widowControl w:val="0"/>
      <w:tabs>
        <w:tab w:val="right" w:leader="dot" w:pos="8222"/>
      </w:tabs>
      <w:spacing w:before="240" w:after="60"/>
      <w:ind w:left="425"/>
      <w:jc w:val="left"/>
    </w:pPr>
    <w:rPr>
      <w:b/>
      <w:bCs/>
    </w:rPr>
  </w:style>
  <w:style w:type="paragraph" w:styleId="Sumrio2">
    <w:name w:val="toc 2"/>
    <w:basedOn w:val="Normal"/>
    <w:next w:val="Sumrio3"/>
    <w:uiPriority w:val="99"/>
    <w:rsid w:val="003B020A"/>
    <w:pPr>
      <w:keepNext/>
      <w:widowControl w:val="0"/>
      <w:tabs>
        <w:tab w:val="right" w:leader="dot" w:pos="8222"/>
      </w:tabs>
      <w:spacing w:before="60" w:after="60"/>
      <w:ind w:left="512"/>
      <w:jc w:val="left"/>
    </w:pPr>
  </w:style>
  <w:style w:type="paragraph" w:styleId="Sumrio3">
    <w:name w:val="toc 3"/>
    <w:basedOn w:val="Normal"/>
    <w:next w:val="Sumrio4"/>
    <w:uiPriority w:val="99"/>
    <w:rsid w:val="003B020A"/>
    <w:pPr>
      <w:keepNext/>
      <w:widowControl w:val="0"/>
      <w:tabs>
        <w:tab w:val="right" w:leader="dot" w:pos="8222"/>
      </w:tabs>
      <w:spacing w:before="60" w:after="60"/>
      <w:ind w:left="1024"/>
      <w:jc w:val="left"/>
    </w:pPr>
  </w:style>
  <w:style w:type="paragraph" w:styleId="Sumrio4">
    <w:name w:val="toc 4"/>
    <w:basedOn w:val="Normal"/>
    <w:next w:val="Sumrio5"/>
    <w:uiPriority w:val="99"/>
    <w:rsid w:val="003B020A"/>
    <w:pPr>
      <w:keepNext/>
      <w:widowControl w:val="0"/>
      <w:tabs>
        <w:tab w:val="right" w:leader="dot" w:pos="8222"/>
      </w:tabs>
      <w:spacing w:before="60" w:after="60"/>
      <w:ind w:left="1536"/>
      <w:jc w:val="left"/>
    </w:pPr>
  </w:style>
  <w:style w:type="paragraph" w:styleId="Sumrio5">
    <w:name w:val="toc 5"/>
    <w:basedOn w:val="Normal"/>
    <w:next w:val="Sumrio6"/>
    <w:uiPriority w:val="99"/>
    <w:rsid w:val="003B020A"/>
    <w:pPr>
      <w:keepNext/>
      <w:widowControl w:val="0"/>
      <w:tabs>
        <w:tab w:val="right" w:leader="dot" w:pos="8222"/>
      </w:tabs>
      <w:spacing w:before="60" w:after="60"/>
      <w:ind w:left="2048"/>
      <w:jc w:val="left"/>
    </w:pPr>
  </w:style>
  <w:style w:type="paragraph" w:styleId="Sumrio6">
    <w:name w:val="toc 6"/>
    <w:basedOn w:val="Normal"/>
    <w:uiPriority w:val="99"/>
    <w:rsid w:val="003B020A"/>
    <w:pPr>
      <w:keepNext/>
      <w:widowControl w:val="0"/>
      <w:tabs>
        <w:tab w:val="right" w:leader="dot" w:pos="8222"/>
      </w:tabs>
      <w:spacing w:before="60" w:after="60"/>
      <w:ind w:left="2560"/>
      <w:jc w:val="left"/>
    </w:pPr>
  </w:style>
  <w:style w:type="paragraph" w:styleId="Textodebalo">
    <w:name w:val="Balloon Text"/>
    <w:basedOn w:val="Normal"/>
    <w:link w:val="TextodebaloChar"/>
    <w:uiPriority w:val="99"/>
    <w:semiHidden/>
    <w:unhideWhenUsed/>
    <w:rsid w:val="000A3E1C"/>
    <w:rPr>
      <w:rFonts w:ascii="Tahoma" w:hAnsi="Tahoma" w:cs="Tahoma"/>
      <w:sz w:val="16"/>
      <w:szCs w:val="16"/>
    </w:rPr>
  </w:style>
  <w:style w:type="character" w:customStyle="1" w:styleId="TextodebaloChar">
    <w:name w:val="Texto de balão Char"/>
    <w:basedOn w:val="Fontepargpadro"/>
    <w:link w:val="Textodebalo"/>
    <w:uiPriority w:val="99"/>
    <w:semiHidden/>
    <w:rsid w:val="000A3E1C"/>
    <w:rPr>
      <w:rFonts w:ascii="Tahoma" w:hAnsi="Tahoma" w:cs="Tahoma"/>
      <w:noProof/>
      <w:sz w:val="16"/>
      <w:szCs w:val="16"/>
    </w:rPr>
  </w:style>
  <w:style w:type="character" w:styleId="TextodoEspaoReservado">
    <w:name w:val="Placeholder Text"/>
    <w:basedOn w:val="Fontepargpadro"/>
    <w:uiPriority w:val="99"/>
    <w:semiHidden/>
    <w:rsid w:val="000A3E1C"/>
    <w:rPr>
      <w:color w:val="808080"/>
    </w:rPr>
  </w:style>
  <w:style w:type="paragraph" w:styleId="PargrafodaLista">
    <w:name w:val="List Paragraph"/>
    <w:basedOn w:val="Normal"/>
    <w:uiPriority w:val="34"/>
    <w:qFormat/>
    <w:rsid w:val="000A3E1C"/>
    <w:pPr>
      <w:ind w:left="720"/>
      <w:contextualSpacing/>
    </w:pPr>
  </w:style>
  <w:style w:type="paragraph" w:styleId="SemEspaamento">
    <w:name w:val="No Spacing"/>
    <w:uiPriority w:val="1"/>
    <w:qFormat/>
    <w:rsid w:val="00481822"/>
    <w:pPr>
      <w:autoSpaceDE w:val="0"/>
      <w:autoSpaceDN w:val="0"/>
      <w:adjustRightInd w:val="0"/>
      <w:spacing w:after="0" w:line="240" w:lineRule="auto"/>
      <w:jc w:val="both"/>
    </w:pPr>
    <w:rPr>
      <w:rFonts w:ascii="Times New Roman" w:hAnsi="Times New Roman" w:cs="Times New Roman"/>
      <w:noProof/>
      <w:sz w:val="24"/>
      <w:szCs w:val="24"/>
    </w:rPr>
  </w:style>
  <w:style w:type="character" w:styleId="Hyperlink">
    <w:name w:val="Hyperlink"/>
    <w:basedOn w:val="Fontepargpadro"/>
    <w:uiPriority w:val="99"/>
    <w:unhideWhenUsed/>
    <w:rsid w:val="00B349A4"/>
    <w:rPr>
      <w:color w:val="0000FF" w:themeColor="hyperlink"/>
      <w:u w:val="single"/>
    </w:rPr>
  </w:style>
  <w:style w:type="table" w:styleId="Tabelacomgrade">
    <w:name w:val="Table Grid"/>
    <w:basedOn w:val="Tabelanormal"/>
    <w:uiPriority w:val="59"/>
    <w:rsid w:val="007334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91189">
      <w:bodyDiv w:val="1"/>
      <w:marLeft w:val="0"/>
      <w:marRight w:val="0"/>
      <w:marTop w:val="0"/>
      <w:marBottom w:val="0"/>
      <w:divBdr>
        <w:top w:val="none" w:sz="0" w:space="0" w:color="auto"/>
        <w:left w:val="none" w:sz="0" w:space="0" w:color="auto"/>
        <w:bottom w:val="none" w:sz="0" w:space="0" w:color="auto"/>
        <w:right w:val="none" w:sz="0" w:space="0" w:color="auto"/>
      </w:divBdr>
    </w:div>
    <w:div w:id="201656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regis.ely@ufpel.edu.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D6662-4FBE-40CB-A59C-8207BD00E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874</TotalTime>
  <Pages>1</Pages>
  <Words>6791</Words>
  <Characters>36674</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RAE</Company>
  <LinksUpToDate>false</LinksUpToDate>
  <CharactersWithSpaces>43379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Regis Augusto Ely</cp:lastModifiedBy>
  <cp:revision>38</cp:revision>
  <cp:lastPrinted>2013-04-24T16:32:00Z</cp:lastPrinted>
  <dcterms:created xsi:type="dcterms:W3CDTF">2013-04-16T15:48:00Z</dcterms:created>
  <dcterms:modified xsi:type="dcterms:W3CDTF">2014-02-14T21:15:00Z</dcterms:modified>
</cp:coreProperties>
</file>