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82D6F" w14:textId="5F2F7AF1" w:rsidR="00941827" w:rsidRDefault="00941827" w:rsidP="009418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w:t>
      </w:r>
      <w:r w:rsidRPr="00C978DF">
        <w:rPr>
          <w:rFonts w:ascii="Times New Roman" w:hAnsi="Times New Roman" w:cs="Times New Roman"/>
          <w:b/>
          <w:sz w:val="24"/>
          <w:szCs w:val="24"/>
        </w:rPr>
        <w:t>omplementaridade comer</w:t>
      </w:r>
      <w:r>
        <w:rPr>
          <w:rFonts w:ascii="Times New Roman" w:hAnsi="Times New Roman" w:cs="Times New Roman"/>
          <w:b/>
          <w:sz w:val="24"/>
          <w:szCs w:val="24"/>
        </w:rPr>
        <w:t>cial entre brasil e américa do S</w:t>
      </w:r>
      <w:r w:rsidRPr="00C978DF">
        <w:rPr>
          <w:rFonts w:ascii="Times New Roman" w:hAnsi="Times New Roman" w:cs="Times New Roman"/>
          <w:b/>
          <w:sz w:val="24"/>
          <w:szCs w:val="24"/>
        </w:rPr>
        <w:t>ul: aplicação do modelo gravitacional em dados em painel para o mercado de bens de alta intensidade tecnológica</w:t>
      </w:r>
    </w:p>
    <w:p w14:paraId="2A23A92F" w14:textId="77777777" w:rsidR="00941827" w:rsidRPr="00C978DF" w:rsidRDefault="00941827" w:rsidP="00941827">
      <w:pPr>
        <w:spacing w:after="0" w:line="240" w:lineRule="auto"/>
        <w:jc w:val="center"/>
        <w:rPr>
          <w:rFonts w:ascii="Times New Roman" w:hAnsi="Times New Roman" w:cs="Times New Roman"/>
          <w:b/>
          <w:sz w:val="24"/>
          <w:szCs w:val="24"/>
        </w:rPr>
      </w:pPr>
    </w:p>
    <w:p w14:paraId="351E29D8" w14:textId="1A9E68AE" w:rsidR="00941827" w:rsidRDefault="001C58F4" w:rsidP="00941827">
      <w:pPr>
        <w:spacing w:after="0" w:line="360" w:lineRule="auto"/>
        <w:rPr>
          <w:rFonts w:ascii="Times New Roman" w:hAnsi="Times New Roman" w:cs="Times New Roman"/>
          <w:b/>
          <w:sz w:val="24"/>
          <w:szCs w:val="24"/>
        </w:rPr>
      </w:pPr>
      <w:r>
        <w:rPr>
          <w:rFonts w:ascii="Times New Roman" w:hAnsi="Times New Roman" w:cs="Times New Roman"/>
          <w:b/>
          <w:sz w:val="24"/>
          <w:szCs w:val="24"/>
        </w:rPr>
        <w:t>João Victor</w:t>
      </w:r>
      <w:r w:rsidR="00941827">
        <w:rPr>
          <w:rFonts w:ascii="Times New Roman" w:hAnsi="Times New Roman" w:cs="Times New Roman"/>
          <w:b/>
          <w:sz w:val="24"/>
          <w:szCs w:val="24"/>
        </w:rPr>
        <w:t xml:space="preserve"> Souza da Silva</w:t>
      </w:r>
      <w:r w:rsidR="00941827">
        <w:rPr>
          <w:rStyle w:val="Refdenotaderodap"/>
          <w:rFonts w:ascii="Times New Roman" w:hAnsi="Times New Roman" w:cs="Times New Roman"/>
          <w:b/>
          <w:sz w:val="24"/>
          <w:szCs w:val="24"/>
        </w:rPr>
        <w:footnoteReference w:id="1"/>
      </w:r>
    </w:p>
    <w:p w14:paraId="61381F08" w14:textId="77777777" w:rsidR="00941827" w:rsidRDefault="00941827" w:rsidP="00941827">
      <w:pPr>
        <w:spacing w:after="0" w:line="360" w:lineRule="auto"/>
        <w:rPr>
          <w:rFonts w:ascii="Times New Roman" w:hAnsi="Times New Roman" w:cs="Times New Roman"/>
          <w:b/>
          <w:sz w:val="24"/>
          <w:szCs w:val="24"/>
        </w:rPr>
      </w:pPr>
      <w:r>
        <w:rPr>
          <w:rFonts w:ascii="Times New Roman" w:hAnsi="Times New Roman" w:cs="Times New Roman"/>
          <w:b/>
          <w:sz w:val="24"/>
          <w:szCs w:val="24"/>
        </w:rPr>
        <w:t>William Barbosa</w:t>
      </w:r>
      <w:r>
        <w:rPr>
          <w:rStyle w:val="Refdenotaderodap"/>
          <w:rFonts w:ascii="Times New Roman" w:hAnsi="Times New Roman" w:cs="Times New Roman"/>
          <w:b/>
          <w:sz w:val="24"/>
          <w:szCs w:val="24"/>
        </w:rPr>
        <w:footnoteReference w:id="2"/>
      </w:r>
    </w:p>
    <w:p w14:paraId="410B4E66" w14:textId="77777777" w:rsidR="00941827" w:rsidRDefault="00941827" w:rsidP="00941827">
      <w:pPr>
        <w:spacing w:after="0" w:line="360" w:lineRule="auto"/>
        <w:rPr>
          <w:rFonts w:ascii="Times New Roman" w:hAnsi="Times New Roman" w:cs="Times New Roman"/>
          <w:b/>
          <w:sz w:val="24"/>
          <w:szCs w:val="24"/>
        </w:rPr>
      </w:pPr>
      <w:proofErr w:type="spellStart"/>
      <w:r>
        <w:rPr>
          <w:rFonts w:ascii="Times New Roman" w:hAnsi="Times New Roman" w:cs="Times New Roman"/>
          <w:b/>
          <w:sz w:val="24"/>
          <w:szCs w:val="24"/>
        </w:rPr>
        <w:t>Clailton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Ataídes</w:t>
      </w:r>
      <w:proofErr w:type="spellEnd"/>
      <w:r>
        <w:rPr>
          <w:rFonts w:ascii="Times New Roman" w:hAnsi="Times New Roman" w:cs="Times New Roman"/>
          <w:b/>
          <w:sz w:val="24"/>
          <w:szCs w:val="24"/>
        </w:rPr>
        <w:t xml:space="preserve"> de Freitas</w:t>
      </w:r>
      <w:r>
        <w:rPr>
          <w:rStyle w:val="Refdenotaderodap"/>
          <w:rFonts w:ascii="Times New Roman" w:hAnsi="Times New Roman" w:cs="Times New Roman"/>
          <w:b/>
          <w:sz w:val="24"/>
          <w:szCs w:val="24"/>
        </w:rPr>
        <w:footnoteReference w:id="3"/>
      </w:r>
    </w:p>
    <w:p w14:paraId="69CB6662" w14:textId="77777777" w:rsidR="00941827" w:rsidRDefault="00941827" w:rsidP="00941827">
      <w:pPr>
        <w:rPr>
          <w:rFonts w:ascii="Times New Roman" w:hAnsi="Times New Roman" w:cs="Times New Roman"/>
          <w:b/>
          <w:sz w:val="24"/>
          <w:szCs w:val="24"/>
        </w:rPr>
      </w:pPr>
      <w:r>
        <w:rPr>
          <w:rFonts w:ascii="Times New Roman" w:hAnsi="Times New Roman" w:cs="Times New Roman"/>
          <w:b/>
          <w:sz w:val="24"/>
          <w:szCs w:val="24"/>
        </w:rPr>
        <w:br w:type="page"/>
      </w:r>
    </w:p>
    <w:p w14:paraId="3B3F271F" w14:textId="36BA1A1F" w:rsidR="00941827" w:rsidRPr="00C978DF" w:rsidRDefault="00941827" w:rsidP="009418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w:t>
      </w:r>
      <w:r w:rsidRPr="00C978DF">
        <w:rPr>
          <w:rFonts w:ascii="Times New Roman" w:hAnsi="Times New Roman" w:cs="Times New Roman"/>
          <w:b/>
          <w:sz w:val="24"/>
          <w:szCs w:val="24"/>
        </w:rPr>
        <w:t>omplementaridade comer</w:t>
      </w:r>
      <w:r w:rsidR="00CC27A7">
        <w:rPr>
          <w:rFonts w:ascii="Times New Roman" w:hAnsi="Times New Roman" w:cs="Times New Roman"/>
          <w:b/>
          <w:sz w:val="24"/>
          <w:szCs w:val="24"/>
        </w:rPr>
        <w:t>cial entre B</w:t>
      </w:r>
      <w:r w:rsidR="00C33E39">
        <w:rPr>
          <w:rFonts w:ascii="Times New Roman" w:hAnsi="Times New Roman" w:cs="Times New Roman"/>
          <w:b/>
          <w:sz w:val="24"/>
          <w:szCs w:val="24"/>
        </w:rPr>
        <w:t>rasil e A</w:t>
      </w:r>
      <w:r>
        <w:rPr>
          <w:rFonts w:ascii="Times New Roman" w:hAnsi="Times New Roman" w:cs="Times New Roman"/>
          <w:b/>
          <w:sz w:val="24"/>
          <w:szCs w:val="24"/>
        </w:rPr>
        <w:t>mérica do S</w:t>
      </w:r>
      <w:r w:rsidRPr="00C978DF">
        <w:rPr>
          <w:rFonts w:ascii="Times New Roman" w:hAnsi="Times New Roman" w:cs="Times New Roman"/>
          <w:b/>
          <w:sz w:val="24"/>
          <w:szCs w:val="24"/>
        </w:rPr>
        <w:t>ul: aplicação do modelo gravitacional em dados em painel para o mercado de bens de alta intensidade tecnológica</w:t>
      </w:r>
    </w:p>
    <w:p w14:paraId="00CCA65C" w14:textId="77777777" w:rsidR="00941827" w:rsidRPr="00C978DF" w:rsidRDefault="00941827" w:rsidP="00941827">
      <w:pPr>
        <w:spacing w:after="0" w:line="240" w:lineRule="auto"/>
        <w:jc w:val="center"/>
        <w:rPr>
          <w:rFonts w:ascii="Times New Roman" w:hAnsi="Times New Roman" w:cs="Times New Roman"/>
          <w:sz w:val="24"/>
          <w:szCs w:val="24"/>
        </w:rPr>
      </w:pPr>
    </w:p>
    <w:p w14:paraId="4616BF95" w14:textId="77777777" w:rsidR="00941827" w:rsidRDefault="00941827" w:rsidP="00941827">
      <w:pPr>
        <w:spacing w:after="0" w:line="240" w:lineRule="auto"/>
        <w:jc w:val="both"/>
        <w:rPr>
          <w:rFonts w:ascii="Times New Roman" w:hAnsi="Times New Roman" w:cs="Times New Roman"/>
          <w:sz w:val="24"/>
          <w:szCs w:val="24"/>
        </w:rPr>
      </w:pPr>
      <w:r w:rsidRPr="00840D4B">
        <w:rPr>
          <w:rFonts w:ascii="Times New Roman" w:hAnsi="Times New Roman" w:cs="Times New Roman"/>
          <w:b/>
          <w:sz w:val="24"/>
          <w:szCs w:val="24"/>
        </w:rPr>
        <w:t>RESUMO</w:t>
      </w:r>
      <w:r>
        <w:rPr>
          <w:rFonts w:ascii="Times New Roman" w:hAnsi="Times New Roman" w:cs="Times New Roman"/>
          <w:b/>
          <w:sz w:val="24"/>
          <w:szCs w:val="24"/>
        </w:rPr>
        <w:t xml:space="preserve">: </w:t>
      </w:r>
      <w:r>
        <w:rPr>
          <w:rFonts w:ascii="Times New Roman" w:hAnsi="Times New Roman" w:cs="Times New Roman"/>
          <w:sz w:val="24"/>
          <w:szCs w:val="24"/>
        </w:rPr>
        <w:t>O objetivo deste trabalho é</w:t>
      </w:r>
      <w:r w:rsidRPr="00C978DF">
        <w:rPr>
          <w:rFonts w:ascii="Times New Roman" w:hAnsi="Times New Roman" w:cs="Times New Roman"/>
          <w:sz w:val="24"/>
          <w:szCs w:val="24"/>
        </w:rPr>
        <w:t xml:space="preserve"> analisar os fatores que influenciam a complementaridade comercial brasileira no mercado de alta intensidade tecnológica, na América do Sul, entre 1970 e 2010. Utiliza-se a metodologia de dados em painel e adaptação do modelo gravitacional de comércio</w:t>
      </w:r>
      <w:r>
        <w:rPr>
          <w:rFonts w:ascii="Times New Roman" w:hAnsi="Times New Roman" w:cs="Times New Roman"/>
          <w:sz w:val="24"/>
          <w:szCs w:val="24"/>
        </w:rPr>
        <w:t xml:space="preserve"> de </w:t>
      </w:r>
      <w:proofErr w:type="spellStart"/>
      <w:r>
        <w:rPr>
          <w:rFonts w:ascii="Times New Roman" w:hAnsi="Times New Roman" w:cs="Times New Roman"/>
          <w:sz w:val="24"/>
          <w:szCs w:val="24"/>
        </w:rPr>
        <w:t>Bergstrand</w:t>
      </w:r>
      <w:proofErr w:type="spellEnd"/>
      <w:r>
        <w:rPr>
          <w:rFonts w:ascii="Times New Roman" w:hAnsi="Times New Roman" w:cs="Times New Roman"/>
          <w:sz w:val="24"/>
          <w:szCs w:val="24"/>
        </w:rPr>
        <w:t xml:space="preserve">, porém é original pelo uso do Índice de Complementaridade Comercial como variável dependente, o que implica particularidades do presente trabalho frente outros estudos baseados no modelo gravitacional. </w:t>
      </w:r>
      <w:r w:rsidRPr="00C978DF">
        <w:rPr>
          <w:rFonts w:ascii="Times New Roman" w:hAnsi="Times New Roman" w:cs="Times New Roman"/>
          <w:sz w:val="24"/>
          <w:szCs w:val="24"/>
        </w:rPr>
        <w:t xml:space="preserve">Neste trabalho são expostas as principais experiências de blocos econômicos regionais e sua relação com a dinâmica e competitividade comercial regional brasileira, como centro econômico da América do Sul. </w:t>
      </w:r>
      <w:r>
        <w:rPr>
          <w:rFonts w:ascii="Times New Roman" w:hAnsi="Times New Roman" w:cs="Times New Roman"/>
          <w:sz w:val="24"/>
          <w:szCs w:val="24"/>
        </w:rPr>
        <w:t>Os resultados sugerem que a distância impactou negativamente sobre a complementaridade comercial brasileira na região, ao passo que a variável de atração Mercosul acentuou as relações e complementaridade comercial, em corroboração com a teoria referente à modelagem gravitacional de comércio.</w:t>
      </w:r>
    </w:p>
    <w:p w14:paraId="71C09EC1" w14:textId="77777777" w:rsidR="00941827" w:rsidRPr="00C978DF" w:rsidRDefault="00941827" w:rsidP="00941827">
      <w:pPr>
        <w:spacing w:after="0" w:line="240" w:lineRule="auto"/>
        <w:jc w:val="both"/>
        <w:rPr>
          <w:rFonts w:ascii="Times New Roman" w:hAnsi="Times New Roman" w:cs="Times New Roman"/>
          <w:sz w:val="24"/>
          <w:szCs w:val="24"/>
        </w:rPr>
      </w:pPr>
    </w:p>
    <w:p w14:paraId="05973F70" w14:textId="77777777" w:rsidR="00941827" w:rsidRPr="00C978DF" w:rsidRDefault="00941827" w:rsidP="00941827">
      <w:pPr>
        <w:spacing w:after="0" w:line="240" w:lineRule="auto"/>
        <w:jc w:val="both"/>
        <w:rPr>
          <w:rFonts w:ascii="Times New Roman" w:hAnsi="Times New Roman" w:cs="Times New Roman"/>
          <w:sz w:val="24"/>
          <w:szCs w:val="24"/>
        </w:rPr>
      </w:pPr>
      <w:r w:rsidRPr="00840D4B">
        <w:rPr>
          <w:rFonts w:ascii="Times New Roman" w:hAnsi="Times New Roman" w:cs="Times New Roman"/>
          <w:b/>
          <w:sz w:val="24"/>
          <w:szCs w:val="24"/>
        </w:rPr>
        <w:t>Palavras-Chave:</w:t>
      </w:r>
      <w:r w:rsidRPr="00C978DF">
        <w:rPr>
          <w:rFonts w:ascii="Times New Roman" w:hAnsi="Times New Roman" w:cs="Times New Roman"/>
          <w:sz w:val="24"/>
          <w:szCs w:val="24"/>
        </w:rPr>
        <w:t xml:space="preserve"> Complementaridade Comercial; Modelo Gravitacional; Dados em Painel; Alta intensidade tecnológica.</w:t>
      </w:r>
    </w:p>
    <w:p w14:paraId="16695FC4" w14:textId="77777777" w:rsidR="00941827" w:rsidRPr="00C978DF" w:rsidRDefault="00941827" w:rsidP="00941827">
      <w:pPr>
        <w:spacing w:after="0" w:line="360" w:lineRule="auto"/>
        <w:jc w:val="both"/>
        <w:rPr>
          <w:rFonts w:ascii="Times New Roman" w:hAnsi="Times New Roman" w:cs="Times New Roman"/>
          <w:sz w:val="24"/>
          <w:szCs w:val="24"/>
        </w:rPr>
      </w:pPr>
    </w:p>
    <w:p w14:paraId="638B9EE5" w14:textId="1F7EB251" w:rsidR="00941827" w:rsidRPr="00C978DF" w:rsidRDefault="00941827" w:rsidP="00941827">
      <w:pPr>
        <w:spacing w:after="0" w:line="240" w:lineRule="auto"/>
        <w:jc w:val="center"/>
        <w:rPr>
          <w:rFonts w:ascii="Times New Roman" w:hAnsi="Times New Roman" w:cs="Times New Roman"/>
          <w:b/>
          <w:sz w:val="24"/>
          <w:szCs w:val="24"/>
          <w:lang w:val="en-US"/>
        </w:rPr>
      </w:pPr>
      <w:r w:rsidRPr="00840D4B">
        <w:rPr>
          <w:rFonts w:ascii="Times New Roman" w:hAnsi="Times New Roman" w:cs="Times New Roman"/>
          <w:b/>
          <w:sz w:val="24"/>
          <w:szCs w:val="24"/>
          <w:lang w:val="en-US"/>
        </w:rPr>
        <w:t>T</w:t>
      </w:r>
      <w:r w:rsidR="00CC27A7">
        <w:rPr>
          <w:rFonts w:ascii="Times New Roman" w:hAnsi="Times New Roman" w:cs="Times New Roman"/>
          <w:b/>
          <w:sz w:val="24"/>
          <w:szCs w:val="24"/>
          <w:lang w:val="en-US"/>
        </w:rPr>
        <w:t>rade complementarity between B</w:t>
      </w:r>
      <w:r w:rsidRPr="00C978DF">
        <w:rPr>
          <w:rFonts w:ascii="Times New Roman" w:hAnsi="Times New Roman" w:cs="Times New Roman"/>
          <w:b/>
          <w:sz w:val="24"/>
          <w:szCs w:val="24"/>
          <w:lang w:val="en-US"/>
        </w:rPr>
        <w:t xml:space="preserve">razil and </w:t>
      </w:r>
      <w:r>
        <w:rPr>
          <w:rFonts w:ascii="Times New Roman" w:hAnsi="Times New Roman" w:cs="Times New Roman"/>
          <w:b/>
          <w:sz w:val="24"/>
          <w:szCs w:val="24"/>
          <w:lang w:val="en-US"/>
        </w:rPr>
        <w:t>S</w:t>
      </w:r>
      <w:r w:rsidRPr="00C978DF">
        <w:rPr>
          <w:rFonts w:ascii="Times New Roman" w:hAnsi="Times New Roman" w:cs="Times New Roman"/>
          <w:b/>
          <w:sz w:val="24"/>
          <w:szCs w:val="24"/>
          <w:lang w:val="en-US"/>
        </w:rPr>
        <w:t xml:space="preserve">outh </w:t>
      </w:r>
      <w:r>
        <w:rPr>
          <w:rFonts w:ascii="Times New Roman" w:hAnsi="Times New Roman" w:cs="Times New Roman"/>
          <w:b/>
          <w:sz w:val="24"/>
          <w:szCs w:val="24"/>
          <w:lang w:val="en-US"/>
        </w:rPr>
        <w:t>A</w:t>
      </w:r>
      <w:r w:rsidRPr="00C978DF">
        <w:rPr>
          <w:rFonts w:ascii="Times New Roman" w:hAnsi="Times New Roman" w:cs="Times New Roman"/>
          <w:b/>
          <w:sz w:val="24"/>
          <w:szCs w:val="24"/>
          <w:lang w:val="en-US"/>
        </w:rPr>
        <w:t>merica: application of gravitational model in panel data for high technological intensity goods</w:t>
      </w:r>
    </w:p>
    <w:p w14:paraId="7E5B95F9" w14:textId="77777777" w:rsidR="00941827" w:rsidRPr="00C978DF" w:rsidRDefault="00941827" w:rsidP="00941827">
      <w:pPr>
        <w:spacing w:after="0" w:line="360" w:lineRule="auto"/>
        <w:jc w:val="both"/>
        <w:rPr>
          <w:rFonts w:ascii="Times New Roman" w:hAnsi="Times New Roman" w:cs="Times New Roman"/>
          <w:sz w:val="24"/>
          <w:szCs w:val="24"/>
          <w:lang w:val="en-US"/>
        </w:rPr>
      </w:pPr>
    </w:p>
    <w:p w14:paraId="1A95690C" w14:textId="77777777" w:rsidR="00941827" w:rsidRPr="00C978DF" w:rsidRDefault="00941827" w:rsidP="00941827">
      <w:pPr>
        <w:spacing w:after="0" w:line="240" w:lineRule="auto"/>
        <w:jc w:val="both"/>
        <w:rPr>
          <w:rFonts w:ascii="Times New Roman" w:hAnsi="Times New Roman" w:cs="Times New Roman"/>
          <w:sz w:val="24"/>
          <w:szCs w:val="24"/>
          <w:lang w:val="en-US"/>
        </w:rPr>
      </w:pPr>
      <w:r w:rsidRPr="00840D4B">
        <w:rPr>
          <w:rFonts w:ascii="Times New Roman" w:hAnsi="Times New Roman" w:cs="Times New Roman"/>
          <w:b/>
          <w:sz w:val="24"/>
          <w:szCs w:val="24"/>
          <w:lang w:val="en-US"/>
        </w:rPr>
        <w:t xml:space="preserve">ABSTRACT: </w:t>
      </w:r>
      <w:r w:rsidRPr="00AE769F">
        <w:rPr>
          <w:rFonts w:ascii="Times New Roman" w:hAnsi="Times New Roman" w:cs="Times New Roman"/>
          <w:sz w:val="24"/>
          <w:szCs w:val="24"/>
          <w:lang w:val="en-US"/>
        </w:rPr>
        <w:t>Th</w:t>
      </w:r>
      <w:r>
        <w:rPr>
          <w:rFonts w:ascii="Times New Roman" w:hAnsi="Times New Roman" w:cs="Times New Roman"/>
          <w:sz w:val="24"/>
          <w:szCs w:val="24"/>
          <w:lang w:val="en-US"/>
        </w:rPr>
        <w:t xml:space="preserve">is article aims to </w:t>
      </w:r>
      <w:r w:rsidRPr="00AE769F">
        <w:rPr>
          <w:rFonts w:ascii="Times New Roman" w:hAnsi="Times New Roman" w:cs="Times New Roman"/>
          <w:sz w:val="24"/>
          <w:szCs w:val="24"/>
          <w:lang w:val="en-US"/>
        </w:rPr>
        <w:t xml:space="preserve">analyzing the factors that influence the Brazilian commercial complementarity in the market of high technological intensity in South America between 1970 and 2010. It is used the panel data methodology and adaptation of the </w:t>
      </w:r>
      <w:proofErr w:type="spellStart"/>
      <w:r w:rsidRPr="00AE769F">
        <w:rPr>
          <w:rFonts w:ascii="Times New Roman" w:hAnsi="Times New Roman" w:cs="Times New Roman"/>
          <w:sz w:val="24"/>
          <w:szCs w:val="24"/>
          <w:lang w:val="en-US"/>
        </w:rPr>
        <w:t>Bergs</w:t>
      </w:r>
      <w:r>
        <w:rPr>
          <w:rFonts w:ascii="Times New Roman" w:hAnsi="Times New Roman" w:cs="Times New Roman"/>
          <w:sz w:val="24"/>
          <w:szCs w:val="24"/>
          <w:lang w:val="en-US"/>
        </w:rPr>
        <w:t>trand</w:t>
      </w:r>
      <w:proofErr w:type="spellEnd"/>
      <w:r>
        <w:rPr>
          <w:rFonts w:ascii="Times New Roman" w:hAnsi="Times New Roman" w:cs="Times New Roman"/>
          <w:sz w:val="24"/>
          <w:szCs w:val="24"/>
          <w:lang w:val="en-US"/>
        </w:rPr>
        <w:t xml:space="preserve"> trade gravitational model</w:t>
      </w:r>
      <w:r w:rsidRPr="00AE769F">
        <w:rPr>
          <w:rFonts w:ascii="Times New Roman" w:hAnsi="Times New Roman" w:cs="Times New Roman"/>
          <w:sz w:val="24"/>
          <w:szCs w:val="24"/>
          <w:lang w:val="en-US"/>
        </w:rPr>
        <w:t>, but it is original by the use of the Commercial Complementarity Index as a dependent variable, which implies particularities of the present work compared to other studies bas</w:t>
      </w:r>
      <w:r>
        <w:rPr>
          <w:rFonts w:ascii="Times New Roman" w:hAnsi="Times New Roman" w:cs="Times New Roman"/>
          <w:sz w:val="24"/>
          <w:szCs w:val="24"/>
          <w:lang w:val="en-US"/>
        </w:rPr>
        <w:t>ed on the gravity model</w:t>
      </w:r>
      <w:r w:rsidRPr="00AE769F">
        <w:rPr>
          <w:rFonts w:ascii="Times New Roman" w:hAnsi="Times New Roman" w:cs="Times New Roman"/>
          <w:sz w:val="24"/>
          <w:szCs w:val="24"/>
          <w:lang w:val="en-US"/>
        </w:rPr>
        <w:t>. This paper presents the main experiences of regional economic blocs and their relation with the dynamics and regional competitiveness of the Brazilian region as the economic center of South America. The results suggest that the distance had a negative impact on the Brazilian commercial complementarity in the region, the Mercosur attraction variable accentuated the relations and commercial complementarity, in corroboration with the theory referring to the gravitational modeling of commerce.</w:t>
      </w:r>
    </w:p>
    <w:p w14:paraId="70EBA0F0" w14:textId="77777777" w:rsidR="00941827" w:rsidRDefault="00941827" w:rsidP="00941827">
      <w:pPr>
        <w:spacing w:after="0" w:line="240" w:lineRule="auto"/>
        <w:jc w:val="both"/>
        <w:rPr>
          <w:rFonts w:ascii="Times New Roman" w:hAnsi="Times New Roman" w:cs="Times New Roman"/>
          <w:sz w:val="24"/>
          <w:szCs w:val="24"/>
          <w:lang w:val="en-US"/>
        </w:rPr>
      </w:pPr>
    </w:p>
    <w:p w14:paraId="1A89FE24" w14:textId="77777777" w:rsidR="00941827" w:rsidRPr="00C978DF" w:rsidRDefault="00941827" w:rsidP="00941827">
      <w:pPr>
        <w:spacing w:after="0" w:line="240" w:lineRule="auto"/>
        <w:jc w:val="both"/>
        <w:rPr>
          <w:rFonts w:ascii="Times New Roman" w:hAnsi="Times New Roman" w:cs="Times New Roman"/>
          <w:sz w:val="24"/>
          <w:szCs w:val="24"/>
          <w:lang w:val="en-US"/>
        </w:rPr>
      </w:pPr>
      <w:r w:rsidRPr="00840D4B">
        <w:rPr>
          <w:rFonts w:ascii="Times New Roman" w:hAnsi="Times New Roman" w:cs="Times New Roman"/>
          <w:b/>
          <w:sz w:val="24"/>
          <w:szCs w:val="24"/>
          <w:lang w:val="en-US"/>
        </w:rPr>
        <w:t>Keywords:</w:t>
      </w:r>
      <w:r w:rsidRPr="00C978DF">
        <w:rPr>
          <w:rFonts w:ascii="Times New Roman" w:hAnsi="Times New Roman" w:cs="Times New Roman"/>
          <w:sz w:val="24"/>
          <w:szCs w:val="24"/>
          <w:lang w:val="en-US"/>
        </w:rPr>
        <w:t xml:space="preserve"> Trade Complementarity; Gravit</w:t>
      </w:r>
      <w:r>
        <w:rPr>
          <w:rFonts w:ascii="Times New Roman" w:hAnsi="Times New Roman" w:cs="Times New Roman"/>
          <w:sz w:val="24"/>
          <w:szCs w:val="24"/>
          <w:lang w:val="en-US"/>
        </w:rPr>
        <w:t>y</w:t>
      </w:r>
      <w:r w:rsidRPr="00C978DF">
        <w:rPr>
          <w:rFonts w:ascii="Times New Roman" w:hAnsi="Times New Roman" w:cs="Times New Roman"/>
          <w:sz w:val="24"/>
          <w:szCs w:val="24"/>
          <w:lang w:val="en-US"/>
        </w:rPr>
        <w:t xml:space="preserve"> model; Panel Data; High technological intensity.</w:t>
      </w:r>
    </w:p>
    <w:p w14:paraId="541166CD" w14:textId="3AE774BC" w:rsidR="00D77148" w:rsidRPr="00750C80" w:rsidRDefault="00941827" w:rsidP="00941827">
      <w:pPr>
        <w:spacing w:after="0" w:line="360" w:lineRule="auto"/>
        <w:jc w:val="both"/>
        <w:rPr>
          <w:rFonts w:ascii="Times New Roman" w:hAnsi="Times New Roman" w:cs="Times New Roman"/>
          <w:sz w:val="24"/>
          <w:szCs w:val="24"/>
        </w:rPr>
      </w:pPr>
      <w:r w:rsidRPr="00840D4B">
        <w:rPr>
          <w:rFonts w:ascii="Times New Roman" w:hAnsi="Times New Roman" w:cs="Times New Roman"/>
          <w:b/>
          <w:sz w:val="24"/>
          <w:szCs w:val="24"/>
        </w:rPr>
        <w:t>Classificação JEL:</w:t>
      </w:r>
      <w:r w:rsidRPr="005D0F05">
        <w:rPr>
          <w:rFonts w:ascii="Times New Roman" w:hAnsi="Times New Roman" w:cs="Times New Roman"/>
          <w:sz w:val="24"/>
          <w:szCs w:val="24"/>
        </w:rPr>
        <w:t xml:space="preserve"> A1, F00, N46, N56.</w:t>
      </w:r>
    </w:p>
    <w:p w14:paraId="3AA1A123" w14:textId="77777777" w:rsidR="00D77148" w:rsidRPr="00750C80" w:rsidRDefault="00D77148" w:rsidP="00C978DF">
      <w:pPr>
        <w:spacing w:after="0" w:line="360" w:lineRule="auto"/>
        <w:jc w:val="both"/>
        <w:rPr>
          <w:rFonts w:ascii="Times New Roman" w:hAnsi="Times New Roman" w:cs="Times New Roman"/>
          <w:sz w:val="24"/>
          <w:szCs w:val="24"/>
        </w:rPr>
      </w:pPr>
    </w:p>
    <w:p w14:paraId="77A7FD5F" w14:textId="77777777" w:rsidR="00081D07" w:rsidRPr="004F1586" w:rsidRDefault="00672482" w:rsidP="00C978DF">
      <w:pPr>
        <w:spacing w:after="0" w:line="360" w:lineRule="auto"/>
        <w:jc w:val="both"/>
        <w:rPr>
          <w:rFonts w:ascii="Times New Roman" w:hAnsi="Times New Roman" w:cs="Times New Roman"/>
          <w:b/>
          <w:sz w:val="24"/>
          <w:szCs w:val="24"/>
        </w:rPr>
      </w:pPr>
      <w:r w:rsidRPr="004F1586">
        <w:rPr>
          <w:rFonts w:ascii="Times New Roman" w:hAnsi="Times New Roman" w:cs="Times New Roman"/>
          <w:b/>
          <w:sz w:val="24"/>
          <w:szCs w:val="24"/>
        </w:rPr>
        <w:t>1. Introdução</w:t>
      </w:r>
    </w:p>
    <w:p w14:paraId="77A7FD60" w14:textId="77777777" w:rsidR="00D24777" w:rsidRPr="00750C80" w:rsidRDefault="00D24777" w:rsidP="00C978DF">
      <w:pPr>
        <w:spacing w:after="0" w:line="360" w:lineRule="auto"/>
        <w:jc w:val="both"/>
        <w:rPr>
          <w:rFonts w:ascii="Times New Roman" w:hAnsi="Times New Roman" w:cs="Times New Roman"/>
          <w:b/>
          <w:sz w:val="24"/>
          <w:szCs w:val="24"/>
        </w:rPr>
      </w:pPr>
    </w:p>
    <w:p w14:paraId="77A7FD62" w14:textId="79E1CB43" w:rsidR="00D24777" w:rsidRPr="00750C80" w:rsidRDefault="00CC49B8" w:rsidP="00015F82">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A dinâmica produtiva interna e a interdependência entre as economias em um contexto globalizado estão intrinsicamente relacionadas ao comércio internacional regional ou globalmente. Este é fruto da evolução </w:t>
      </w:r>
      <w:r w:rsidR="00D24777" w:rsidRPr="00750C80">
        <w:rPr>
          <w:rFonts w:ascii="Times New Roman" w:hAnsi="Times New Roman" w:cs="Times New Roman"/>
          <w:sz w:val="24"/>
          <w:szCs w:val="24"/>
        </w:rPr>
        <w:t>das próprias economias, como via para dinamizar os mercados e estabelecer ganhos comerciais mútuos.</w:t>
      </w:r>
      <w:r w:rsidR="00015F82" w:rsidRPr="00750C80">
        <w:rPr>
          <w:rFonts w:ascii="Times New Roman" w:hAnsi="Times New Roman" w:cs="Times New Roman"/>
          <w:sz w:val="24"/>
          <w:szCs w:val="24"/>
        </w:rPr>
        <w:t xml:space="preserve"> A propagação do ideal das vantagens comparativas, de Ricardo (1996), como norte para políticas econômicas latino-americanas </w:t>
      </w:r>
      <w:r w:rsidR="00015F82" w:rsidRPr="00750C80">
        <w:rPr>
          <w:rFonts w:ascii="Times New Roman" w:hAnsi="Times New Roman" w:cs="Times New Roman"/>
          <w:sz w:val="24"/>
          <w:szCs w:val="24"/>
        </w:rPr>
        <w:lastRenderedPageBreak/>
        <w:t>agravou sua situação primário-exportadora e perpetuou fragilidades em termos estruturais (FURTADO, 1974).</w:t>
      </w:r>
    </w:p>
    <w:p w14:paraId="77A7FD63" w14:textId="7F3816F8" w:rsidR="00FB1A40" w:rsidRPr="00750C80" w:rsidRDefault="00F428CB"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r w:rsidR="00015F82" w:rsidRPr="00750C80">
        <w:rPr>
          <w:rFonts w:ascii="Times New Roman" w:hAnsi="Times New Roman" w:cs="Times New Roman"/>
          <w:sz w:val="24"/>
          <w:szCs w:val="24"/>
        </w:rPr>
        <w:t>Sob a sugestão política de Prebisch (1959) de industrialização em processo de substituição regional de importações (PSRI), o</w:t>
      </w:r>
      <w:r w:rsidRPr="00750C80">
        <w:rPr>
          <w:rFonts w:ascii="Times New Roman" w:hAnsi="Times New Roman" w:cs="Times New Roman"/>
          <w:sz w:val="24"/>
          <w:szCs w:val="24"/>
        </w:rPr>
        <w:t xml:space="preserve"> Brasil buscou</w:t>
      </w:r>
      <w:r w:rsidR="00D24777" w:rsidRPr="00750C80">
        <w:rPr>
          <w:rFonts w:ascii="Times New Roman" w:hAnsi="Times New Roman" w:cs="Times New Roman"/>
          <w:sz w:val="24"/>
          <w:szCs w:val="24"/>
        </w:rPr>
        <w:t xml:space="preserve"> intensificar as relações de comércio regionais na América Latina a partir da segunda metade do século XX, paralelo ao seu processo de industrialização </w:t>
      </w:r>
      <w:r w:rsidR="00015F82" w:rsidRPr="00750C80">
        <w:rPr>
          <w:rFonts w:ascii="Times New Roman" w:hAnsi="Times New Roman" w:cs="Times New Roman"/>
          <w:sz w:val="24"/>
          <w:szCs w:val="24"/>
        </w:rPr>
        <w:t>substitutiva</w:t>
      </w:r>
      <w:r w:rsidR="00D24777" w:rsidRPr="00750C80">
        <w:rPr>
          <w:rFonts w:ascii="Times New Roman" w:hAnsi="Times New Roman" w:cs="Times New Roman"/>
          <w:sz w:val="24"/>
          <w:szCs w:val="24"/>
        </w:rPr>
        <w:t>.</w:t>
      </w:r>
      <w:r w:rsidRPr="00750C80">
        <w:rPr>
          <w:rFonts w:ascii="Times New Roman" w:hAnsi="Times New Roman" w:cs="Times New Roman"/>
          <w:sz w:val="24"/>
          <w:szCs w:val="24"/>
        </w:rPr>
        <w:t xml:space="preserve"> </w:t>
      </w:r>
      <w:r w:rsidR="00FB1A40" w:rsidRPr="00750C80">
        <w:rPr>
          <w:rFonts w:ascii="Times New Roman" w:hAnsi="Times New Roman" w:cs="Times New Roman"/>
          <w:sz w:val="24"/>
          <w:szCs w:val="24"/>
        </w:rPr>
        <w:t>A proposta cepalina</w:t>
      </w:r>
      <w:r w:rsidR="00FB1A40" w:rsidRPr="00750C80">
        <w:rPr>
          <w:rStyle w:val="Refdenotaderodap"/>
          <w:rFonts w:ascii="Times New Roman" w:hAnsi="Times New Roman" w:cs="Times New Roman"/>
          <w:sz w:val="24"/>
          <w:szCs w:val="24"/>
        </w:rPr>
        <w:footnoteReference w:id="4"/>
      </w:r>
      <w:r w:rsidR="00FB1A40" w:rsidRPr="00750C80">
        <w:rPr>
          <w:rFonts w:ascii="Times New Roman" w:hAnsi="Times New Roman" w:cs="Times New Roman"/>
          <w:sz w:val="24"/>
          <w:szCs w:val="24"/>
        </w:rPr>
        <w:t xml:space="preserve"> se deu pelo entendimento do impacto negativo da deterioração dos termos de troca sobre a estrutura das economias latino-americanas e sua situação de subdesenvolvimento. Por conseguinte, a industrialização e integração econômica regional se postaram como vias de escape às relações estabelecidas em vantagens comparativas como exportadores de </w:t>
      </w:r>
      <w:r w:rsidR="00FB1A40" w:rsidRPr="00750C80">
        <w:rPr>
          <w:rFonts w:ascii="Times New Roman" w:hAnsi="Times New Roman" w:cs="Times New Roman"/>
          <w:i/>
          <w:sz w:val="24"/>
          <w:szCs w:val="24"/>
        </w:rPr>
        <w:t>commodities</w:t>
      </w:r>
      <w:r w:rsidR="00FB1A40" w:rsidRPr="00750C80">
        <w:rPr>
          <w:rFonts w:ascii="Times New Roman" w:hAnsi="Times New Roman" w:cs="Times New Roman"/>
          <w:sz w:val="24"/>
          <w:szCs w:val="24"/>
        </w:rPr>
        <w:t xml:space="preserve"> aos países centrais (PREBISCH, 1949).</w:t>
      </w:r>
    </w:p>
    <w:p w14:paraId="77A7FD64" w14:textId="56DC575A" w:rsidR="00D24777" w:rsidRPr="00750C80" w:rsidRDefault="00D2477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Este trabalho se propõe </w:t>
      </w:r>
      <w:r w:rsidR="00A17DD7" w:rsidRPr="00750C80">
        <w:rPr>
          <w:rFonts w:ascii="Times New Roman" w:hAnsi="Times New Roman" w:cs="Times New Roman"/>
          <w:sz w:val="24"/>
          <w:szCs w:val="24"/>
        </w:rPr>
        <w:t>a adequar</w:t>
      </w:r>
      <w:r w:rsidRPr="00750C80">
        <w:rPr>
          <w:rFonts w:ascii="Times New Roman" w:hAnsi="Times New Roman" w:cs="Times New Roman"/>
          <w:sz w:val="24"/>
          <w:szCs w:val="24"/>
        </w:rPr>
        <w:t xml:space="preserve"> duas vertentes contemporâneas contrastantes na análise teórica do comércio internacional, com enfoque nas vantagens comparativas. Por um lado, a visão estrutural, </w:t>
      </w:r>
      <w:r w:rsidR="00015F82" w:rsidRPr="00750C80">
        <w:rPr>
          <w:rFonts w:ascii="Times New Roman" w:hAnsi="Times New Roman" w:cs="Times New Roman"/>
          <w:sz w:val="24"/>
          <w:szCs w:val="24"/>
        </w:rPr>
        <w:t xml:space="preserve">defendida pela CEPAL </w:t>
      </w:r>
      <w:r w:rsidRPr="00750C80">
        <w:rPr>
          <w:rFonts w:ascii="Times New Roman" w:hAnsi="Times New Roman" w:cs="Times New Roman"/>
          <w:sz w:val="24"/>
          <w:szCs w:val="24"/>
        </w:rPr>
        <w:t xml:space="preserve">em crítica ao posicionamento </w:t>
      </w:r>
      <w:r w:rsidR="00015F82" w:rsidRPr="00750C80">
        <w:rPr>
          <w:rFonts w:ascii="Times New Roman" w:hAnsi="Times New Roman" w:cs="Times New Roman"/>
          <w:sz w:val="24"/>
          <w:szCs w:val="24"/>
        </w:rPr>
        <w:t>de Ricardo</w:t>
      </w:r>
      <w:r w:rsidRPr="00750C80">
        <w:rPr>
          <w:rFonts w:ascii="Times New Roman" w:hAnsi="Times New Roman" w:cs="Times New Roman"/>
          <w:sz w:val="24"/>
          <w:szCs w:val="24"/>
        </w:rPr>
        <w:t xml:space="preserve"> e por outro</w:t>
      </w:r>
      <w:r w:rsidR="00015F82" w:rsidRPr="00750C80">
        <w:rPr>
          <w:rFonts w:ascii="Times New Roman" w:hAnsi="Times New Roman" w:cs="Times New Roman"/>
          <w:sz w:val="24"/>
          <w:szCs w:val="24"/>
        </w:rPr>
        <w:t xml:space="preserve"> lado</w:t>
      </w:r>
      <w:r w:rsidRPr="00750C80">
        <w:rPr>
          <w:rFonts w:ascii="Times New Roman" w:hAnsi="Times New Roman" w:cs="Times New Roman"/>
          <w:sz w:val="24"/>
          <w:szCs w:val="24"/>
        </w:rPr>
        <w:t>, a formalização e avanço conceitual na teoria ricardiana das vantagens comparativas, com Balassa</w:t>
      </w:r>
      <w:r w:rsidR="00A827CE" w:rsidRPr="00750C80">
        <w:rPr>
          <w:rFonts w:ascii="Times New Roman" w:hAnsi="Times New Roman" w:cs="Times New Roman"/>
          <w:sz w:val="24"/>
          <w:szCs w:val="24"/>
        </w:rPr>
        <w:t xml:space="preserve"> (1965)</w:t>
      </w:r>
      <w:r w:rsidRPr="00750C80">
        <w:rPr>
          <w:rFonts w:ascii="Times New Roman" w:hAnsi="Times New Roman" w:cs="Times New Roman"/>
          <w:sz w:val="24"/>
          <w:szCs w:val="24"/>
        </w:rPr>
        <w:t>. Carneiro (2014) defende que há complementaridade comercial entre dois países se há concentração entre suas pautas de exportação e importação, comparativo ao agregado de suas relações. Deste modo, há complementaridade comercial entre ambos quando um apresenta vantagem comparativa revelada (VCR) e, o outro, desvantagem comparativa revelada (DCR), para dado conjunto de bens.</w:t>
      </w:r>
    </w:p>
    <w:p w14:paraId="77A7FD65" w14:textId="77777777" w:rsidR="00843214" w:rsidRPr="00750C80" w:rsidRDefault="00843214"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Hausmann, Rodrik e Huang (2007) estabelecem relação direta entre especialização em exportações de </w:t>
      </w:r>
      <w:r w:rsidR="00A17DD7" w:rsidRPr="00750C80">
        <w:rPr>
          <w:rFonts w:ascii="Times New Roman" w:hAnsi="Times New Roman" w:cs="Times New Roman"/>
          <w:sz w:val="24"/>
          <w:szCs w:val="24"/>
        </w:rPr>
        <w:t>maior intensidade tecnológica e</w:t>
      </w:r>
      <w:r w:rsidRPr="00750C80">
        <w:rPr>
          <w:rFonts w:ascii="Times New Roman" w:hAnsi="Times New Roman" w:cs="Times New Roman"/>
          <w:sz w:val="24"/>
          <w:szCs w:val="24"/>
        </w:rPr>
        <w:t xml:space="preserve"> mudança estrutural dos países, de tal modo que dedica-se maior atenção à capacidade exportadora de bens de alta intensidade tecnológica do Brasil para a América do Sul</w:t>
      </w:r>
      <w:r w:rsidR="002812F6" w:rsidRPr="00750C80">
        <w:rPr>
          <w:rFonts w:ascii="Times New Roman" w:hAnsi="Times New Roman" w:cs="Times New Roman"/>
          <w:sz w:val="24"/>
          <w:szCs w:val="24"/>
        </w:rPr>
        <w:t xml:space="preserve"> a partir das políticas de integração propostas pela CEPAL ao longo do século XX.</w:t>
      </w:r>
    </w:p>
    <w:p w14:paraId="77A7FD66" w14:textId="112C6BA3" w:rsidR="00D24777" w:rsidRPr="00750C80" w:rsidRDefault="00D2477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Intenta-se compreender as condicionantes da complementaridade comercial brasileira na </w:t>
      </w:r>
      <w:r w:rsidR="002812F6" w:rsidRPr="00750C80">
        <w:rPr>
          <w:rFonts w:ascii="Times New Roman" w:hAnsi="Times New Roman" w:cs="Times New Roman"/>
          <w:sz w:val="24"/>
          <w:szCs w:val="24"/>
        </w:rPr>
        <w:t>América do Sul entre 1970 e 2010</w:t>
      </w:r>
      <w:r w:rsidRPr="00750C80">
        <w:rPr>
          <w:rFonts w:ascii="Times New Roman" w:hAnsi="Times New Roman" w:cs="Times New Roman"/>
          <w:sz w:val="24"/>
          <w:szCs w:val="24"/>
        </w:rPr>
        <w:t>, respaldando a relação entre posturas regionalistas adotadas pelo Brasil, e ganh</w:t>
      </w:r>
      <w:r w:rsidR="00015F82" w:rsidRPr="00750C80">
        <w:rPr>
          <w:rFonts w:ascii="Times New Roman" w:hAnsi="Times New Roman" w:cs="Times New Roman"/>
          <w:sz w:val="24"/>
          <w:szCs w:val="24"/>
        </w:rPr>
        <w:t>os de competitividade na região</w:t>
      </w:r>
      <w:r w:rsidRPr="00750C80">
        <w:rPr>
          <w:rFonts w:ascii="Times New Roman" w:hAnsi="Times New Roman" w:cs="Times New Roman"/>
          <w:sz w:val="24"/>
          <w:szCs w:val="24"/>
        </w:rPr>
        <w:t xml:space="preserve"> para o setor de </w:t>
      </w:r>
      <w:r w:rsidR="00CF47E2" w:rsidRPr="00750C80">
        <w:rPr>
          <w:rFonts w:ascii="Times New Roman" w:hAnsi="Times New Roman" w:cs="Times New Roman"/>
          <w:sz w:val="24"/>
          <w:szCs w:val="24"/>
        </w:rPr>
        <w:t>alta intensidade tecnológica</w:t>
      </w:r>
      <w:r w:rsidRPr="00750C80">
        <w:rPr>
          <w:rFonts w:ascii="Times New Roman" w:hAnsi="Times New Roman" w:cs="Times New Roman"/>
          <w:sz w:val="24"/>
          <w:szCs w:val="24"/>
        </w:rPr>
        <w:t>.</w:t>
      </w:r>
      <w:r w:rsidR="00646E05" w:rsidRPr="00750C80">
        <w:rPr>
          <w:rFonts w:ascii="Times New Roman" w:hAnsi="Times New Roman" w:cs="Times New Roman"/>
          <w:sz w:val="24"/>
          <w:szCs w:val="24"/>
        </w:rPr>
        <w:t xml:space="preserve"> </w:t>
      </w:r>
      <w:r w:rsidRPr="00750C80">
        <w:rPr>
          <w:rFonts w:ascii="Times New Roman" w:hAnsi="Times New Roman" w:cs="Times New Roman"/>
          <w:sz w:val="24"/>
          <w:szCs w:val="24"/>
        </w:rPr>
        <w:t xml:space="preserve">Utiliza-se como base o modelo gravitacional, dada sua capacidade de relacionar </w:t>
      </w:r>
      <w:r w:rsidR="001859CE" w:rsidRPr="00750C80">
        <w:rPr>
          <w:rFonts w:ascii="Times New Roman" w:hAnsi="Times New Roman" w:cs="Times New Roman"/>
          <w:sz w:val="24"/>
          <w:szCs w:val="24"/>
        </w:rPr>
        <w:t>a dinâmica comercial</w:t>
      </w:r>
      <w:r w:rsidRPr="00750C80">
        <w:rPr>
          <w:rFonts w:ascii="Times New Roman" w:hAnsi="Times New Roman" w:cs="Times New Roman"/>
          <w:sz w:val="24"/>
          <w:szCs w:val="24"/>
        </w:rPr>
        <w:t xml:space="preserve"> em dado mercado regional à disposição geográfica dos agentes, a considerar a distância e</w:t>
      </w:r>
      <w:r w:rsidR="00A17DD7" w:rsidRPr="00750C80">
        <w:rPr>
          <w:rFonts w:ascii="Times New Roman" w:hAnsi="Times New Roman" w:cs="Times New Roman"/>
          <w:sz w:val="24"/>
          <w:szCs w:val="24"/>
        </w:rPr>
        <w:t xml:space="preserve"> a</w:t>
      </w:r>
      <w:r w:rsidRPr="00750C80">
        <w:rPr>
          <w:rFonts w:ascii="Times New Roman" w:hAnsi="Times New Roman" w:cs="Times New Roman"/>
          <w:sz w:val="24"/>
          <w:szCs w:val="24"/>
        </w:rPr>
        <w:t xml:space="preserve"> capacidade de atração entre eles. Por outra via, emprega-se o modelo </w:t>
      </w:r>
      <w:r w:rsidRPr="00750C80">
        <w:rPr>
          <w:rFonts w:ascii="Times New Roman" w:hAnsi="Times New Roman" w:cs="Times New Roman"/>
          <w:sz w:val="24"/>
          <w:szCs w:val="24"/>
        </w:rPr>
        <w:lastRenderedPageBreak/>
        <w:t>com dados em painel pela possibilidade de análise conjunta dos diversos sujeitos ao longo do período analisado.</w:t>
      </w:r>
    </w:p>
    <w:p w14:paraId="77A7FD67" w14:textId="69D019ED" w:rsidR="00D24777" w:rsidRPr="00750C80" w:rsidRDefault="00D2477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Há avanço metodológico para a literatura na utilização da equação gravitacional</w:t>
      </w:r>
      <w:r w:rsidR="00015F82" w:rsidRPr="00750C80">
        <w:rPr>
          <w:rFonts w:ascii="Times New Roman" w:hAnsi="Times New Roman" w:cs="Times New Roman"/>
          <w:sz w:val="24"/>
          <w:szCs w:val="24"/>
        </w:rPr>
        <w:t xml:space="preserve"> em dados em painel</w:t>
      </w:r>
      <w:r w:rsidRPr="00750C80">
        <w:rPr>
          <w:rFonts w:ascii="Times New Roman" w:hAnsi="Times New Roman" w:cs="Times New Roman"/>
          <w:sz w:val="24"/>
          <w:szCs w:val="24"/>
        </w:rPr>
        <w:t xml:space="preserve"> para explicar a tendência de complementaridade comercial brasileira na América do Sul. Há avanço teórico pela utilização conjunta de teorias clássicas de comércio internacional e teorias contemporâneas, respaldado na análise teórica e histórica da CEPAL da industrialização</w:t>
      </w:r>
      <w:r w:rsidR="00015F82" w:rsidRPr="00750C80">
        <w:rPr>
          <w:rFonts w:ascii="Times New Roman" w:hAnsi="Times New Roman" w:cs="Times New Roman"/>
          <w:sz w:val="24"/>
          <w:szCs w:val="24"/>
        </w:rPr>
        <w:t xml:space="preserve"> para a América Latina</w:t>
      </w:r>
      <w:r w:rsidRPr="00750C80">
        <w:rPr>
          <w:rFonts w:ascii="Times New Roman" w:hAnsi="Times New Roman" w:cs="Times New Roman"/>
          <w:sz w:val="24"/>
          <w:szCs w:val="24"/>
        </w:rPr>
        <w:t xml:space="preserve"> via comércio exterior.</w:t>
      </w:r>
      <w:r w:rsidR="001859CE" w:rsidRPr="00750C80">
        <w:rPr>
          <w:rFonts w:ascii="Times New Roman" w:hAnsi="Times New Roman" w:cs="Times New Roman"/>
          <w:sz w:val="24"/>
          <w:szCs w:val="24"/>
        </w:rPr>
        <w:t xml:space="preserve"> Ademais, avança-se em relação à literatura sobre modelos gravitacionais de comércio, na medida em que se propõe a compreender as condicionantes da complementaridade comercial em detrimento do estudo dos fluxos de comércio como variável dependente, o que revela um diferencial do trabalho aqui disposto.</w:t>
      </w:r>
    </w:p>
    <w:p w14:paraId="77A7FD68" w14:textId="66863D99" w:rsidR="00D24777" w:rsidRPr="00750C80" w:rsidRDefault="00D2477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O trabalho se dispõe de cinco seções, além da </w:t>
      </w:r>
      <w:r w:rsidR="00CF47E2" w:rsidRPr="00750C80">
        <w:rPr>
          <w:rFonts w:ascii="Times New Roman" w:hAnsi="Times New Roman" w:cs="Times New Roman"/>
          <w:sz w:val="24"/>
          <w:szCs w:val="24"/>
        </w:rPr>
        <w:t>introdução e conclusão</w:t>
      </w:r>
      <w:r w:rsidRPr="00750C80">
        <w:rPr>
          <w:rFonts w:ascii="Times New Roman" w:hAnsi="Times New Roman" w:cs="Times New Roman"/>
          <w:sz w:val="24"/>
          <w:szCs w:val="24"/>
        </w:rPr>
        <w:t>. Primeiramente, são discutidas as principais bases teóricas referentes ao comércio internacional e processos de integração econômica internacional. Em seguida faz-se uma retrospectiva histórica do processo de industrialização brasileira por meio de integração regional na América do Sul, em associação d</w:t>
      </w:r>
      <w:r w:rsidR="00CF329F" w:rsidRPr="00750C80">
        <w:rPr>
          <w:rFonts w:ascii="Times New Roman" w:hAnsi="Times New Roman" w:cs="Times New Roman"/>
          <w:sz w:val="24"/>
          <w:szCs w:val="24"/>
        </w:rPr>
        <w:t>ireta entre os dois processos (Seção 2). Na S</w:t>
      </w:r>
      <w:r w:rsidRPr="00750C80">
        <w:rPr>
          <w:rFonts w:ascii="Times New Roman" w:hAnsi="Times New Roman" w:cs="Times New Roman"/>
          <w:sz w:val="24"/>
          <w:szCs w:val="24"/>
        </w:rPr>
        <w:t>eção 3 é exposta a metodologia de trabalho, considerando definição do Índice de Complementaridade Comercial, exposição do modelo gravitacional de comércio internacional e as características do modelo aqui adotado. Na Seção 4 apresentam-se os procedimentos econométricos de dados em painel. Por fim, na Seção 5 expõem-se a análise dos resultados da complementaridade comercial e do modelo econométrico proposto.</w:t>
      </w:r>
    </w:p>
    <w:p w14:paraId="4EEA334C" w14:textId="77777777" w:rsidR="00941827" w:rsidRDefault="00941827" w:rsidP="00C978DF">
      <w:pPr>
        <w:spacing w:after="0" w:line="360" w:lineRule="auto"/>
        <w:jc w:val="both"/>
        <w:rPr>
          <w:rFonts w:ascii="Times New Roman" w:hAnsi="Times New Roman" w:cs="Times New Roman"/>
          <w:b/>
          <w:sz w:val="24"/>
          <w:szCs w:val="24"/>
        </w:rPr>
      </w:pPr>
    </w:p>
    <w:p w14:paraId="77A7FD6A" w14:textId="3D686DB0" w:rsidR="00803CB4" w:rsidRPr="004F1586" w:rsidRDefault="00941827" w:rsidP="00C978D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 Aporte t</w:t>
      </w:r>
      <w:r w:rsidR="00672482" w:rsidRPr="004F1586">
        <w:rPr>
          <w:rFonts w:ascii="Times New Roman" w:hAnsi="Times New Roman" w:cs="Times New Roman"/>
          <w:b/>
          <w:sz w:val="24"/>
          <w:szCs w:val="24"/>
        </w:rPr>
        <w:t>eórico</w:t>
      </w:r>
    </w:p>
    <w:p w14:paraId="77A7FD6B" w14:textId="77777777" w:rsidR="00851BA8" w:rsidRPr="00750C80" w:rsidRDefault="00851BA8" w:rsidP="00C978DF">
      <w:pPr>
        <w:spacing w:after="0" w:line="360" w:lineRule="auto"/>
        <w:jc w:val="both"/>
        <w:rPr>
          <w:rFonts w:ascii="Times New Roman" w:hAnsi="Times New Roman" w:cs="Times New Roman"/>
          <w:b/>
          <w:sz w:val="24"/>
          <w:szCs w:val="24"/>
        </w:rPr>
      </w:pPr>
    </w:p>
    <w:p w14:paraId="77A7FD6C" w14:textId="7C0EB91A" w:rsidR="00851BA8" w:rsidRPr="00750C80" w:rsidRDefault="00851BA8"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 xml:space="preserve">2.1 </w:t>
      </w:r>
      <w:r w:rsidR="005D0F05" w:rsidRPr="00750C80">
        <w:rPr>
          <w:rFonts w:ascii="Times New Roman" w:hAnsi="Times New Roman" w:cs="Times New Roman"/>
          <w:sz w:val="24"/>
          <w:szCs w:val="24"/>
        </w:rPr>
        <w:t>Aspectos teóricos da integração econômica regional</w:t>
      </w:r>
    </w:p>
    <w:p w14:paraId="77A7FD6D" w14:textId="77777777" w:rsidR="00851BA8" w:rsidRPr="00750C80" w:rsidRDefault="00851BA8"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 xml:space="preserve"> </w:t>
      </w:r>
    </w:p>
    <w:p w14:paraId="77A7FD6E" w14:textId="544C9FD4" w:rsidR="00D24777" w:rsidRPr="00750C80" w:rsidRDefault="00D24777"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A </w:t>
      </w:r>
      <w:r w:rsidR="001859CE" w:rsidRPr="00750C80">
        <w:rPr>
          <w:rFonts w:ascii="Times New Roman" w:hAnsi="Times New Roman" w:cs="Times New Roman"/>
          <w:sz w:val="24"/>
          <w:szCs w:val="24"/>
        </w:rPr>
        <w:t xml:space="preserve">perspectiva </w:t>
      </w:r>
      <w:r w:rsidRPr="00750C80">
        <w:rPr>
          <w:rFonts w:ascii="Times New Roman" w:hAnsi="Times New Roman" w:cs="Times New Roman"/>
          <w:sz w:val="24"/>
          <w:szCs w:val="24"/>
        </w:rPr>
        <w:t xml:space="preserve">clássica acerca das vantagens do livre comércio </w:t>
      </w:r>
      <w:r w:rsidR="00CF329F" w:rsidRPr="00750C80">
        <w:rPr>
          <w:rFonts w:ascii="Times New Roman" w:hAnsi="Times New Roman" w:cs="Times New Roman"/>
          <w:sz w:val="24"/>
          <w:szCs w:val="24"/>
        </w:rPr>
        <w:t>principiou-se</w:t>
      </w:r>
      <w:r w:rsidRPr="00750C80">
        <w:rPr>
          <w:rFonts w:ascii="Times New Roman" w:hAnsi="Times New Roman" w:cs="Times New Roman"/>
          <w:sz w:val="24"/>
          <w:szCs w:val="24"/>
        </w:rPr>
        <w:t xml:space="preserve"> no entendimento de vantagens absolutas, com Smith (1996</w:t>
      </w:r>
      <w:r w:rsidR="00A17DD7" w:rsidRPr="00750C80">
        <w:rPr>
          <w:rFonts w:ascii="Times New Roman" w:hAnsi="Times New Roman" w:cs="Times New Roman"/>
          <w:sz w:val="24"/>
          <w:szCs w:val="24"/>
        </w:rPr>
        <w:t xml:space="preserve">). De acordo com essa explanação, </w:t>
      </w:r>
      <w:r w:rsidRPr="00750C80">
        <w:rPr>
          <w:rFonts w:ascii="Times New Roman" w:hAnsi="Times New Roman" w:cs="Times New Roman"/>
          <w:sz w:val="24"/>
          <w:szCs w:val="24"/>
        </w:rPr>
        <w:t>um país detinha vantagens absolutas em comércio internacional ao dedicar-se à exportação do conjunto de bens dos quais dispunha maior compe</w:t>
      </w:r>
      <w:r w:rsidR="00E55634" w:rsidRPr="00750C80">
        <w:rPr>
          <w:rFonts w:ascii="Times New Roman" w:hAnsi="Times New Roman" w:cs="Times New Roman"/>
          <w:sz w:val="24"/>
          <w:szCs w:val="24"/>
        </w:rPr>
        <w:t xml:space="preserve">titividade, em termos globais. </w:t>
      </w:r>
      <w:r w:rsidR="00A827CE" w:rsidRPr="00750C80">
        <w:rPr>
          <w:rFonts w:ascii="Times New Roman" w:hAnsi="Times New Roman" w:cs="Times New Roman"/>
          <w:sz w:val="24"/>
          <w:szCs w:val="24"/>
        </w:rPr>
        <w:t>Já o trabalho</w:t>
      </w:r>
      <w:r w:rsidRPr="00750C80">
        <w:rPr>
          <w:rFonts w:ascii="Times New Roman" w:hAnsi="Times New Roman" w:cs="Times New Roman"/>
          <w:sz w:val="24"/>
          <w:szCs w:val="24"/>
        </w:rPr>
        <w:t xml:space="preserve"> de Ricardo (1996), acrescenta</w:t>
      </w:r>
      <w:r w:rsidR="00E55634" w:rsidRPr="00750C80">
        <w:rPr>
          <w:rFonts w:ascii="Times New Roman" w:hAnsi="Times New Roman" w:cs="Times New Roman"/>
          <w:sz w:val="24"/>
          <w:szCs w:val="24"/>
        </w:rPr>
        <w:t xml:space="preserve"> a concepção de teo</w:t>
      </w:r>
      <w:r w:rsidR="00CF329F" w:rsidRPr="00750C80">
        <w:rPr>
          <w:rFonts w:ascii="Times New Roman" w:hAnsi="Times New Roman" w:cs="Times New Roman"/>
          <w:sz w:val="24"/>
          <w:szCs w:val="24"/>
        </w:rPr>
        <w:t xml:space="preserve">ria das vantagens comparativas </w:t>
      </w:r>
      <w:r w:rsidR="00E55634" w:rsidRPr="00750C80">
        <w:rPr>
          <w:rFonts w:ascii="Times New Roman" w:hAnsi="Times New Roman" w:cs="Times New Roman"/>
          <w:sz w:val="24"/>
          <w:szCs w:val="24"/>
        </w:rPr>
        <w:t xml:space="preserve">como uma </w:t>
      </w:r>
      <w:r w:rsidRPr="00750C80">
        <w:rPr>
          <w:rFonts w:ascii="Times New Roman" w:hAnsi="Times New Roman" w:cs="Times New Roman"/>
          <w:sz w:val="24"/>
          <w:szCs w:val="24"/>
        </w:rPr>
        <w:t xml:space="preserve">relação de custos de oportunidade na definição do bem principal da pauta de exportações. A concentração seria tão maior quanto maior a perda de competitividade advinda da diversificação produtiva e comercial. Assim, o país </w:t>
      </w:r>
      <w:r w:rsidR="00A17DD7" w:rsidRPr="00750C80">
        <w:rPr>
          <w:rFonts w:ascii="Times New Roman" w:hAnsi="Times New Roman" w:cs="Times New Roman"/>
          <w:sz w:val="24"/>
          <w:szCs w:val="24"/>
        </w:rPr>
        <w:t>se dedicaria</w:t>
      </w:r>
      <w:r w:rsidRPr="00750C80">
        <w:rPr>
          <w:rFonts w:ascii="Times New Roman" w:hAnsi="Times New Roman" w:cs="Times New Roman"/>
          <w:sz w:val="24"/>
          <w:szCs w:val="24"/>
        </w:rPr>
        <w:t xml:space="preserve"> a importação dos bens cuja competitividad</w:t>
      </w:r>
      <w:r w:rsidR="00A17DD7" w:rsidRPr="00750C80">
        <w:rPr>
          <w:rFonts w:ascii="Times New Roman" w:hAnsi="Times New Roman" w:cs="Times New Roman"/>
          <w:sz w:val="24"/>
          <w:szCs w:val="24"/>
        </w:rPr>
        <w:t xml:space="preserve">e </w:t>
      </w:r>
      <w:r w:rsidR="00A17DD7" w:rsidRPr="00750C80">
        <w:rPr>
          <w:rFonts w:ascii="Times New Roman" w:hAnsi="Times New Roman" w:cs="Times New Roman"/>
          <w:sz w:val="24"/>
          <w:szCs w:val="24"/>
        </w:rPr>
        <w:lastRenderedPageBreak/>
        <w:t>fosse menos significativa. Ess</w:t>
      </w:r>
      <w:r w:rsidRPr="00750C80">
        <w:rPr>
          <w:rFonts w:ascii="Times New Roman" w:hAnsi="Times New Roman" w:cs="Times New Roman"/>
          <w:sz w:val="24"/>
          <w:szCs w:val="24"/>
        </w:rPr>
        <w:t xml:space="preserve">e pensamento norteou os principais avanços teóricos alusivos ao comércio internacional. </w:t>
      </w:r>
    </w:p>
    <w:p w14:paraId="77A7FD6F" w14:textId="0C038375" w:rsidR="00D24777" w:rsidRPr="00750C80" w:rsidRDefault="00D2477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B</w:t>
      </w:r>
      <w:r w:rsidR="00CF329F" w:rsidRPr="00750C80">
        <w:rPr>
          <w:rFonts w:ascii="Times New Roman" w:hAnsi="Times New Roman" w:cs="Times New Roman"/>
          <w:sz w:val="24"/>
          <w:szCs w:val="24"/>
        </w:rPr>
        <w:t>ielschowsky (2010)</w:t>
      </w:r>
      <w:r w:rsidRPr="00750C80">
        <w:rPr>
          <w:rFonts w:ascii="Times New Roman" w:hAnsi="Times New Roman" w:cs="Times New Roman"/>
          <w:sz w:val="24"/>
          <w:szCs w:val="24"/>
        </w:rPr>
        <w:t xml:space="preserve"> contrapõe a teoria das vantagens comparativas ao afirmar que a liberalização comercial na América Latina tende a agravar a deterioração dos termos de troca das economias com caráter agroexportador. A intensificação do comércio, pautado na exportação de produtos primários, de baixo valor agregado, e importação de alta tecnologia tenderia a agravar a precariedade das economias latino-americanas, num processo de difusão desigual do progresso técnico entre as economias centrais e periféricas.</w:t>
      </w:r>
    </w:p>
    <w:p w14:paraId="77A7FD70" w14:textId="77777777" w:rsidR="00D24777" w:rsidRPr="00750C80" w:rsidRDefault="00D2477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Fonseca (2003) afirma que o processo de industrialização </w:t>
      </w:r>
      <w:r w:rsidR="00A17DD7" w:rsidRPr="00750C80">
        <w:rPr>
          <w:rFonts w:ascii="Times New Roman" w:hAnsi="Times New Roman" w:cs="Times New Roman"/>
          <w:sz w:val="24"/>
          <w:szCs w:val="24"/>
        </w:rPr>
        <w:t>no Brasil</w:t>
      </w:r>
      <w:r w:rsidRPr="00750C80">
        <w:rPr>
          <w:rFonts w:ascii="Times New Roman" w:hAnsi="Times New Roman" w:cs="Times New Roman"/>
          <w:sz w:val="24"/>
          <w:szCs w:val="24"/>
        </w:rPr>
        <w:t xml:space="preserve"> ocorreu de modo intensificado na primeira metade do século XX, por meio do PSI, quando a indústria passou a guiar a dinâmica dos processos produtivos nacionais, sob enfática posição do Estado. Gert (1991) assinala a importância do PSI a nível regional na América Latina, em sua capacidade de associar políticas estratégicas de “industrialização para dentro” a ganhos de economia de escala, em detrimento do regime fechado ao mercado nacional.</w:t>
      </w:r>
    </w:p>
    <w:p w14:paraId="77A7FD71" w14:textId="77777777" w:rsidR="00D24777" w:rsidRPr="00750C80" w:rsidRDefault="00D2477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A conformidade de processos regionalistas fechados condiz com a intenção de industrialização por meio da integração de frágeis economias nacionais na região. Prazeres (2007) define processos regionalistas</w:t>
      </w:r>
      <w:r w:rsidR="005E0E9A" w:rsidRPr="00750C80">
        <w:rPr>
          <w:rFonts w:ascii="Times New Roman" w:hAnsi="Times New Roman" w:cs="Times New Roman"/>
          <w:sz w:val="24"/>
          <w:szCs w:val="24"/>
        </w:rPr>
        <w:t xml:space="preserve"> como arranjos cooperativos com</w:t>
      </w:r>
      <w:r w:rsidRPr="00750C80">
        <w:rPr>
          <w:rFonts w:ascii="Times New Roman" w:hAnsi="Times New Roman" w:cs="Times New Roman"/>
          <w:sz w:val="24"/>
          <w:szCs w:val="24"/>
        </w:rPr>
        <w:t xml:space="preserve"> estabelecimento de preferências comerciais a um grupo limitado de países, definidos pela coordenação de políticas comerciais conjuntas. Melo e Panagariya (1995) e Sabbatini (2001) caracterizam o regionalismo fechado como fortemente protecionistas e sob intervenção direta do Estado, integrando economias semelhantes por meio de reduções tarifárias. Deste modo, objetiva-se estabelecer abertura comercial regional e barreiras a sujeitos externos ao bloco, caracterizando o desenvolvimento industrial para dentro. </w:t>
      </w:r>
    </w:p>
    <w:p w14:paraId="77A7FD72" w14:textId="77777777" w:rsidR="00D24777" w:rsidRPr="00750C80" w:rsidRDefault="00D2477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O processo de regionalismo aberto, por sua vez, objetiva integração e coordenação de políticas econômicas entre economias semelhantes em nível regional, com o intuito de inserir-se de modo dinâmico</w:t>
      </w:r>
      <w:r w:rsidR="005E0E9A" w:rsidRPr="00750C80">
        <w:rPr>
          <w:rFonts w:ascii="Times New Roman" w:hAnsi="Times New Roman" w:cs="Times New Roman"/>
          <w:sz w:val="24"/>
          <w:szCs w:val="24"/>
        </w:rPr>
        <w:t xml:space="preserve"> no contexto global</w:t>
      </w:r>
      <w:r w:rsidR="00E55634" w:rsidRPr="00750C80">
        <w:rPr>
          <w:rFonts w:ascii="Times New Roman" w:hAnsi="Times New Roman" w:cs="Times New Roman"/>
          <w:sz w:val="24"/>
          <w:szCs w:val="24"/>
        </w:rPr>
        <w:t xml:space="preserve"> (SENHORAS; VITTE, 2007)</w:t>
      </w:r>
      <w:r w:rsidR="00CE03A0" w:rsidRPr="00750C80">
        <w:rPr>
          <w:rFonts w:ascii="Times New Roman" w:hAnsi="Times New Roman" w:cs="Times New Roman"/>
          <w:sz w:val="24"/>
          <w:szCs w:val="24"/>
        </w:rPr>
        <w:t xml:space="preserve">. </w:t>
      </w:r>
      <w:r w:rsidR="00D947AD" w:rsidRPr="00750C80">
        <w:rPr>
          <w:rFonts w:ascii="Times New Roman" w:hAnsi="Times New Roman" w:cs="Times New Roman"/>
          <w:sz w:val="24"/>
          <w:szCs w:val="24"/>
        </w:rPr>
        <w:t>O novo regionalismo, ou regionalismo aberto, apresenta</w:t>
      </w:r>
      <w:r w:rsidRPr="00750C80">
        <w:rPr>
          <w:rFonts w:ascii="Times New Roman" w:hAnsi="Times New Roman" w:cs="Times New Roman"/>
          <w:sz w:val="24"/>
          <w:szCs w:val="24"/>
        </w:rPr>
        <w:t xml:space="preserve"> estrutura distinta do modelo fechado ou para dentro, pois, menos protecionista e mais voltado a inserção internacional, tende a ressaltar o livre comércio e sobreposição das vantagens comparativas, </w:t>
      </w:r>
      <w:r w:rsidR="005E0E9A" w:rsidRPr="00750C80">
        <w:rPr>
          <w:rFonts w:ascii="Times New Roman" w:hAnsi="Times New Roman" w:cs="Times New Roman"/>
          <w:sz w:val="24"/>
          <w:szCs w:val="24"/>
        </w:rPr>
        <w:t>em</w:t>
      </w:r>
      <w:r w:rsidRPr="00750C80">
        <w:rPr>
          <w:rFonts w:ascii="Times New Roman" w:hAnsi="Times New Roman" w:cs="Times New Roman"/>
          <w:sz w:val="24"/>
          <w:szCs w:val="24"/>
        </w:rPr>
        <w:t xml:space="preserve"> nível regional e global. </w:t>
      </w:r>
    </w:p>
    <w:p w14:paraId="77A7FD73" w14:textId="77777777" w:rsidR="00843214" w:rsidRPr="00750C80" w:rsidRDefault="00843214"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Rodrik (2005) questiona a capacidade de políticas institucionais </w:t>
      </w:r>
      <w:r w:rsidR="00181805" w:rsidRPr="00750C80">
        <w:rPr>
          <w:rFonts w:ascii="Times New Roman" w:hAnsi="Times New Roman" w:cs="Times New Roman"/>
          <w:sz w:val="24"/>
          <w:szCs w:val="24"/>
        </w:rPr>
        <w:t xml:space="preserve">de </w:t>
      </w:r>
      <w:r w:rsidRPr="00750C80">
        <w:rPr>
          <w:rFonts w:ascii="Times New Roman" w:hAnsi="Times New Roman" w:cs="Times New Roman"/>
          <w:sz w:val="24"/>
          <w:szCs w:val="24"/>
        </w:rPr>
        <w:t>promoverem</w:t>
      </w:r>
      <w:r w:rsidR="00181805" w:rsidRPr="00750C80">
        <w:rPr>
          <w:rFonts w:ascii="Times New Roman" w:hAnsi="Times New Roman" w:cs="Times New Roman"/>
          <w:sz w:val="24"/>
          <w:szCs w:val="24"/>
        </w:rPr>
        <w:t>, por si só,</w:t>
      </w:r>
      <w:r w:rsidRPr="00750C80">
        <w:rPr>
          <w:rFonts w:ascii="Times New Roman" w:hAnsi="Times New Roman" w:cs="Times New Roman"/>
          <w:sz w:val="24"/>
          <w:szCs w:val="24"/>
        </w:rPr>
        <w:t xml:space="preserve"> reformas estruturais satisfatórias, </w:t>
      </w:r>
      <w:r w:rsidR="00CE03A0" w:rsidRPr="00750C80">
        <w:rPr>
          <w:rFonts w:ascii="Times New Roman" w:hAnsi="Times New Roman" w:cs="Times New Roman"/>
          <w:sz w:val="24"/>
          <w:szCs w:val="24"/>
        </w:rPr>
        <w:t>sendo também</w:t>
      </w:r>
      <w:r w:rsidRPr="00750C80">
        <w:rPr>
          <w:rFonts w:ascii="Times New Roman" w:hAnsi="Times New Roman" w:cs="Times New Roman"/>
          <w:sz w:val="24"/>
          <w:szCs w:val="24"/>
        </w:rPr>
        <w:t xml:space="preserve"> necessário um reposicionamento comercial em setores dinâmicos, de modo a gerar uma aceleração na elevação da renda per capita.</w:t>
      </w:r>
    </w:p>
    <w:p w14:paraId="77A7FD74" w14:textId="77777777" w:rsidR="00603115" w:rsidRPr="00750C80" w:rsidRDefault="00603115" w:rsidP="00C978DF">
      <w:pPr>
        <w:spacing w:after="0" w:line="360" w:lineRule="auto"/>
        <w:jc w:val="both"/>
        <w:rPr>
          <w:rFonts w:ascii="Times New Roman" w:hAnsi="Times New Roman" w:cs="Times New Roman"/>
          <w:sz w:val="24"/>
          <w:szCs w:val="24"/>
        </w:rPr>
      </w:pPr>
    </w:p>
    <w:p w14:paraId="77A7FD75" w14:textId="3CBF19C2" w:rsidR="00603115" w:rsidRPr="00750C80" w:rsidRDefault="00603115" w:rsidP="00672482">
      <w:pPr>
        <w:pStyle w:val="PargrafodaLista"/>
        <w:numPr>
          <w:ilvl w:val="1"/>
          <w:numId w:val="4"/>
        </w:num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 xml:space="preserve">Modelo </w:t>
      </w:r>
      <w:r w:rsidR="005D0F05" w:rsidRPr="00750C80">
        <w:rPr>
          <w:rFonts w:ascii="Times New Roman" w:hAnsi="Times New Roman" w:cs="Times New Roman"/>
          <w:sz w:val="24"/>
          <w:szCs w:val="24"/>
        </w:rPr>
        <w:t>econométrico gravitacional de comércio internacional</w:t>
      </w:r>
    </w:p>
    <w:p w14:paraId="77A7FD76" w14:textId="77777777" w:rsidR="00603115" w:rsidRPr="00750C80" w:rsidRDefault="00603115" w:rsidP="00C978DF">
      <w:pPr>
        <w:spacing w:after="0" w:line="360" w:lineRule="auto"/>
        <w:jc w:val="both"/>
        <w:rPr>
          <w:rFonts w:ascii="Times New Roman" w:hAnsi="Times New Roman" w:cs="Times New Roman"/>
          <w:sz w:val="24"/>
          <w:szCs w:val="24"/>
        </w:rPr>
      </w:pPr>
    </w:p>
    <w:p w14:paraId="77A7FD77" w14:textId="67358A03" w:rsidR="00603115" w:rsidRPr="00750C80" w:rsidRDefault="00603115"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O modelo gravitacional utilizado em estudos econômicos é baseado </w:t>
      </w:r>
      <w:r w:rsidR="005C7F1B" w:rsidRPr="00750C80">
        <w:rPr>
          <w:rFonts w:ascii="Times New Roman" w:hAnsi="Times New Roman" w:cs="Times New Roman"/>
          <w:sz w:val="24"/>
          <w:szCs w:val="24"/>
        </w:rPr>
        <w:t xml:space="preserve">na Lei da Gravitação Universal, </w:t>
      </w:r>
      <w:r w:rsidR="00415007" w:rsidRPr="00750C80">
        <w:rPr>
          <w:rFonts w:ascii="Times New Roman" w:hAnsi="Times New Roman" w:cs="Times New Roman"/>
          <w:sz w:val="24"/>
          <w:szCs w:val="24"/>
        </w:rPr>
        <w:t>de Isaac Newton.</w:t>
      </w:r>
      <w:r w:rsidRPr="00750C80">
        <w:rPr>
          <w:rFonts w:ascii="Times New Roman" w:hAnsi="Times New Roman" w:cs="Times New Roman"/>
          <w:sz w:val="24"/>
          <w:szCs w:val="24"/>
        </w:rPr>
        <w:t xml:space="preserve"> Analogamente, uma massa de bens ou fatores de produção ofertados no ponto de origem </w:t>
      </w:r>
      <w:r w:rsidRPr="00750C80">
        <w:rPr>
          <w:rFonts w:ascii="Times New Roman" w:hAnsi="Times New Roman" w:cs="Times New Roman"/>
          <w:i/>
          <w:sz w:val="24"/>
          <w:szCs w:val="24"/>
        </w:rPr>
        <w:t xml:space="preserve">i,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750C80">
        <w:rPr>
          <w:rFonts w:ascii="Times New Roman" w:eastAsiaTheme="minorEastAsia" w:hAnsi="Times New Roman" w:cs="Times New Roman"/>
          <w:i/>
          <w:sz w:val="24"/>
          <w:szCs w:val="24"/>
        </w:rPr>
        <w:t xml:space="preserve">, </w:t>
      </w:r>
      <w:r w:rsidRPr="00750C80">
        <w:rPr>
          <w:rFonts w:ascii="Times New Roman" w:eastAsiaTheme="minorEastAsia" w:hAnsi="Times New Roman" w:cs="Times New Roman"/>
          <w:sz w:val="24"/>
          <w:szCs w:val="24"/>
        </w:rPr>
        <w:t xml:space="preserve">é atraída por uma massa de bens ou fatores de produção do ponto </w:t>
      </w:r>
      <w:r w:rsidRPr="00750C80">
        <w:rPr>
          <w:rFonts w:ascii="Times New Roman" w:eastAsiaTheme="minorEastAsia" w:hAnsi="Times New Roman" w:cs="Times New Roman"/>
          <w:i/>
          <w:sz w:val="24"/>
          <w:szCs w:val="24"/>
        </w:rPr>
        <w:t xml:space="preserve">j,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j</m:t>
            </m:r>
          </m:sub>
        </m:sSub>
      </m:oMath>
      <w:r w:rsidR="005C7F1B" w:rsidRPr="00750C80">
        <w:rPr>
          <w:rFonts w:ascii="Times New Roman" w:eastAsiaTheme="minorEastAsia" w:hAnsi="Times New Roman" w:cs="Times New Roman"/>
          <w:i/>
          <w:sz w:val="24"/>
          <w:szCs w:val="24"/>
        </w:rPr>
        <w:t>.</w:t>
      </w:r>
      <w:r w:rsidR="005C7F1B" w:rsidRPr="00750C80">
        <w:rPr>
          <w:rFonts w:ascii="Times New Roman" w:eastAsiaTheme="minorEastAsia" w:hAnsi="Times New Roman" w:cs="Times New Roman"/>
          <w:sz w:val="24"/>
          <w:szCs w:val="24"/>
        </w:rPr>
        <w:t xml:space="preserve"> T</w:t>
      </w:r>
      <w:r w:rsidRPr="00750C80">
        <w:rPr>
          <w:rFonts w:ascii="Times New Roman" w:eastAsiaTheme="minorEastAsia" w:hAnsi="Times New Roman" w:cs="Times New Roman"/>
          <w:sz w:val="24"/>
          <w:szCs w:val="24"/>
        </w:rPr>
        <w:t xml:space="preserve">odavia, o fluxo é potencialmente reduzido pela distância entre os dois pontos,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oMath>
      <w:r w:rsidRPr="00750C80">
        <w:rPr>
          <w:rFonts w:ascii="Times New Roman" w:eastAsiaTheme="minorEastAsia" w:hAnsi="Times New Roman" w:cs="Times New Roman"/>
          <w:sz w:val="24"/>
          <w:szCs w:val="24"/>
        </w:rPr>
        <w:t xml:space="preserve">. A força de atração é representada por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oMath>
      <w:r w:rsidRPr="00750C80">
        <w:rPr>
          <w:rFonts w:ascii="Times New Roman" w:eastAsiaTheme="minorEastAsia" w:hAnsi="Times New Roman" w:cs="Times New Roman"/>
          <w:sz w:val="24"/>
          <w:szCs w:val="24"/>
        </w:rPr>
        <w:t xml:space="preserve"> (ANDERSON, 2010).</w:t>
      </w:r>
    </w:p>
    <w:p w14:paraId="77A7FD78" w14:textId="77777777" w:rsidR="00603115" w:rsidRPr="00750C80" w:rsidRDefault="00603115"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Em estrita analogia ao modelo original de Newton, pode ser expresso da seguinte forma: </w:t>
      </w:r>
    </w:p>
    <w:p w14:paraId="77A7FD79" w14:textId="77777777" w:rsidR="00603115" w:rsidRPr="00750C80" w:rsidRDefault="00507E9A" w:rsidP="00C978DF">
      <w:pPr>
        <w:spacing w:after="0"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j</m:t>
              </m:r>
            </m:sub>
          </m:sSub>
          <m:sSup>
            <m:sSupPr>
              <m:ctrlPr>
                <w:rPr>
                  <w:rFonts w:ascii="Cambria Math" w:hAnsi="Cambria Math" w:cs="Times New Roman"/>
                  <w:i/>
                  <w:sz w:val="24"/>
                  <w:szCs w:val="24"/>
                </w:rPr>
              </m:ctrlPr>
            </m:sSupPr>
            <m: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ij</m:t>
                  </m:r>
                </m:sub>
                <m:sup>
                  <m:r>
                    <w:rPr>
                      <w:rFonts w:ascii="Cambria Math" w:hAnsi="Cambria Math" w:cs="Times New Roman"/>
                      <w:sz w:val="24"/>
                      <w:szCs w:val="24"/>
                    </w:rPr>
                    <m:t>2</m:t>
                  </m:r>
                </m:sup>
              </m:sSubSup>
              <m:r>
                <w:rPr>
                  <w:rFonts w:ascii="Cambria Math" w:hAnsi="Cambria Math" w:cs="Times New Roman"/>
                  <w:sz w:val="24"/>
                  <w:szCs w:val="24"/>
                </w:rPr>
                <m:t>)</m:t>
              </m:r>
            </m:e>
            <m:sup>
              <m:r>
                <w:rPr>
                  <w:rFonts w:ascii="Cambria Math" w:hAnsi="Cambria Math" w:cs="Times New Roman"/>
                  <w:sz w:val="24"/>
                  <w:szCs w:val="24"/>
                </w:rPr>
                <m:t>-1</m:t>
              </m:r>
            </m:sup>
          </m:sSup>
        </m:oMath>
      </m:oMathPara>
    </w:p>
    <w:p w14:paraId="77A7FD7A" w14:textId="77777777" w:rsidR="00603115" w:rsidRPr="00750C80" w:rsidRDefault="00603115"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p>
    <w:p w14:paraId="77A7FD7B" w14:textId="77777777" w:rsidR="002C43FC" w:rsidRPr="00750C80" w:rsidRDefault="002C43FC"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Tinbergen (1962) e Pöyhönen (1963) foram os primeiros teóricos a utilizar o modelo gravitacional de comércio. Os modelos propostos foram dotados de três grupos de fatores de expansão e atração, com o intuito de explicar a magnitude do fluxo comercial entre dois países. O primeiro grupo de fatores corresponde aos elementos que influem sobre à potencialidade da oferta do país exportador e o segundo grupo relaciona-se à demanda potencial do país parceiro, importador. O terceiro grupo de fatores engloba</w:t>
      </w:r>
      <w:r w:rsidR="00975ADE" w:rsidRPr="00750C80">
        <w:rPr>
          <w:rFonts w:ascii="Times New Roman" w:hAnsi="Times New Roman" w:cs="Times New Roman"/>
          <w:sz w:val="24"/>
          <w:szCs w:val="24"/>
        </w:rPr>
        <w:t xml:space="preserve"> especificidades de resistência ao comércio, como distância ou custos de transportes, controles cambiais ou barreiras tarifárias, por exemplo.</w:t>
      </w:r>
      <w:r w:rsidRPr="00750C80">
        <w:rPr>
          <w:rFonts w:ascii="Times New Roman" w:hAnsi="Times New Roman" w:cs="Times New Roman"/>
          <w:sz w:val="24"/>
          <w:szCs w:val="24"/>
        </w:rPr>
        <w:t xml:space="preserve"> </w:t>
      </w:r>
    </w:p>
    <w:p w14:paraId="77A7FD7C" w14:textId="0C4621A9" w:rsidR="00603115" w:rsidRPr="00750C80" w:rsidRDefault="00603115"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Consoante Anderson (1979), o modelo gravitacional é útil e produz bom ajuste para análise de deslocamento e fluxo comercial entre fronteiras regionais, tomando como base regiões de maior atração. Existem limitações ao se trabalhar com efeitos de políticas econômicas ou tarifação comercial, </w:t>
      </w:r>
      <w:r w:rsidR="00CF329F" w:rsidRPr="00750C80">
        <w:rPr>
          <w:rFonts w:ascii="Times New Roman" w:hAnsi="Times New Roman" w:cs="Times New Roman"/>
          <w:sz w:val="24"/>
          <w:szCs w:val="24"/>
        </w:rPr>
        <w:t>porém isto não configura</w:t>
      </w:r>
      <w:r w:rsidR="00C94A1B" w:rsidRPr="00750C80">
        <w:rPr>
          <w:rFonts w:ascii="Times New Roman" w:hAnsi="Times New Roman" w:cs="Times New Roman"/>
          <w:sz w:val="24"/>
          <w:szCs w:val="24"/>
        </w:rPr>
        <w:t xml:space="preserve"> prejuízo ao</w:t>
      </w:r>
      <w:r w:rsidR="00CF329F" w:rsidRPr="00750C80">
        <w:rPr>
          <w:rFonts w:ascii="Times New Roman" w:hAnsi="Times New Roman" w:cs="Times New Roman"/>
          <w:sz w:val="24"/>
          <w:szCs w:val="24"/>
        </w:rPr>
        <w:t xml:space="preserve"> presente</w:t>
      </w:r>
      <w:r w:rsidR="00C94A1B" w:rsidRPr="00750C80">
        <w:rPr>
          <w:rFonts w:ascii="Times New Roman" w:hAnsi="Times New Roman" w:cs="Times New Roman"/>
          <w:sz w:val="24"/>
          <w:szCs w:val="24"/>
        </w:rPr>
        <w:t xml:space="preserve"> trabalho haja visto a diferença de enfoque aqui apresentada.</w:t>
      </w:r>
    </w:p>
    <w:p w14:paraId="77A7FD7D" w14:textId="77777777" w:rsidR="00603115" w:rsidRPr="00750C80" w:rsidRDefault="00603115"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Nascimento e Júnior (2013) afirmam que o modelo foi utilizado pela primeira vez em estudos econômicos na década de 1960 com o intuito de analisar o fluxo de comércio entre países e centros de atração. Conforme os autores, o modelo se fundamenta em teorias de vantagens comparativas e</w:t>
      </w:r>
      <w:r w:rsidR="005C7F1B" w:rsidRPr="00750C80">
        <w:rPr>
          <w:rFonts w:ascii="Times New Roman" w:hAnsi="Times New Roman" w:cs="Times New Roman"/>
          <w:sz w:val="24"/>
          <w:szCs w:val="24"/>
        </w:rPr>
        <w:t>,</w:t>
      </w:r>
      <w:r w:rsidRPr="00750C80">
        <w:rPr>
          <w:rFonts w:ascii="Times New Roman" w:hAnsi="Times New Roman" w:cs="Times New Roman"/>
          <w:sz w:val="24"/>
          <w:szCs w:val="24"/>
        </w:rPr>
        <w:t xml:space="preserve"> em fins da década de 1990</w:t>
      </w:r>
      <w:r w:rsidR="005C7F1B" w:rsidRPr="00750C80">
        <w:rPr>
          <w:rFonts w:ascii="Times New Roman" w:hAnsi="Times New Roman" w:cs="Times New Roman"/>
          <w:sz w:val="24"/>
          <w:szCs w:val="24"/>
        </w:rPr>
        <w:t>,</w:t>
      </w:r>
      <w:r w:rsidRPr="00750C80">
        <w:rPr>
          <w:rFonts w:ascii="Times New Roman" w:hAnsi="Times New Roman" w:cs="Times New Roman"/>
          <w:sz w:val="24"/>
          <w:szCs w:val="24"/>
        </w:rPr>
        <w:t xml:space="preserve"> incorporou teorias modernas de comércio internacional, tal qual a Teoria de Heckscher-Ohlin.</w:t>
      </w:r>
    </w:p>
    <w:p w14:paraId="77A7FD7E" w14:textId="77777777" w:rsidR="000F5FF7" w:rsidRPr="00750C80" w:rsidRDefault="00603115"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Bergstrand (1989) apresenta o modelo gravitacional para análise de fluxos de comércio bilateral entre países, da seguinte forma:</w:t>
      </w:r>
    </w:p>
    <w:p w14:paraId="77A7FD7F" w14:textId="77777777" w:rsidR="00931B94" w:rsidRPr="00750C80" w:rsidRDefault="00931B94" w:rsidP="00C978DF">
      <w:pPr>
        <w:spacing w:after="0" w:line="360" w:lineRule="auto"/>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22"/>
        <w:gridCol w:w="496"/>
      </w:tblGrid>
      <w:tr w:rsidR="000F5FF7" w:rsidRPr="00750C80" w14:paraId="77A7FD83" w14:textId="77777777" w:rsidTr="00931B94">
        <w:tc>
          <w:tcPr>
            <w:tcW w:w="9322" w:type="dxa"/>
          </w:tcPr>
          <w:p w14:paraId="77A7FD80" w14:textId="77777777" w:rsidR="000F5FF7" w:rsidRPr="00750C80" w:rsidRDefault="00507E9A" w:rsidP="00C978DF">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PX</m:t>
                    </m:r>
                  </m:e>
                  <m:sub>
                    <m:r>
                      <w:rPr>
                        <w:rFonts w:ascii="Cambria Math" w:hAnsi="Cambria Math" w:cs="Times New Roman"/>
                        <w:sz w:val="24"/>
                        <w:szCs w:val="24"/>
                      </w:rPr>
                      <m:t>ij</m:t>
                    </m:r>
                  </m:sub>
                </m:sSub>
                <m:r>
                  <w:rPr>
                    <w:rFonts w:ascii="Cambria Math" w:hAnsi="Cambria Math" w:cs="Times New Roman"/>
                    <w:sz w:val="24"/>
                    <w:szCs w:val="24"/>
                  </w:rPr>
                  <m:t>= ln</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0 </m:t>
                    </m:r>
                  </m:sub>
                </m:sSub>
                <m:r>
                  <w:rPr>
                    <w:rFonts w:ascii="Cambria Math" w:hAnsi="Cambria Math" w:cs="Times New Roman"/>
                    <w:sz w:val="24"/>
                    <w:szCs w:val="24"/>
                  </w:rPr>
                  <m:t>+ln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d>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j</m:t>
                    </m:r>
                  </m:sub>
                </m:sSub>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j</m:t>
                        </m:r>
                      </m:sub>
                    </m:sSub>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j</m:t>
                        </m:r>
                      </m:sub>
                    </m:sSub>
                  </m:e>
                </m:d>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r>
                  <w:rPr>
                    <w:rFonts w:ascii="Cambria Math" w:eastAsiaTheme="minorEastAsia" w:hAnsi="Cambria Math" w:cs="Times New Roman"/>
                    <w:sz w:val="24"/>
                    <w:szCs w:val="24"/>
                  </w:rPr>
                  <m:t>+ln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ij</m:t>
                    </m:r>
                  </m:sub>
                </m:sSub>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ij</m:t>
                    </m:r>
                  </m:sub>
                </m:sSub>
                <m:r>
                  <w:rPr>
                    <w:rFonts w:ascii="Cambria Math" w:hAnsi="Cambria Math" w:cs="Times New Roman"/>
                    <w:sz w:val="24"/>
                    <w:szCs w:val="24"/>
                  </w:rPr>
                  <m:t xml:space="preserve"> </m:t>
                </m:r>
              </m:oMath>
            </m:oMathPara>
          </w:p>
          <w:p w14:paraId="77A7FD81" w14:textId="77777777" w:rsidR="000F5FF7" w:rsidRPr="00750C80" w:rsidRDefault="000F5FF7" w:rsidP="00C978DF">
            <w:pPr>
              <w:spacing w:line="360" w:lineRule="auto"/>
              <w:rPr>
                <w:rFonts w:ascii="Times New Roman" w:hAnsi="Times New Roman" w:cs="Times New Roman"/>
                <w:sz w:val="24"/>
                <w:szCs w:val="24"/>
              </w:rPr>
            </w:pPr>
          </w:p>
        </w:tc>
        <w:tc>
          <w:tcPr>
            <w:tcW w:w="496" w:type="dxa"/>
          </w:tcPr>
          <w:p w14:paraId="77A7FD82" w14:textId="77777777" w:rsidR="000F5FF7" w:rsidRPr="00750C80" w:rsidRDefault="00931B94" w:rsidP="00C978DF">
            <w:pPr>
              <w:spacing w:line="360" w:lineRule="auto"/>
              <w:jc w:val="both"/>
              <w:rPr>
                <w:rFonts w:ascii="Times New Roman" w:hAnsi="Times New Roman" w:cs="Times New Roman"/>
                <w:sz w:val="24"/>
                <w:szCs w:val="24"/>
              </w:rPr>
            </w:pPr>
            <w:r w:rsidRPr="00750C80">
              <w:rPr>
                <w:rFonts w:ascii="Times New Roman" w:hAnsi="Times New Roman" w:cs="Times New Roman"/>
                <w:sz w:val="24"/>
                <w:szCs w:val="24"/>
              </w:rPr>
              <w:t>(1)</w:t>
            </w:r>
          </w:p>
        </w:tc>
      </w:tr>
    </w:tbl>
    <w:p w14:paraId="77A7FD84" w14:textId="77777777" w:rsidR="00E5107A" w:rsidRPr="00750C80" w:rsidRDefault="00603115" w:rsidP="00C978DF">
      <w:pPr>
        <w:spacing w:after="0" w:line="360" w:lineRule="auto"/>
        <w:ind w:firstLine="708"/>
        <w:jc w:val="both"/>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lastRenderedPageBreak/>
        <w:t xml:space="preserve">Onde </w:t>
      </w:r>
      <m:oMath>
        <m:sSub>
          <m:sSubPr>
            <m:ctrlPr>
              <w:rPr>
                <w:rFonts w:ascii="Cambria Math" w:hAnsi="Cambria Math" w:cs="Times New Roman"/>
                <w:i/>
                <w:sz w:val="24"/>
                <w:szCs w:val="24"/>
              </w:rPr>
            </m:ctrlPr>
          </m:sSubPr>
          <m:e>
            <m:r>
              <w:rPr>
                <w:rFonts w:ascii="Cambria Math" w:hAnsi="Cambria Math" w:cs="Times New Roman"/>
                <w:sz w:val="24"/>
                <w:szCs w:val="24"/>
              </w:rPr>
              <m:t>PX</m:t>
            </m:r>
          </m:e>
          <m:sub>
            <m:r>
              <w:rPr>
                <w:rFonts w:ascii="Cambria Math" w:hAnsi="Cambria Math" w:cs="Times New Roman"/>
                <w:sz w:val="24"/>
                <w:szCs w:val="24"/>
              </w:rPr>
              <m:t>ij</m:t>
            </m:r>
          </m:sub>
        </m:sSub>
      </m:oMath>
      <w:r w:rsidRPr="00750C80">
        <w:rPr>
          <w:rFonts w:ascii="Times New Roman" w:eastAsiaTheme="minorEastAsia" w:hAnsi="Times New Roman" w:cs="Times New Roman"/>
          <w:sz w:val="24"/>
          <w:szCs w:val="24"/>
        </w:rPr>
        <w:t xml:space="preserve"> é o valor em dólares do fluxo de comércio entre os países i e j,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oMath>
      <w:r w:rsidRPr="00750C80">
        <w:rPr>
          <w:rFonts w:ascii="Times New Roman" w:eastAsiaTheme="minorEastAsia" w:hAnsi="Times New Roman" w:cs="Times New Roman"/>
          <w:sz w:val="24"/>
          <w:szCs w:val="24"/>
        </w:rPr>
        <w:t xml:space="preserve"> é o valor nominal do PIB em i(j),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oMath>
      <w:r w:rsidRPr="00750C80">
        <w:rPr>
          <w:rFonts w:ascii="Times New Roman" w:eastAsiaTheme="minorEastAsia" w:hAnsi="Times New Roman" w:cs="Times New Roman"/>
          <w:sz w:val="24"/>
          <w:szCs w:val="24"/>
        </w:rPr>
        <w:t xml:space="preserve"> é a população em i(j),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oMath>
      <w:r w:rsidRPr="00750C80">
        <w:rPr>
          <w:rFonts w:ascii="Times New Roman" w:eastAsiaTheme="minorEastAsia" w:hAnsi="Times New Roman" w:cs="Times New Roman"/>
          <w:sz w:val="24"/>
          <w:szCs w:val="24"/>
        </w:rPr>
        <w:t xml:space="preserve"> é a distância da economia central de i a j,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ij</m:t>
            </m:r>
          </m:sub>
        </m:sSub>
      </m:oMath>
      <w:r w:rsidRPr="00750C80">
        <w:rPr>
          <w:rFonts w:ascii="Times New Roman" w:eastAsiaTheme="minorEastAsia" w:hAnsi="Times New Roman" w:cs="Times New Roman"/>
          <w:sz w:val="24"/>
          <w:szCs w:val="24"/>
        </w:rPr>
        <w:t xml:space="preserve"> é algum fator de resistência ou atração entre o comércio bilateral, o qual pode ser o efeito fronteira ou bloco de preferência comercial existente,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ij</m:t>
            </m:r>
          </m:sub>
        </m:sSub>
      </m:oMath>
      <w:r w:rsidRPr="00750C80">
        <w:rPr>
          <w:rFonts w:ascii="Times New Roman" w:eastAsiaTheme="minorEastAsia" w:hAnsi="Times New Roman" w:cs="Times New Roman"/>
          <w:sz w:val="24"/>
          <w:szCs w:val="24"/>
        </w:rPr>
        <w:t xml:space="preserve"> é o termo do erro normalmente distribuído. Esperam-se valores positivos para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oMath>
      <w:r w:rsidRPr="00750C80">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m:t>
            </m:r>
          </m:sub>
        </m:sSub>
      </m:oMath>
      <w:r w:rsidR="00C94A1B" w:rsidRPr="00750C80">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 xml:space="preserve"> </m:t>
        </m:r>
      </m:oMath>
      <w:r w:rsidRPr="00750C80">
        <w:rPr>
          <w:rFonts w:ascii="Times New Roman" w:eastAsiaTheme="minorEastAsia" w:hAnsi="Times New Roman" w:cs="Times New Roman"/>
          <w:sz w:val="24"/>
          <w:szCs w:val="24"/>
        </w:rPr>
        <w:t xml:space="preserve">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 xml:space="preserve">, </m:t>
        </m:r>
      </m:oMath>
      <w:r w:rsidRPr="00750C80">
        <w:rPr>
          <w:rFonts w:ascii="Times New Roman" w:eastAsiaTheme="minorEastAsia" w:hAnsi="Times New Roman" w:cs="Times New Roman"/>
          <w:sz w:val="24"/>
          <w:szCs w:val="24"/>
        </w:rPr>
        <w:t xml:space="preserve">e valor negativo para o efeito da distância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oMath>
      <w:r w:rsidRPr="00750C80">
        <w:rPr>
          <w:rFonts w:ascii="Times New Roman" w:eastAsiaTheme="minorEastAsia" w:hAnsi="Times New Roman" w:cs="Times New Roman"/>
          <w:sz w:val="24"/>
          <w:szCs w:val="24"/>
        </w:rPr>
        <w:t xml:space="preserve"> (BERGSTRAND, 1989).</w:t>
      </w:r>
      <w:r w:rsidR="00E5107A" w:rsidRPr="00750C80">
        <w:rPr>
          <w:rFonts w:ascii="Times New Roman" w:eastAsiaTheme="minorEastAsia" w:hAnsi="Times New Roman" w:cs="Times New Roman"/>
          <w:sz w:val="24"/>
          <w:szCs w:val="24"/>
        </w:rPr>
        <w:t xml:space="preserve"> A proposta de modelagem aponta</w:t>
      </w:r>
      <w:r w:rsidR="00C94A1B" w:rsidRPr="00750C80">
        <w:rPr>
          <w:rFonts w:ascii="Times New Roman" w:eastAsiaTheme="minorEastAsia" w:hAnsi="Times New Roman" w:cs="Times New Roman"/>
          <w:sz w:val="24"/>
          <w:szCs w:val="24"/>
        </w:rPr>
        <w:t>da</w:t>
      </w:r>
      <w:r w:rsidR="00E5107A" w:rsidRPr="00750C80">
        <w:rPr>
          <w:rFonts w:ascii="Times New Roman" w:eastAsiaTheme="minorEastAsia" w:hAnsi="Times New Roman" w:cs="Times New Roman"/>
          <w:sz w:val="24"/>
          <w:szCs w:val="24"/>
        </w:rPr>
        <w:t xml:space="preserve"> por Bergstrand </w:t>
      </w:r>
      <w:r w:rsidR="00C94A1B" w:rsidRPr="00750C80">
        <w:rPr>
          <w:rFonts w:ascii="Times New Roman" w:eastAsiaTheme="minorEastAsia" w:hAnsi="Times New Roman" w:cs="Times New Roman"/>
          <w:sz w:val="24"/>
          <w:szCs w:val="24"/>
        </w:rPr>
        <w:t xml:space="preserve">(1989) </w:t>
      </w:r>
      <w:r w:rsidR="00E5107A" w:rsidRPr="00750C80">
        <w:rPr>
          <w:rFonts w:ascii="Times New Roman" w:eastAsiaTheme="minorEastAsia" w:hAnsi="Times New Roman" w:cs="Times New Roman"/>
          <w:sz w:val="24"/>
          <w:szCs w:val="24"/>
        </w:rPr>
        <w:t>norteará a metodologia do presente trabalho.</w:t>
      </w:r>
    </w:p>
    <w:p w14:paraId="77A7FD85" w14:textId="77777777" w:rsidR="00603115" w:rsidRPr="00750C80" w:rsidRDefault="00603115" w:rsidP="00C978DF">
      <w:pPr>
        <w:spacing w:after="0" w:line="360" w:lineRule="auto"/>
        <w:jc w:val="both"/>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tab/>
        <w:t>Egger e Pfaffermaryr (2002) compreendem o modelo de equação gravitacional como a mais bem sucedida abstração para estimativas de comércio bilateral. Têm-se trabalhado em dados em painel, em busca de perspectiva de efeitos de curto e longo prazo.</w:t>
      </w:r>
    </w:p>
    <w:p w14:paraId="77A7FD86" w14:textId="7985F7E1" w:rsidR="00603115" w:rsidRPr="00750C80" w:rsidRDefault="00603115" w:rsidP="00C978DF">
      <w:pPr>
        <w:spacing w:after="0" w:line="360" w:lineRule="auto"/>
        <w:jc w:val="both"/>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tab/>
        <w:t xml:space="preserve">Uma série de trabalhos se desenvolveu com uso da equação gravitacional. Os fluxos comerciais entre o MERCOSUL e a União Europeia foram analisados por Martínez-Zarzoso e Nowak-Lehmann (2004), os quais atentaram para o potencial comercial oriundo da institucionalização dos blocos comerciais, com a aplicação do modelo de gravidade de comércio. </w:t>
      </w:r>
      <w:r w:rsidR="00C94A1B" w:rsidRPr="00750C80">
        <w:rPr>
          <w:rFonts w:ascii="Times New Roman" w:eastAsiaTheme="minorEastAsia" w:hAnsi="Times New Roman" w:cs="Times New Roman"/>
          <w:sz w:val="24"/>
          <w:szCs w:val="24"/>
        </w:rPr>
        <w:t xml:space="preserve">Os autores constataram que </w:t>
      </w:r>
      <w:r w:rsidR="009D2A5D" w:rsidRPr="00750C80">
        <w:rPr>
          <w:rFonts w:ascii="Times New Roman" w:eastAsiaTheme="minorEastAsia" w:hAnsi="Times New Roman" w:cs="Times New Roman"/>
          <w:sz w:val="24"/>
          <w:szCs w:val="24"/>
        </w:rPr>
        <w:t>as taxas</w:t>
      </w:r>
      <w:r w:rsidRPr="00750C80">
        <w:rPr>
          <w:rFonts w:ascii="Times New Roman" w:eastAsiaTheme="minorEastAsia" w:hAnsi="Times New Roman" w:cs="Times New Roman"/>
          <w:sz w:val="24"/>
          <w:szCs w:val="24"/>
        </w:rPr>
        <w:t xml:space="preserve"> câmbio e estrutura</w:t>
      </w:r>
      <w:r w:rsidR="009D2A5D" w:rsidRPr="00750C80">
        <w:rPr>
          <w:rFonts w:ascii="Times New Roman" w:eastAsiaTheme="minorEastAsia" w:hAnsi="Times New Roman" w:cs="Times New Roman"/>
          <w:sz w:val="24"/>
          <w:szCs w:val="24"/>
        </w:rPr>
        <w:t>s</w:t>
      </w:r>
      <w:r w:rsidRPr="00750C80">
        <w:rPr>
          <w:rFonts w:ascii="Times New Roman" w:eastAsiaTheme="minorEastAsia" w:hAnsi="Times New Roman" w:cs="Times New Roman"/>
          <w:sz w:val="24"/>
          <w:szCs w:val="24"/>
        </w:rPr>
        <w:t xml:space="preserve"> de capital fixo </w:t>
      </w:r>
      <w:r w:rsidR="009D2A5D" w:rsidRPr="00750C80">
        <w:rPr>
          <w:rFonts w:ascii="Times New Roman" w:eastAsiaTheme="minorEastAsia" w:hAnsi="Times New Roman" w:cs="Times New Roman"/>
          <w:sz w:val="24"/>
          <w:szCs w:val="24"/>
        </w:rPr>
        <w:t xml:space="preserve">impactam diretamente sobre </w:t>
      </w:r>
      <w:r w:rsidRPr="00750C80">
        <w:rPr>
          <w:rFonts w:ascii="Times New Roman" w:eastAsiaTheme="minorEastAsia" w:hAnsi="Times New Roman" w:cs="Times New Roman"/>
          <w:sz w:val="24"/>
          <w:szCs w:val="24"/>
        </w:rPr>
        <w:t>os fluxos de comércio</w:t>
      </w:r>
      <w:r w:rsidR="009D2A5D" w:rsidRPr="00750C80">
        <w:rPr>
          <w:rFonts w:ascii="Times New Roman" w:eastAsiaTheme="minorEastAsia" w:hAnsi="Times New Roman" w:cs="Times New Roman"/>
          <w:sz w:val="24"/>
          <w:szCs w:val="24"/>
        </w:rPr>
        <w:t xml:space="preserve"> entre os dois blocos econômicos</w:t>
      </w:r>
      <w:r w:rsidRPr="00750C80">
        <w:rPr>
          <w:rFonts w:ascii="Times New Roman" w:eastAsiaTheme="minorEastAsia" w:hAnsi="Times New Roman" w:cs="Times New Roman"/>
          <w:sz w:val="24"/>
          <w:szCs w:val="24"/>
        </w:rPr>
        <w:t>.</w:t>
      </w:r>
    </w:p>
    <w:p w14:paraId="0BFC7860" w14:textId="6CA14D75" w:rsidR="00415007" w:rsidRPr="00750C80" w:rsidRDefault="00415007" w:rsidP="00C978DF">
      <w:pPr>
        <w:spacing w:after="0" w:line="360" w:lineRule="auto"/>
        <w:jc w:val="both"/>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tab/>
        <w:t xml:space="preserve">Porto (2002) realizou um estudo sobre a influência do Mercosul sobre a dinâmica comercial das regiões brasileiras. Com a aplicação de um modelo gravitacional de comércio, foi verificado que a institucionalização do bloco representou avanços para a dinâmica comercial do Brasil como um todo, dentro do cenário sul-americano, mesmo que algumas regiões tenham se sobressaído competitivamente nacional e internacionalmente.  </w:t>
      </w:r>
    </w:p>
    <w:p w14:paraId="77A7FD87" w14:textId="7DF22640" w:rsidR="00603115" w:rsidRPr="00750C80" w:rsidRDefault="00603115" w:rsidP="00C978DF">
      <w:pPr>
        <w:spacing w:after="0" w:line="360" w:lineRule="auto"/>
        <w:jc w:val="both"/>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tab/>
        <w:t xml:space="preserve">Brun </w:t>
      </w:r>
      <w:r w:rsidRPr="00750C80">
        <w:rPr>
          <w:rFonts w:ascii="Times New Roman" w:eastAsiaTheme="minorEastAsia" w:hAnsi="Times New Roman" w:cs="Times New Roman"/>
          <w:i/>
          <w:sz w:val="24"/>
          <w:szCs w:val="24"/>
        </w:rPr>
        <w:t>et al</w:t>
      </w:r>
      <w:r w:rsidRPr="00750C80">
        <w:rPr>
          <w:rFonts w:ascii="Times New Roman" w:eastAsiaTheme="minorEastAsia" w:hAnsi="Times New Roman" w:cs="Times New Roman"/>
          <w:sz w:val="24"/>
          <w:szCs w:val="24"/>
        </w:rPr>
        <w:t xml:space="preserve"> (2005) analisam </w:t>
      </w:r>
      <w:r w:rsidR="00CF329F" w:rsidRPr="00750C80">
        <w:rPr>
          <w:rFonts w:ascii="Times New Roman" w:eastAsiaTheme="minorEastAsia" w:hAnsi="Times New Roman" w:cs="Times New Roman"/>
          <w:sz w:val="24"/>
          <w:szCs w:val="24"/>
        </w:rPr>
        <w:t xml:space="preserve">em dados em painel </w:t>
      </w:r>
      <w:r w:rsidRPr="00750C80">
        <w:rPr>
          <w:rFonts w:ascii="Times New Roman" w:eastAsiaTheme="minorEastAsia" w:hAnsi="Times New Roman" w:cs="Times New Roman"/>
          <w:sz w:val="24"/>
          <w:szCs w:val="24"/>
        </w:rPr>
        <w:t>o fluxo comercial entre 130 paí</w:t>
      </w:r>
      <w:r w:rsidR="00CF329F" w:rsidRPr="00750C80">
        <w:rPr>
          <w:rFonts w:ascii="Times New Roman" w:eastAsiaTheme="minorEastAsia" w:hAnsi="Times New Roman" w:cs="Times New Roman"/>
          <w:sz w:val="24"/>
          <w:szCs w:val="24"/>
        </w:rPr>
        <w:t>ses entre 1962 e 1995</w:t>
      </w:r>
      <w:r w:rsidRPr="00750C80">
        <w:rPr>
          <w:rFonts w:ascii="Times New Roman" w:eastAsiaTheme="minorEastAsia" w:hAnsi="Times New Roman" w:cs="Times New Roman"/>
          <w:sz w:val="24"/>
          <w:szCs w:val="24"/>
        </w:rPr>
        <w:t xml:space="preserve">, com enfoque na influência da distância como </w:t>
      </w:r>
      <w:r w:rsidRPr="00750C80">
        <w:rPr>
          <w:rFonts w:ascii="Times New Roman" w:eastAsiaTheme="minorEastAsia" w:hAnsi="Times New Roman" w:cs="Times New Roman"/>
          <w:i/>
          <w:sz w:val="24"/>
          <w:szCs w:val="24"/>
        </w:rPr>
        <w:t xml:space="preserve">proxy </w:t>
      </w:r>
      <w:r w:rsidRPr="00750C80">
        <w:rPr>
          <w:rFonts w:ascii="Times New Roman" w:eastAsiaTheme="minorEastAsia" w:hAnsi="Times New Roman" w:cs="Times New Roman"/>
          <w:sz w:val="24"/>
          <w:szCs w:val="24"/>
        </w:rPr>
        <w:t xml:space="preserve">para custos de transporte e barreiras comerciais, entre países de renda alta e renda baixa. Constataram, pois, que entre economias exportadoras de maior valor agregado, a distância perdeu capacidade de explicação relativa ao longo do tempo, ao passo que não apresentou significativas distorções para economias menos dinâmicas. Por conseguinte, é forte </w:t>
      </w:r>
      <w:r w:rsidR="00B64F95" w:rsidRPr="00750C80">
        <w:rPr>
          <w:rFonts w:ascii="Times New Roman" w:eastAsiaTheme="minorEastAsia" w:hAnsi="Times New Roman" w:cs="Times New Roman"/>
          <w:sz w:val="24"/>
          <w:szCs w:val="24"/>
        </w:rPr>
        <w:t xml:space="preserve">o </w:t>
      </w:r>
      <w:r w:rsidRPr="00750C80">
        <w:rPr>
          <w:rFonts w:ascii="Times New Roman" w:eastAsiaTheme="minorEastAsia" w:hAnsi="Times New Roman" w:cs="Times New Roman"/>
          <w:sz w:val="24"/>
          <w:szCs w:val="24"/>
        </w:rPr>
        <w:t>entrave comercial para economias com caráter exportador primário e fator de promoção de assimetrias no cenário internacional, para tais países.</w:t>
      </w:r>
    </w:p>
    <w:p w14:paraId="77A7FD88" w14:textId="77777777" w:rsidR="00603115" w:rsidRPr="00750C80" w:rsidRDefault="00603115"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Atesta-se, neste trabalho, a relevância da aplicação da equação gravitacional para compreender a complementaridade comercial brasileira na América do Sul, para o mercado de </w:t>
      </w:r>
      <w:r w:rsidR="00BA6996" w:rsidRPr="00750C80">
        <w:rPr>
          <w:rFonts w:ascii="Times New Roman" w:hAnsi="Times New Roman" w:cs="Times New Roman"/>
          <w:sz w:val="24"/>
          <w:szCs w:val="24"/>
        </w:rPr>
        <w:t>alta intensidade tecnológica</w:t>
      </w:r>
      <w:r w:rsidRPr="00750C80">
        <w:rPr>
          <w:rFonts w:ascii="Times New Roman" w:hAnsi="Times New Roman" w:cs="Times New Roman"/>
          <w:sz w:val="24"/>
          <w:szCs w:val="24"/>
        </w:rPr>
        <w:t xml:space="preserve"> e as condicionantes sobre tal processo, tomando por base o papel fundamental do Brasil na região, como economia industrial mais avançada. </w:t>
      </w:r>
    </w:p>
    <w:p w14:paraId="77A7FD89" w14:textId="77777777" w:rsidR="00603115" w:rsidRPr="00750C80" w:rsidRDefault="00603115"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lastRenderedPageBreak/>
        <w:tab/>
        <w:t xml:space="preserve">Adota-se o Brasil como economia central de atração, dada sua extensão territorial, maior concentração populacional e maior PIB da América do Sul, destacando-se frente às demais economias da região. </w:t>
      </w:r>
      <w:r w:rsidR="00B64F95" w:rsidRPr="00750C80">
        <w:rPr>
          <w:rFonts w:ascii="Times New Roman" w:hAnsi="Times New Roman" w:cs="Times New Roman"/>
          <w:sz w:val="24"/>
          <w:szCs w:val="24"/>
        </w:rPr>
        <w:t>A variável de atração adotada neste trabalho é</w:t>
      </w:r>
      <w:r w:rsidRPr="00750C80">
        <w:rPr>
          <w:rFonts w:ascii="Times New Roman" w:hAnsi="Times New Roman" w:cs="Times New Roman"/>
          <w:sz w:val="24"/>
          <w:szCs w:val="24"/>
        </w:rPr>
        <w:t xml:space="preserve"> a </w:t>
      </w:r>
      <w:r w:rsidRPr="00750C80">
        <w:rPr>
          <w:rFonts w:ascii="Times New Roman" w:hAnsi="Times New Roman" w:cs="Times New Roman"/>
          <w:i/>
          <w:sz w:val="24"/>
          <w:szCs w:val="24"/>
        </w:rPr>
        <w:t>dummy</w:t>
      </w:r>
      <w:r w:rsidRPr="00750C80">
        <w:rPr>
          <w:rFonts w:ascii="Times New Roman" w:hAnsi="Times New Roman" w:cs="Times New Roman"/>
          <w:sz w:val="24"/>
          <w:szCs w:val="24"/>
        </w:rPr>
        <w:t xml:space="preserve"> MERCOSUL</w:t>
      </w:r>
      <w:r w:rsidR="00B64F95" w:rsidRPr="00750C80">
        <w:rPr>
          <w:rFonts w:ascii="Times New Roman" w:hAnsi="Times New Roman" w:cs="Times New Roman"/>
          <w:sz w:val="24"/>
          <w:szCs w:val="24"/>
        </w:rPr>
        <w:t>, em substituição ao efeito fronteira.</w:t>
      </w:r>
      <w:r w:rsidRPr="00750C80">
        <w:rPr>
          <w:rFonts w:ascii="Times New Roman" w:hAnsi="Times New Roman" w:cs="Times New Roman"/>
          <w:sz w:val="24"/>
          <w:szCs w:val="24"/>
        </w:rPr>
        <w:t xml:space="preserve"> </w:t>
      </w:r>
      <w:r w:rsidR="00B64F95" w:rsidRPr="00750C80">
        <w:rPr>
          <w:rFonts w:ascii="Times New Roman" w:hAnsi="Times New Roman" w:cs="Times New Roman"/>
          <w:sz w:val="24"/>
          <w:szCs w:val="24"/>
        </w:rPr>
        <w:t>É adotado tal procedimento em decorrência da característica do bloco de facilitação</w:t>
      </w:r>
      <w:r w:rsidRPr="00750C80">
        <w:rPr>
          <w:rFonts w:ascii="Times New Roman" w:hAnsi="Times New Roman" w:cs="Times New Roman"/>
          <w:sz w:val="24"/>
          <w:szCs w:val="24"/>
        </w:rPr>
        <w:t xml:space="preserve"> comercial </w:t>
      </w:r>
      <w:r w:rsidR="00B64F95" w:rsidRPr="00750C80">
        <w:rPr>
          <w:rFonts w:ascii="Times New Roman" w:hAnsi="Times New Roman" w:cs="Times New Roman"/>
          <w:sz w:val="24"/>
          <w:szCs w:val="24"/>
        </w:rPr>
        <w:t>entre</w:t>
      </w:r>
      <w:r w:rsidRPr="00750C80">
        <w:rPr>
          <w:rFonts w:ascii="Times New Roman" w:hAnsi="Times New Roman" w:cs="Times New Roman"/>
          <w:sz w:val="24"/>
          <w:szCs w:val="24"/>
        </w:rPr>
        <w:t xml:space="preserve"> Brasil</w:t>
      </w:r>
      <w:r w:rsidR="00B64F95" w:rsidRPr="00750C80">
        <w:rPr>
          <w:rFonts w:ascii="Times New Roman" w:hAnsi="Times New Roman" w:cs="Times New Roman"/>
          <w:sz w:val="24"/>
          <w:szCs w:val="24"/>
        </w:rPr>
        <w:t xml:space="preserve"> e os países do Cone Sul, </w:t>
      </w:r>
      <w:r w:rsidRPr="00750C80">
        <w:rPr>
          <w:rFonts w:ascii="Times New Roman" w:hAnsi="Times New Roman" w:cs="Times New Roman"/>
          <w:sz w:val="24"/>
          <w:szCs w:val="24"/>
        </w:rPr>
        <w:t>em fins do século XX.</w:t>
      </w:r>
    </w:p>
    <w:p w14:paraId="77A7FD8A" w14:textId="77777777" w:rsidR="00603115" w:rsidRPr="00750C80" w:rsidRDefault="00603115" w:rsidP="00C978DF">
      <w:pPr>
        <w:spacing w:after="0" w:line="360" w:lineRule="auto"/>
        <w:ind w:left="360"/>
        <w:jc w:val="both"/>
        <w:rPr>
          <w:rFonts w:ascii="Times New Roman" w:hAnsi="Times New Roman" w:cs="Times New Roman"/>
          <w:sz w:val="24"/>
          <w:szCs w:val="24"/>
        </w:rPr>
      </w:pPr>
    </w:p>
    <w:p w14:paraId="77A7FD8B" w14:textId="660A9B3B" w:rsidR="00FC08EF" w:rsidRPr="004F1586" w:rsidRDefault="00F741B5" w:rsidP="00C978DF">
      <w:pPr>
        <w:spacing w:after="0" w:line="360" w:lineRule="auto"/>
        <w:jc w:val="both"/>
        <w:rPr>
          <w:rFonts w:ascii="Times New Roman" w:hAnsi="Times New Roman" w:cs="Times New Roman"/>
          <w:b/>
          <w:sz w:val="24"/>
          <w:szCs w:val="24"/>
        </w:rPr>
      </w:pPr>
      <w:r w:rsidRPr="004F1586">
        <w:rPr>
          <w:rFonts w:ascii="Times New Roman" w:hAnsi="Times New Roman" w:cs="Times New Roman"/>
          <w:b/>
          <w:sz w:val="24"/>
          <w:szCs w:val="24"/>
        </w:rPr>
        <w:t xml:space="preserve">3. Integração </w:t>
      </w:r>
      <w:r w:rsidR="005D0F05" w:rsidRPr="004F1586">
        <w:rPr>
          <w:rFonts w:ascii="Times New Roman" w:hAnsi="Times New Roman" w:cs="Times New Roman"/>
          <w:b/>
          <w:sz w:val="24"/>
          <w:szCs w:val="24"/>
        </w:rPr>
        <w:t>regional e dinâmica industrial do brasil</w:t>
      </w:r>
    </w:p>
    <w:p w14:paraId="77A7FD8C" w14:textId="77777777" w:rsidR="006D1E6F" w:rsidRPr="00750C80" w:rsidRDefault="006D1E6F" w:rsidP="00C978DF">
      <w:pPr>
        <w:spacing w:after="0" w:line="360" w:lineRule="auto"/>
        <w:jc w:val="both"/>
        <w:rPr>
          <w:rFonts w:ascii="Times New Roman" w:hAnsi="Times New Roman" w:cs="Times New Roman"/>
          <w:b/>
          <w:sz w:val="24"/>
          <w:szCs w:val="24"/>
        </w:rPr>
      </w:pPr>
    </w:p>
    <w:p w14:paraId="77A7FD8D" w14:textId="4F610DB0" w:rsidR="008776B9" w:rsidRPr="00750C80" w:rsidRDefault="00A61339"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A segunda metade do século XX foi marcada pelo intenso processo de industrialização brasileiro e por maior abertura comercial e integração regional na América Latina.</w:t>
      </w:r>
      <w:r w:rsidR="006E39E4" w:rsidRPr="00750C80">
        <w:rPr>
          <w:rFonts w:ascii="Times New Roman" w:hAnsi="Times New Roman" w:cs="Times New Roman"/>
          <w:sz w:val="24"/>
          <w:szCs w:val="24"/>
        </w:rPr>
        <w:t xml:space="preserve"> </w:t>
      </w:r>
      <w:r w:rsidR="008776B9" w:rsidRPr="00750C80">
        <w:rPr>
          <w:rFonts w:ascii="Times New Roman" w:hAnsi="Times New Roman" w:cs="Times New Roman"/>
          <w:sz w:val="24"/>
          <w:szCs w:val="24"/>
        </w:rPr>
        <w:t xml:space="preserve">A Associação Latino-Americana </w:t>
      </w:r>
      <w:r w:rsidR="00EA4035" w:rsidRPr="00750C80">
        <w:rPr>
          <w:rFonts w:ascii="Times New Roman" w:hAnsi="Times New Roman" w:cs="Times New Roman"/>
          <w:sz w:val="24"/>
          <w:szCs w:val="24"/>
        </w:rPr>
        <w:t>de Livre Comércio (ALALC) surge</w:t>
      </w:r>
      <w:r w:rsidR="008776B9" w:rsidRPr="00750C80">
        <w:rPr>
          <w:rFonts w:ascii="Times New Roman" w:hAnsi="Times New Roman" w:cs="Times New Roman"/>
          <w:sz w:val="24"/>
          <w:szCs w:val="24"/>
        </w:rPr>
        <w:t xml:space="preserve"> em 1960 com o intuito de promover integração econômica regional na América Latina, por meio d</w:t>
      </w:r>
      <w:r w:rsidR="00C8496F">
        <w:rPr>
          <w:rFonts w:ascii="Times New Roman" w:hAnsi="Times New Roman" w:cs="Times New Roman"/>
          <w:sz w:val="24"/>
          <w:szCs w:val="24"/>
        </w:rPr>
        <w:t>a liberalização tarifária intrar</w:t>
      </w:r>
      <w:r w:rsidR="008776B9" w:rsidRPr="00750C80">
        <w:rPr>
          <w:rFonts w:ascii="Times New Roman" w:hAnsi="Times New Roman" w:cs="Times New Roman"/>
          <w:sz w:val="24"/>
          <w:szCs w:val="24"/>
        </w:rPr>
        <w:t xml:space="preserve">regional. Kaplan (1968) e Cavlak (2012) se complementam ao definir como principal objetivo do bloco a intensificação comercial </w:t>
      </w:r>
      <w:r w:rsidR="00952459" w:rsidRPr="00750C80">
        <w:rPr>
          <w:rFonts w:ascii="Times New Roman" w:hAnsi="Times New Roman" w:cs="Times New Roman"/>
          <w:sz w:val="24"/>
          <w:szCs w:val="24"/>
        </w:rPr>
        <w:t xml:space="preserve">entre os países em grupos de bens </w:t>
      </w:r>
      <w:r w:rsidR="008776B9" w:rsidRPr="00750C80">
        <w:rPr>
          <w:rFonts w:ascii="Times New Roman" w:hAnsi="Times New Roman" w:cs="Times New Roman"/>
          <w:sz w:val="24"/>
          <w:szCs w:val="24"/>
        </w:rPr>
        <w:t>de maior</w:t>
      </w:r>
      <w:r w:rsidR="00952459" w:rsidRPr="00750C80">
        <w:rPr>
          <w:rFonts w:ascii="Times New Roman" w:hAnsi="Times New Roman" w:cs="Times New Roman"/>
          <w:sz w:val="24"/>
          <w:szCs w:val="24"/>
        </w:rPr>
        <w:t xml:space="preserve"> valor agregado</w:t>
      </w:r>
      <w:r w:rsidR="008776B9" w:rsidRPr="00750C80">
        <w:rPr>
          <w:rFonts w:ascii="Times New Roman" w:hAnsi="Times New Roman" w:cs="Times New Roman"/>
          <w:sz w:val="24"/>
          <w:szCs w:val="24"/>
        </w:rPr>
        <w:t xml:space="preserve">, por meio da coordenação conjunta de políticas comerciais e redução sistemática das barreiras tarifárias, objetivando a conformação do Processo de Substituição Regional de Importações (PSRI), </w:t>
      </w:r>
      <w:r w:rsidR="00952459" w:rsidRPr="00750C80">
        <w:rPr>
          <w:rFonts w:ascii="Times New Roman" w:hAnsi="Times New Roman" w:cs="Times New Roman"/>
          <w:sz w:val="24"/>
          <w:szCs w:val="24"/>
        </w:rPr>
        <w:t>com base em</w:t>
      </w:r>
      <w:r w:rsidR="008776B9" w:rsidRPr="00750C80">
        <w:rPr>
          <w:rFonts w:ascii="Times New Roman" w:hAnsi="Times New Roman" w:cs="Times New Roman"/>
          <w:sz w:val="24"/>
          <w:szCs w:val="24"/>
        </w:rPr>
        <w:t xml:space="preserve"> Prebisch (1959).</w:t>
      </w:r>
    </w:p>
    <w:p w14:paraId="77A7FD8E" w14:textId="1F8CF7D8" w:rsidR="006E39E4" w:rsidRPr="00750C80" w:rsidRDefault="006E39E4"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Os anseios da </w:t>
      </w:r>
      <w:r w:rsidR="008776B9" w:rsidRPr="00750C80">
        <w:rPr>
          <w:rFonts w:ascii="Times New Roman" w:hAnsi="Times New Roman" w:cs="Times New Roman"/>
          <w:sz w:val="24"/>
          <w:szCs w:val="24"/>
        </w:rPr>
        <w:t xml:space="preserve">ALALC, </w:t>
      </w:r>
      <w:r w:rsidR="00153C94" w:rsidRPr="00750C80">
        <w:rPr>
          <w:rFonts w:ascii="Times New Roman" w:hAnsi="Times New Roman" w:cs="Times New Roman"/>
          <w:sz w:val="24"/>
          <w:szCs w:val="24"/>
        </w:rPr>
        <w:t>com o intuito</w:t>
      </w:r>
      <w:r w:rsidRPr="00750C80">
        <w:rPr>
          <w:rFonts w:ascii="Times New Roman" w:hAnsi="Times New Roman" w:cs="Times New Roman"/>
          <w:sz w:val="24"/>
          <w:szCs w:val="24"/>
        </w:rPr>
        <w:t xml:space="preserve"> de estabelecer o livre comércio em moldes de regionalismo fechado na América do Sul, travaram-se nas disparidades </w:t>
      </w:r>
      <w:r w:rsidR="00153C94" w:rsidRPr="00750C80">
        <w:rPr>
          <w:rFonts w:ascii="Times New Roman" w:hAnsi="Times New Roman" w:cs="Times New Roman"/>
          <w:sz w:val="24"/>
          <w:szCs w:val="24"/>
        </w:rPr>
        <w:t>econômicas</w:t>
      </w:r>
      <w:r w:rsidR="00DA0BBE" w:rsidRPr="00750C80">
        <w:rPr>
          <w:rFonts w:ascii="Times New Roman" w:hAnsi="Times New Roman" w:cs="Times New Roman"/>
          <w:sz w:val="24"/>
          <w:szCs w:val="24"/>
        </w:rPr>
        <w:t xml:space="preserve"> entre os</w:t>
      </w:r>
      <w:r w:rsidRPr="00750C80">
        <w:rPr>
          <w:rFonts w:ascii="Times New Roman" w:hAnsi="Times New Roman" w:cs="Times New Roman"/>
          <w:sz w:val="24"/>
          <w:szCs w:val="24"/>
        </w:rPr>
        <w:t xml:space="preserve"> países na região, referentes à sua base industrial e postura de comércio internacional. A abertura propiciada pelo bloco vigente limitou o desenvolvimento da indústria nas economias mais frágeis, beneficiando em demasiado os países mais av</w:t>
      </w:r>
      <w:r w:rsidR="00B64F95" w:rsidRPr="00750C80">
        <w:rPr>
          <w:rFonts w:ascii="Times New Roman" w:hAnsi="Times New Roman" w:cs="Times New Roman"/>
          <w:sz w:val="24"/>
          <w:szCs w:val="24"/>
        </w:rPr>
        <w:t>ançados da região, com destaque</w:t>
      </w:r>
      <w:r w:rsidRPr="00750C80">
        <w:rPr>
          <w:rFonts w:ascii="Times New Roman" w:hAnsi="Times New Roman" w:cs="Times New Roman"/>
          <w:sz w:val="24"/>
          <w:szCs w:val="24"/>
        </w:rPr>
        <w:t xml:space="preserve"> para Brasil</w:t>
      </w:r>
      <w:r w:rsidR="008776B9" w:rsidRPr="00750C80">
        <w:rPr>
          <w:rFonts w:ascii="Times New Roman" w:hAnsi="Times New Roman" w:cs="Times New Roman"/>
          <w:sz w:val="24"/>
          <w:szCs w:val="24"/>
        </w:rPr>
        <w:t xml:space="preserve"> (PAIVA; BRAGA, 2007).</w:t>
      </w:r>
    </w:p>
    <w:p w14:paraId="77A7FD8F" w14:textId="77777777" w:rsidR="001F400B" w:rsidRPr="00750C80" w:rsidRDefault="001F400B"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Prazeres (2006) afirma que o avanço industrial brasileiro em relação aos demais países o beneficiou como “comercialista”, </w:t>
      </w:r>
      <w:r w:rsidR="00B64F95" w:rsidRPr="00750C80">
        <w:rPr>
          <w:rFonts w:ascii="Times New Roman" w:hAnsi="Times New Roman" w:cs="Times New Roman"/>
          <w:sz w:val="24"/>
          <w:szCs w:val="24"/>
        </w:rPr>
        <w:t>na medida em que</w:t>
      </w:r>
      <w:r w:rsidRPr="00750C80">
        <w:rPr>
          <w:rFonts w:ascii="Times New Roman" w:hAnsi="Times New Roman" w:cs="Times New Roman"/>
          <w:sz w:val="24"/>
          <w:szCs w:val="24"/>
        </w:rPr>
        <w:t xml:space="preserve"> “ganhou” mercados para </w:t>
      </w:r>
      <w:r w:rsidR="00CE784F" w:rsidRPr="00750C80">
        <w:rPr>
          <w:rFonts w:ascii="Times New Roman" w:hAnsi="Times New Roman" w:cs="Times New Roman"/>
          <w:sz w:val="24"/>
          <w:szCs w:val="24"/>
        </w:rPr>
        <w:t>produtos de maior valor agregado</w:t>
      </w:r>
      <w:r w:rsidRPr="00750C80">
        <w:rPr>
          <w:rFonts w:ascii="Times New Roman" w:hAnsi="Times New Roman" w:cs="Times New Roman"/>
          <w:sz w:val="24"/>
          <w:szCs w:val="24"/>
        </w:rPr>
        <w:t>, devido à abertura comercial dos países vizinhos. Estes, por sua vez, “integracionistas”, buscavam beneficiar-se do crescimento dos mais dinâmicos, complementando sua economia.</w:t>
      </w:r>
      <w:r w:rsidR="00C51016" w:rsidRPr="00750C80">
        <w:rPr>
          <w:rFonts w:ascii="Times New Roman" w:hAnsi="Times New Roman" w:cs="Times New Roman"/>
          <w:sz w:val="24"/>
          <w:szCs w:val="24"/>
        </w:rPr>
        <w:t xml:space="preserve"> </w:t>
      </w:r>
      <w:r w:rsidRPr="00750C80">
        <w:rPr>
          <w:rFonts w:ascii="Times New Roman" w:hAnsi="Times New Roman" w:cs="Times New Roman"/>
          <w:sz w:val="24"/>
          <w:szCs w:val="24"/>
        </w:rPr>
        <w:t xml:space="preserve">Deste </w:t>
      </w:r>
      <w:r w:rsidR="005760A7" w:rsidRPr="00750C80">
        <w:rPr>
          <w:rFonts w:ascii="Times New Roman" w:hAnsi="Times New Roman" w:cs="Times New Roman"/>
          <w:sz w:val="24"/>
          <w:szCs w:val="24"/>
        </w:rPr>
        <w:t xml:space="preserve">modo, é passível de associação </w:t>
      </w:r>
      <w:r w:rsidR="00CE784F" w:rsidRPr="00750C80">
        <w:rPr>
          <w:rFonts w:ascii="Times New Roman" w:hAnsi="Times New Roman" w:cs="Times New Roman"/>
          <w:sz w:val="24"/>
          <w:szCs w:val="24"/>
        </w:rPr>
        <w:t>o dinamismo econômico por demanda,</w:t>
      </w:r>
      <w:r w:rsidRPr="00750C80">
        <w:rPr>
          <w:rFonts w:ascii="Times New Roman" w:hAnsi="Times New Roman" w:cs="Times New Roman"/>
          <w:sz w:val="24"/>
          <w:szCs w:val="24"/>
        </w:rPr>
        <w:t xml:space="preserve"> dos países do bloco</w:t>
      </w:r>
      <w:r w:rsidR="00CE784F" w:rsidRPr="00750C80">
        <w:rPr>
          <w:rFonts w:ascii="Times New Roman" w:hAnsi="Times New Roman" w:cs="Times New Roman"/>
          <w:sz w:val="24"/>
          <w:szCs w:val="24"/>
        </w:rPr>
        <w:t>,</w:t>
      </w:r>
      <w:r w:rsidRPr="00750C80">
        <w:rPr>
          <w:rFonts w:ascii="Times New Roman" w:hAnsi="Times New Roman" w:cs="Times New Roman"/>
          <w:sz w:val="24"/>
          <w:szCs w:val="24"/>
        </w:rPr>
        <w:t xml:space="preserve"> ao</w:t>
      </w:r>
      <w:r w:rsidR="005760A7" w:rsidRPr="00750C80">
        <w:rPr>
          <w:rFonts w:ascii="Times New Roman" w:hAnsi="Times New Roman" w:cs="Times New Roman"/>
          <w:sz w:val="24"/>
          <w:szCs w:val="24"/>
        </w:rPr>
        <w:t xml:space="preserve"> dinamismo </w:t>
      </w:r>
      <w:r w:rsidRPr="00750C80">
        <w:rPr>
          <w:rFonts w:ascii="Times New Roman" w:hAnsi="Times New Roman" w:cs="Times New Roman"/>
          <w:sz w:val="24"/>
          <w:szCs w:val="24"/>
        </w:rPr>
        <w:t>industrial e pauta exportadora</w:t>
      </w:r>
      <w:r w:rsidR="005760A7" w:rsidRPr="00750C80">
        <w:rPr>
          <w:rFonts w:ascii="Times New Roman" w:hAnsi="Times New Roman" w:cs="Times New Roman"/>
          <w:sz w:val="24"/>
          <w:szCs w:val="24"/>
        </w:rPr>
        <w:t xml:space="preserve"> brasileiros </w:t>
      </w:r>
      <w:r w:rsidR="00CE784F" w:rsidRPr="00750C80">
        <w:rPr>
          <w:rFonts w:ascii="Times New Roman" w:hAnsi="Times New Roman" w:cs="Times New Roman"/>
          <w:sz w:val="24"/>
          <w:szCs w:val="24"/>
        </w:rPr>
        <w:t>de maior intensidade tecnológica</w:t>
      </w:r>
      <w:r w:rsidRPr="00750C80">
        <w:rPr>
          <w:rFonts w:ascii="Times New Roman" w:hAnsi="Times New Roman" w:cs="Times New Roman"/>
          <w:sz w:val="24"/>
          <w:szCs w:val="24"/>
        </w:rPr>
        <w:t>.</w:t>
      </w:r>
    </w:p>
    <w:p w14:paraId="77A7FD90" w14:textId="77777777" w:rsidR="007A6314" w:rsidRPr="00750C80" w:rsidRDefault="007A6314"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A institucionalização da “cláusula interna da nação mais favorecida” foi característica marcante da ALALC em sua tentativa de liberalização de mercados regionais e harmonização de políticas visando desenvolvimento conjunto. Consoante Schmitz (2010), concessões tarifárias estabelecidas bilateralmente dentro do bloco deveriam ser dispostas a todo </w:t>
      </w:r>
      <w:r w:rsidR="005760A7" w:rsidRPr="00750C80">
        <w:rPr>
          <w:rFonts w:ascii="Times New Roman" w:hAnsi="Times New Roman" w:cs="Times New Roman"/>
          <w:sz w:val="24"/>
          <w:szCs w:val="24"/>
        </w:rPr>
        <w:t xml:space="preserve">o grupo de </w:t>
      </w:r>
      <w:r w:rsidR="005760A7" w:rsidRPr="00750C80">
        <w:rPr>
          <w:rFonts w:ascii="Times New Roman" w:hAnsi="Times New Roman" w:cs="Times New Roman"/>
          <w:sz w:val="24"/>
          <w:szCs w:val="24"/>
        </w:rPr>
        <w:lastRenderedPageBreak/>
        <w:t xml:space="preserve">países, evitando </w:t>
      </w:r>
      <w:r w:rsidR="00447418" w:rsidRPr="00750C80">
        <w:rPr>
          <w:rFonts w:ascii="Times New Roman" w:hAnsi="Times New Roman" w:cs="Times New Roman"/>
          <w:sz w:val="24"/>
          <w:szCs w:val="24"/>
        </w:rPr>
        <w:t xml:space="preserve">“sub </w:t>
      </w:r>
      <w:r w:rsidRPr="00750C80">
        <w:rPr>
          <w:rFonts w:ascii="Times New Roman" w:hAnsi="Times New Roman" w:cs="Times New Roman"/>
          <w:sz w:val="24"/>
          <w:szCs w:val="24"/>
        </w:rPr>
        <w:t>conformações</w:t>
      </w:r>
      <w:r w:rsidR="00447418" w:rsidRPr="00750C80">
        <w:rPr>
          <w:rFonts w:ascii="Times New Roman" w:hAnsi="Times New Roman" w:cs="Times New Roman"/>
          <w:sz w:val="24"/>
          <w:szCs w:val="24"/>
        </w:rPr>
        <w:t>”</w:t>
      </w:r>
      <w:r w:rsidRPr="00750C80">
        <w:rPr>
          <w:rFonts w:ascii="Times New Roman" w:hAnsi="Times New Roman" w:cs="Times New Roman"/>
          <w:sz w:val="24"/>
          <w:szCs w:val="24"/>
        </w:rPr>
        <w:t xml:space="preserve"> regionais. Esta cláusula possibilitou o estabelecimento de </w:t>
      </w:r>
      <w:r w:rsidR="005760A7" w:rsidRPr="00750C80">
        <w:rPr>
          <w:rFonts w:ascii="Times New Roman" w:hAnsi="Times New Roman" w:cs="Times New Roman"/>
          <w:sz w:val="24"/>
          <w:szCs w:val="24"/>
        </w:rPr>
        <w:t>preferências comerciais comuns a</w:t>
      </w:r>
      <w:r w:rsidRPr="00750C80">
        <w:rPr>
          <w:rFonts w:ascii="Times New Roman" w:hAnsi="Times New Roman" w:cs="Times New Roman"/>
          <w:sz w:val="24"/>
          <w:szCs w:val="24"/>
        </w:rPr>
        <w:t xml:space="preserve"> países com diferentes estruturas comerciais, o que agravou as assimetrias regionais </w:t>
      </w:r>
      <w:r w:rsidR="00D104ED" w:rsidRPr="00750C80">
        <w:rPr>
          <w:rFonts w:ascii="Times New Roman" w:hAnsi="Times New Roman" w:cs="Times New Roman"/>
          <w:sz w:val="24"/>
          <w:szCs w:val="24"/>
        </w:rPr>
        <w:t xml:space="preserve">e </w:t>
      </w:r>
      <w:r w:rsidRPr="00750C80">
        <w:rPr>
          <w:rFonts w:ascii="Times New Roman" w:hAnsi="Times New Roman" w:cs="Times New Roman"/>
          <w:sz w:val="24"/>
          <w:szCs w:val="24"/>
        </w:rPr>
        <w:t>prejudic</w:t>
      </w:r>
      <w:r w:rsidR="00D104ED" w:rsidRPr="00750C80">
        <w:rPr>
          <w:rFonts w:ascii="Times New Roman" w:hAnsi="Times New Roman" w:cs="Times New Roman"/>
          <w:sz w:val="24"/>
          <w:szCs w:val="24"/>
        </w:rPr>
        <w:t>ou</w:t>
      </w:r>
      <w:r w:rsidRPr="00750C80">
        <w:rPr>
          <w:rFonts w:ascii="Times New Roman" w:hAnsi="Times New Roman" w:cs="Times New Roman"/>
          <w:sz w:val="24"/>
          <w:szCs w:val="24"/>
        </w:rPr>
        <w:t xml:space="preserve"> a base industrial de economias frágeis, no continente. Generaliz</w:t>
      </w:r>
      <w:r w:rsidR="00D104ED" w:rsidRPr="00750C80">
        <w:rPr>
          <w:rFonts w:ascii="Times New Roman" w:hAnsi="Times New Roman" w:cs="Times New Roman"/>
          <w:sz w:val="24"/>
          <w:szCs w:val="24"/>
        </w:rPr>
        <w:t xml:space="preserve">ou-se o </w:t>
      </w:r>
      <w:r w:rsidRPr="00750C80">
        <w:rPr>
          <w:rFonts w:ascii="Times New Roman" w:hAnsi="Times New Roman" w:cs="Times New Roman"/>
          <w:sz w:val="24"/>
          <w:szCs w:val="24"/>
        </w:rPr>
        <w:t>desgosto por parte de ec</w:t>
      </w:r>
      <w:r w:rsidR="00D73D41" w:rsidRPr="00750C80">
        <w:rPr>
          <w:rFonts w:ascii="Times New Roman" w:hAnsi="Times New Roman" w:cs="Times New Roman"/>
          <w:sz w:val="24"/>
          <w:szCs w:val="24"/>
        </w:rPr>
        <w:t xml:space="preserve">onomias semelhantemente </w:t>
      </w:r>
      <w:r w:rsidR="00D104ED" w:rsidRPr="00750C80">
        <w:rPr>
          <w:rFonts w:ascii="Times New Roman" w:hAnsi="Times New Roman" w:cs="Times New Roman"/>
          <w:sz w:val="24"/>
          <w:szCs w:val="24"/>
        </w:rPr>
        <w:t>vulneráveis, pois que</w:t>
      </w:r>
      <w:r w:rsidR="00D73D41" w:rsidRPr="00750C80">
        <w:rPr>
          <w:rFonts w:ascii="Times New Roman" w:hAnsi="Times New Roman" w:cs="Times New Roman"/>
          <w:sz w:val="24"/>
          <w:szCs w:val="24"/>
        </w:rPr>
        <w:t xml:space="preserve"> a complementaridade produtiva advinda da formação de economias de escala restringiu-se e beneficiou grupo limitado de países, com destaque para o Brasil </w:t>
      </w:r>
      <w:r w:rsidRPr="00750C80">
        <w:rPr>
          <w:rFonts w:ascii="Times New Roman" w:hAnsi="Times New Roman" w:cs="Times New Roman"/>
          <w:sz w:val="24"/>
          <w:szCs w:val="24"/>
        </w:rPr>
        <w:t>(PAIVA; BRAGA, 2007).</w:t>
      </w:r>
    </w:p>
    <w:p w14:paraId="77A7FD91" w14:textId="77777777" w:rsidR="006E39E4" w:rsidRPr="00750C80" w:rsidRDefault="007A6314"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r w:rsidR="006E39E4" w:rsidRPr="00750C80">
        <w:rPr>
          <w:rFonts w:ascii="Times New Roman" w:hAnsi="Times New Roman" w:cs="Times New Roman"/>
          <w:sz w:val="24"/>
          <w:szCs w:val="24"/>
        </w:rPr>
        <w:t>A Associação Latino</w:t>
      </w:r>
      <w:r w:rsidR="002C5805" w:rsidRPr="00750C80">
        <w:rPr>
          <w:rFonts w:ascii="Times New Roman" w:hAnsi="Times New Roman" w:cs="Times New Roman"/>
          <w:sz w:val="24"/>
          <w:szCs w:val="24"/>
        </w:rPr>
        <w:t>-</w:t>
      </w:r>
      <w:r w:rsidR="006E39E4" w:rsidRPr="00750C80">
        <w:rPr>
          <w:rFonts w:ascii="Times New Roman" w:hAnsi="Times New Roman" w:cs="Times New Roman"/>
          <w:sz w:val="24"/>
          <w:szCs w:val="24"/>
        </w:rPr>
        <w:t xml:space="preserve">americana de Integração (ALADI) surge em 1980 como berço de negociações </w:t>
      </w:r>
      <w:r w:rsidR="00867891" w:rsidRPr="00750C80">
        <w:rPr>
          <w:rFonts w:ascii="Times New Roman" w:hAnsi="Times New Roman" w:cs="Times New Roman"/>
          <w:sz w:val="24"/>
          <w:szCs w:val="24"/>
        </w:rPr>
        <w:t>subcontinental</w:t>
      </w:r>
      <w:r w:rsidR="006E39E4" w:rsidRPr="00750C80">
        <w:rPr>
          <w:rFonts w:ascii="Times New Roman" w:hAnsi="Times New Roman" w:cs="Times New Roman"/>
          <w:sz w:val="24"/>
          <w:szCs w:val="24"/>
        </w:rPr>
        <w:t>, com vistas a</w:t>
      </w:r>
      <w:r w:rsidR="008776B9" w:rsidRPr="00750C80">
        <w:rPr>
          <w:rFonts w:ascii="Times New Roman" w:hAnsi="Times New Roman" w:cs="Times New Roman"/>
          <w:sz w:val="24"/>
          <w:szCs w:val="24"/>
        </w:rPr>
        <w:t xml:space="preserve"> limitar as expoentes </w:t>
      </w:r>
      <w:r w:rsidR="00867891" w:rsidRPr="00750C80">
        <w:rPr>
          <w:rFonts w:ascii="Times New Roman" w:hAnsi="Times New Roman" w:cs="Times New Roman"/>
          <w:sz w:val="24"/>
          <w:szCs w:val="24"/>
        </w:rPr>
        <w:t>vantagens comparativas percebidas regionalmente</w:t>
      </w:r>
      <w:r w:rsidR="008776B9" w:rsidRPr="00750C80">
        <w:rPr>
          <w:rFonts w:ascii="Times New Roman" w:hAnsi="Times New Roman" w:cs="Times New Roman"/>
          <w:sz w:val="24"/>
          <w:szCs w:val="24"/>
        </w:rPr>
        <w:t>, principalmente entre Brasil e as frágeis economias da América do Sul. A</w:t>
      </w:r>
      <w:r w:rsidR="006E39E4" w:rsidRPr="00750C80">
        <w:rPr>
          <w:rFonts w:ascii="Times New Roman" w:hAnsi="Times New Roman" w:cs="Times New Roman"/>
          <w:sz w:val="24"/>
          <w:szCs w:val="24"/>
        </w:rPr>
        <w:t>inda acenando para manutenção do PSRI</w:t>
      </w:r>
      <w:r w:rsidR="008776B9" w:rsidRPr="00750C80">
        <w:rPr>
          <w:rFonts w:ascii="Times New Roman" w:hAnsi="Times New Roman" w:cs="Times New Roman"/>
          <w:sz w:val="24"/>
          <w:szCs w:val="24"/>
        </w:rPr>
        <w:t>, buscava</w:t>
      </w:r>
      <w:r w:rsidR="006E39E4" w:rsidRPr="00750C80">
        <w:rPr>
          <w:rFonts w:ascii="Times New Roman" w:hAnsi="Times New Roman" w:cs="Times New Roman"/>
          <w:sz w:val="24"/>
          <w:szCs w:val="24"/>
        </w:rPr>
        <w:t xml:space="preserve"> promoção de desenvolvimento industrial conjunto</w:t>
      </w:r>
      <w:r w:rsidR="008776B9" w:rsidRPr="00750C80">
        <w:rPr>
          <w:rFonts w:ascii="Times New Roman" w:hAnsi="Times New Roman" w:cs="Times New Roman"/>
          <w:sz w:val="24"/>
          <w:szCs w:val="24"/>
        </w:rPr>
        <w:t xml:space="preserve">, </w:t>
      </w:r>
      <w:r w:rsidR="00506B46" w:rsidRPr="00750C80">
        <w:rPr>
          <w:rFonts w:ascii="Times New Roman" w:hAnsi="Times New Roman" w:cs="Times New Roman"/>
          <w:sz w:val="24"/>
          <w:szCs w:val="24"/>
        </w:rPr>
        <w:t>no entanto, bilateral, diferentemente do modo anterior (BANDEIRA, 2003</w:t>
      </w:r>
      <w:r w:rsidR="00B64F95" w:rsidRPr="00750C80">
        <w:rPr>
          <w:rFonts w:ascii="Times New Roman" w:hAnsi="Times New Roman" w:cs="Times New Roman"/>
          <w:sz w:val="24"/>
          <w:szCs w:val="24"/>
        </w:rPr>
        <w:t>). Objetivou, então,</w:t>
      </w:r>
      <w:r w:rsidR="008776B9" w:rsidRPr="00750C80">
        <w:rPr>
          <w:rFonts w:ascii="Times New Roman" w:hAnsi="Times New Roman" w:cs="Times New Roman"/>
          <w:sz w:val="24"/>
          <w:szCs w:val="24"/>
        </w:rPr>
        <w:t xml:space="preserve"> diminuir as disparidades entre economias com diferentes graus </w:t>
      </w:r>
      <w:r w:rsidR="00867891" w:rsidRPr="00750C80">
        <w:rPr>
          <w:rFonts w:ascii="Times New Roman" w:hAnsi="Times New Roman" w:cs="Times New Roman"/>
          <w:sz w:val="24"/>
          <w:szCs w:val="24"/>
        </w:rPr>
        <w:t>de desenvolvimento industrial</w:t>
      </w:r>
      <w:r w:rsidR="008F5539" w:rsidRPr="00750C80">
        <w:rPr>
          <w:rFonts w:ascii="Times New Roman" w:hAnsi="Times New Roman" w:cs="Times New Roman"/>
          <w:sz w:val="24"/>
          <w:szCs w:val="24"/>
        </w:rPr>
        <w:t xml:space="preserve"> e evitar a manutenção das especializações regionais e vantagens comparativas, intra-bloco</w:t>
      </w:r>
      <w:r w:rsidR="00867891" w:rsidRPr="00750C80">
        <w:rPr>
          <w:rFonts w:ascii="Times New Roman" w:hAnsi="Times New Roman" w:cs="Times New Roman"/>
          <w:sz w:val="24"/>
          <w:szCs w:val="24"/>
        </w:rPr>
        <w:t xml:space="preserve"> </w:t>
      </w:r>
      <w:r w:rsidR="008776B9" w:rsidRPr="00750C80">
        <w:rPr>
          <w:rFonts w:ascii="Times New Roman" w:hAnsi="Times New Roman" w:cs="Times New Roman"/>
          <w:sz w:val="24"/>
          <w:szCs w:val="24"/>
        </w:rPr>
        <w:t>(GRANATO, 2012).</w:t>
      </w:r>
    </w:p>
    <w:p w14:paraId="77A7FD92" w14:textId="4F8BEA24" w:rsidR="006E39E4" w:rsidRPr="00750C80" w:rsidRDefault="006E39E4"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A consequência direta da instauração da ALADI, sob o entendimento de sua característica de não bloco comercial, se deu pela formação de agrupamentos de preferências comerciais sub-regionais, com destaques para o Mercado Comum do Sul (MERCOSUL) e Comunidade Andina (CAN)</w:t>
      </w:r>
      <w:r w:rsidR="007A6314" w:rsidRPr="00750C80">
        <w:rPr>
          <w:rFonts w:ascii="Times New Roman" w:hAnsi="Times New Roman" w:cs="Times New Roman"/>
          <w:sz w:val="24"/>
          <w:szCs w:val="24"/>
        </w:rPr>
        <w:t xml:space="preserve"> (SOUZA; SILVA, 2013)</w:t>
      </w:r>
      <w:r w:rsidR="00585080" w:rsidRPr="00750C80">
        <w:rPr>
          <w:rFonts w:ascii="Times New Roman" w:hAnsi="Times New Roman" w:cs="Times New Roman"/>
          <w:sz w:val="24"/>
          <w:szCs w:val="24"/>
        </w:rPr>
        <w:t>. Por conseguinte, dados agrupamentos mais assimétricos, a condição comercialista brasileira</w:t>
      </w:r>
      <w:r w:rsidR="00DA0BBE" w:rsidRPr="00750C80">
        <w:rPr>
          <w:rFonts w:ascii="Times New Roman" w:hAnsi="Times New Roman" w:cs="Times New Roman"/>
          <w:sz w:val="24"/>
          <w:szCs w:val="24"/>
        </w:rPr>
        <w:t xml:space="preserve"> foi reduzida</w:t>
      </w:r>
      <w:r w:rsidR="00585080" w:rsidRPr="00750C80">
        <w:rPr>
          <w:rFonts w:ascii="Times New Roman" w:hAnsi="Times New Roman" w:cs="Times New Roman"/>
          <w:sz w:val="24"/>
          <w:szCs w:val="24"/>
        </w:rPr>
        <w:t xml:space="preserve"> concomitantemente à pressão por </w:t>
      </w:r>
      <w:r w:rsidRPr="00750C80">
        <w:rPr>
          <w:rFonts w:ascii="Times New Roman" w:hAnsi="Times New Roman" w:cs="Times New Roman"/>
          <w:sz w:val="24"/>
          <w:szCs w:val="24"/>
        </w:rPr>
        <w:t>abertura comerc</w:t>
      </w:r>
      <w:r w:rsidR="008F5539" w:rsidRPr="00750C80">
        <w:rPr>
          <w:rFonts w:ascii="Times New Roman" w:hAnsi="Times New Roman" w:cs="Times New Roman"/>
          <w:sz w:val="24"/>
          <w:szCs w:val="24"/>
        </w:rPr>
        <w:t>ial e financeira a nível global</w:t>
      </w:r>
      <w:r w:rsidR="007A6314" w:rsidRPr="00750C80">
        <w:rPr>
          <w:rFonts w:ascii="Times New Roman" w:hAnsi="Times New Roman" w:cs="Times New Roman"/>
          <w:sz w:val="24"/>
          <w:szCs w:val="24"/>
        </w:rPr>
        <w:t>.</w:t>
      </w:r>
      <w:r w:rsidR="008F5539" w:rsidRPr="00750C80">
        <w:rPr>
          <w:rFonts w:ascii="Times New Roman" w:hAnsi="Times New Roman" w:cs="Times New Roman"/>
          <w:sz w:val="24"/>
          <w:szCs w:val="24"/>
        </w:rPr>
        <w:t xml:space="preserve"> </w:t>
      </w:r>
    </w:p>
    <w:p w14:paraId="77A7FD93" w14:textId="77777777" w:rsidR="006E39E4" w:rsidRPr="00750C80" w:rsidRDefault="003B579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r w:rsidR="00D73D41" w:rsidRPr="00750C80">
        <w:rPr>
          <w:rFonts w:ascii="Times New Roman" w:hAnsi="Times New Roman" w:cs="Times New Roman"/>
          <w:sz w:val="24"/>
          <w:szCs w:val="24"/>
        </w:rPr>
        <w:t xml:space="preserve">Destarte Barbosa (2010) e Granato (2012), </w:t>
      </w:r>
      <w:r w:rsidR="006E39E4" w:rsidRPr="00750C80">
        <w:rPr>
          <w:rFonts w:ascii="Times New Roman" w:hAnsi="Times New Roman" w:cs="Times New Roman"/>
          <w:sz w:val="24"/>
          <w:szCs w:val="24"/>
        </w:rPr>
        <w:t>Brasil e Argentina passam a buscar uma série de acordos de integração os quais culminaram no supracitado bloco MERCOSUL, sob a égide da ALADI</w:t>
      </w:r>
      <w:r w:rsidR="00EB42E1" w:rsidRPr="00750C80">
        <w:rPr>
          <w:rFonts w:ascii="Times New Roman" w:hAnsi="Times New Roman" w:cs="Times New Roman"/>
          <w:sz w:val="24"/>
          <w:szCs w:val="24"/>
        </w:rPr>
        <w:t>,</w:t>
      </w:r>
      <w:r w:rsidR="006E39E4" w:rsidRPr="00750C80">
        <w:rPr>
          <w:rFonts w:ascii="Times New Roman" w:hAnsi="Times New Roman" w:cs="Times New Roman"/>
          <w:sz w:val="24"/>
          <w:szCs w:val="24"/>
        </w:rPr>
        <w:t xml:space="preserve"> ainda na década de 1980, o que tende a influenciar sua aproximação comercial e produtiva em detrimento de economias mais distantes do Cone Sul</w:t>
      </w:r>
      <w:r w:rsidR="00EB42E1" w:rsidRPr="00750C80">
        <w:rPr>
          <w:rFonts w:ascii="Times New Roman" w:hAnsi="Times New Roman" w:cs="Times New Roman"/>
          <w:sz w:val="24"/>
          <w:szCs w:val="24"/>
        </w:rPr>
        <w:t xml:space="preserve">. O MERCOSUL surge então como alternativa de integração regional entre Brasil, Argentina, Paraguai e Uruguai, dado contexto conturbado de abertura comercial e financeira internacionais. </w:t>
      </w:r>
    </w:p>
    <w:p w14:paraId="77A7FD94" w14:textId="77777777" w:rsidR="008C03F7" w:rsidRPr="00750C80" w:rsidRDefault="007E6E7C"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r w:rsidR="008C03F7" w:rsidRPr="00750C80">
        <w:rPr>
          <w:rFonts w:ascii="Times New Roman" w:hAnsi="Times New Roman" w:cs="Times New Roman"/>
          <w:sz w:val="24"/>
          <w:szCs w:val="24"/>
        </w:rPr>
        <w:t xml:space="preserve">Arraes (2011) destaca que esse bloco surgiu em respostas à nova configuração econômica global, mais aberta e integrada, sob a liderança de Brasil e Argentina. </w:t>
      </w:r>
      <w:r w:rsidR="00F116AB" w:rsidRPr="00750C80">
        <w:rPr>
          <w:rFonts w:ascii="Times New Roman" w:hAnsi="Times New Roman" w:cs="Times New Roman"/>
          <w:sz w:val="24"/>
          <w:szCs w:val="24"/>
        </w:rPr>
        <w:t xml:space="preserve">Incentivou-se </w:t>
      </w:r>
      <w:r w:rsidR="008C03F7" w:rsidRPr="00750C80">
        <w:rPr>
          <w:rFonts w:ascii="Times New Roman" w:hAnsi="Times New Roman" w:cs="Times New Roman"/>
          <w:sz w:val="24"/>
          <w:szCs w:val="24"/>
        </w:rPr>
        <w:t>a livre circulação de pessoas, serviços e fatores, adoção de uma tarifa externa comum e coordenação de políticas estratégicas setoriais comuns. Visava, pois, diminuição das assimetrias regionais e inserção qualitativa no cenário internacional (ALMEIDA, 1999). Pode-se identificar o Mercosul como processo de regionalismo aberto, em contraponto às experiências anteriores.</w:t>
      </w:r>
    </w:p>
    <w:p w14:paraId="77A7FD96" w14:textId="68DC94C9" w:rsidR="008C03F7" w:rsidRPr="00750C80" w:rsidRDefault="008C03F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lastRenderedPageBreak/>
        <w:tab/>
        <w:t>Rodrik (2005) estabelece relação diretamente negativa entre as políticas institucionais adotadas no período e a perda de dinâmica e crescimento econômico entre os países sul-americanos, com destaque para o Brasil.</w:t>
      </w:r>
      <w:r w:rsidR="00CE784F" w:rsidRPr="00750C80">
        <w:rPr>
          <w:rFonts w:ascii="Times New Roman" w:hAnsi="Times New Roman" w:cs="Times New Roman"/>
          <w:sz w:val="24"/>
          <w:szCs w:val="24"/>
        </w:rPr>
        <w:t xml:space="preserve"> </w:t>
      </w:r>
      <w:r w:rsidRPr="00750C80">
        <w:rPr>
          <w:rFonts w:ascii="Times New Roman" w:hAnsi="Times New Roman" w:cs="Times New Roman"/>
          <w:sz w:val="24"/>
          <w:szCs w:val="24"/>
        </w:rPr>
        <w:t xml:space="preserve">A nítida percepção de perda de relevância da indústria na composição do PIB brasileiro ao longo </w:t>
      </w:r>
      <w:r w:rsidR="00DA0BBE" w:rsidRPr="00750C80">
        <w:rPr>
          <w:rFonts w:ascii="Times New Roman" w:hAnsi="Times New Roman" w:cs="Times New Roman"/>
          <w:sz w:val="24"/>
          <w:szCs w:val="24"/>
        </w:rPr>
        <w:t>da década de 1990, em paralelo a reestruturação de sua</w:t>
      </w:r>
      <w:r w:rsidRPr="00750C80">
        <w:rPr>
          <w:rFonts w:ascii="Times New Roman" w:hAnsi="Times New Roman" w:cs="Times New Roman"/>
          <w:sz w:val="24"/>
          <w:szCs w:val="24"/>
        </w:rPr>
        <w:t xml:space="preserve"> pauta comercial e aproximação de parceiros extra continente, </w:t>
      </w:r>
      <w:r w:rsidR="00DA0BBE" w:rsidRPr="00750C80">
        <w:rPr>
          <w:rFonts w:ascii="Times New Roman" w:hAnsi="Times New Roman" w:cs="Times New Roman"/>
          <w:sz w:val="24"/>
          <w:szCs w:val="24"/>
        </w:rPr>
        <w:t>impactou negativamente</w:t>
      </w:r>
      <w:r w:rsidRPr="00750C80">
        <w:rPr>
          <w:rFonts w:ascii="Times New Roman" w:hAnsi="Times New Roman" w:cs="Times New Roman"/>
          <w:sz w:val="24"/>
          <w:szCs w:val="24"/>
        </w:rPr>
        <w:t xml:space="preserve"> sobre seu protagonismo a nível regional e, indiretamente, sobre o dinamismo de toda sua economia.</w:t>
      </w:r>
    </w:p>
    <w:p w14:paraId="77A7FD97" w14:textId="77777777" w:rsidR="009C08FF" w:rsidRPr="00750C80" w:rsidRDefault="009C08FF"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Hida</w:t>
      </w:r>
      <w:r w:rsidR="007C603D" w:rsidRPr="00750C80">
        <w:rPr>
          <w:rFonts w:ascii="Times New Roman" w:hAnsi="Times New Roman" w:cs="Times New Roman"/>
          <w:sz w:val="24"/>
          <w:szCs w:val="24"/>
        </w:rPr>
        <w:t>lgo e Feistel (2013</w:t>
      </w:r>
      <w:r w:rsidRPr="00750C80">
        <w:rPr>
          <w:rFonts w:ascii="Times New Roman" w:hAnsi="Times New Roman" w:cs="Times New Roman"/>
          <w:sz w:val="24"/>
          <w:szCs w:val="24"/>
        </w:rPr>
        <w:t xml:space="preserve">) </w:t>
      </w:r>
      <w:r w:rsidR="007C603D" w:rsidRPr="00750C80">
        <w:rPr>
          <w:rFonts w:ascii="Times New Roman" w:hAnsi="Times New Roman" w:cs="Times New Roman"/>
          <w:sz w:val="24"/>
          <w:szCs w:val="24"/>
        </w:rPr>
        <w:t>apontam que a</w:t>
      </w:r>
      <w:r w:rsidRPr="00750C80">
        <w:rPr>
          <w:rFonts w:ascii="Times New Roman" w:hAnsi="Times New Roman" w:cs="Times New Roman"/>
          <w:sz w:val="24"/>
          <w:szCs w:val="24"/>
        </w:rPr>
        <w:t xml:space="preserve">s exportações brasileiras durante as décadas de 1990 e 2010 foram predominantemente produtos intensivos em recursos naturais. Podem-se distinguir dois períodos distintos, com aumento de produtos intensivos de capital durante a década </w:t>
      </w:r>
      <w:r w:rsidR="007C603D" w:rsidRPr="00750C80">
        <w:rPr>
          <w:rFonts w:ascii="Times New Roman" w:hAnsi="Times New Roman" w:cs="Times New Roman"/>
          <w:sz w:val="24"/>
          <w:szCs w:val="24"/>
        </w:rPr>
        <w:t>de 1990, e</w:t>
      </w:r>
      <w:r w:rsidRPr="00750C80">
        <w:rPr>
          <w:rFonts w:ascii="Times New Roman" w:hAnsi="Times New Roman" w:cs="Times New Roman"/>
          <w:sz w:val="24"/>
          <w:szCs w:val="24"/>
        </w:rPr>
        <w:t xml:space="preserve"> perda de participação de produtos intensivos em capital e retomada de intensivos primários como principal da pauta externa brasileira</w:t>
      </w:r>
      <w:r w:rsidR="007C603D" w:rsidRPr="00750C80">
        <w:rPr>
          <w:rFonts w:ascii="Times New Roman" w:hAnsi="Times New Roman" w:cs="Times New Roman"/>
          <w:sz w:val="24"/>
          <w:szCs w:val="24"/>
        </w:rPr>
        <w:t>, a partir de 2001.</w:t>
      </w:r>
    </w:p>
    <w:p w14:paraId="77A7FD98" w14:textId="78AF4253" w:rsidR="00852767" w:rsidRPr="00750C80" w:rsidRDefault="00852767"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Apesar da perda de relevância da indústria na composição do PIB brasileiro como principal economia</w:t>
      </w:r>
      <w:r w:rsidR="00C8496F">
        <w:rPr>
          <w:rFonts w:ascii="Times New Roman" w:hAnsi="Times New Roman" w:cs="Times New Roman"/>
          <w:sz w:val="24"/>
          <w:szCs w:val="24"/>
        </w:rPr>
        <w:t xml:space="preserve"> regional, as exportações intrar</w:t>
      </w:r>
      <w:r w:rsidRPr="00750C80">
        <w:rPr>
          <w:rFonts w:ascii="Times New Roman" w:hAnsi="Times New Roman" w:cs="Times New Roman"/>
          <w:sz w:val="24"/>
          <w:szCs w:val="24"/>
        </w:rPr>
        <w:t xml:space="preserve">regionais são caracteristicamente de médio e alto valor agregado. </w:t>
      </w:r>
      <w:r w:rsidR="00DA0BBE" w:rsidRPr="00750C80">
        <w:rPr>
          <w:rFonts w:ascii="Times New Roman" w:hAnsi="Times New Roman" w:cs="Times New Roman"/>
          <w:sz w:val="24"/>
          <w:szCs w:val="24"/>
        </w:rPr>
        <w:t>Este fator pode ser explicado pela baixa competitividade relativa das indústrias latino-americanas e da ampla especialização regional como exportadores de bens primários para parceiros extra continentais</w:t>
      </w:r>
      <w:r w:rsidRPr="00750C80">
        <w:rPr>
          <w:rFonts w:ascii="Times New Roman" w:hAnsi="Times New Roman" w:cs="Times New Roman"/>
          <w:sz w:val="24"/>
          <w:szCs w:val="24"/>
        </w:rPr>
        <w:t xml:space="preserve"> (</w:t>
      </w:r>
      <w:r w:rsidR="004354B0" w:rsidRPr="00750C80">
        <w:rPr>
          <w:rFonts w:ascii="Times New Roman" w:hAnsi="Times New Roman" w:cs="Times New Roman"/>
          <w:sz w:val="24"/>
          <w:szCs w:val="24"/>
        </w:rPr>
        <w:t>CASTILHO</w:t>
      </w:r>
      <w:r w:rsidRPr="00750C80">
        <w:rPr>
          <w:rFonts w:ascii="Times New Roman" w:hAnsi="Times New Roman" w:cs="Times New Roman"/>
          <w:sz w:val="24"/>
          <w:szCs w:val="24"/>
        </w:rPr>
        <w:t>, 2012).</w:t>
      </w:r>
    </w:p>
    <w:p w14:paraId="20B55087" w14:textId="5A76CFD1" w:rsidR="00AE769F" w:rsidRPr="00750C80" w:rsidRDefault="00AE769F" w:rsidP="00AE769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É destacada a importância do Mercosul para a intensificação</w:t>
      </w:r>
      <w:r w:rsidR="00423DAC" w:rsidRPr="00750C80">
        <w:rPr>
          <w:rFonts w:ascii="Times New Roman" w:hAnsi="Times New Roman" w:cs="Times New Roman"/>
          <w:sz w:val="24"/>
          <w:szCs w:val="24"/>
        </w:rPr>
        <w:t>, em termos absolutos,</w:t>
      </w:r>
      <w:r w:rsidRPr="00750C80">
        <w:rPr>
          <w:rFonts w:ascii="Times New Roman" w:hAnsi="Times New Roman" w:cs="Times New Roman"/>
          <w:sz w:val="24"/>
          <w:szCs w:val="24"/>
        </w:rPr>
        <w:t xml:space="preserve"> das relações comerciais entre os países membros, com destaque ao supracitado mercado de bens de alto valor agregado.</w:t>
      </w:r>
      <w:r w:rsidR="00423DAC" w:rsidRPr="00750C80">
        <w:rPr>
          <w:rFonts w:ascii="Times New Roman" w:hAnsi="Times New Roman" w:cs="Times New Roman"/>
          <w:sz w:val="24"/>
          <w:szCs w:val="24"/>
        </w:rPr>
        <w:t xml:space="preserve"> Gräf e Azevedo (2013) enfatizam a importância brasileira frente os parceiros, como principal economia regional e franco exportador de bens industriais. Os autores indicam que o Brasil é o país que menos pratica importação dos países associados, o que implica que a integração econômica regional estabelecida propicia uma maior abertura comercial para produtos brasileiros nos mercados do Cone Sul.</w:t>
      </w:r>
    </w:p>
    <w:p w14:paraId="77A7FD99" w14:textId="199B6F5B" w:rsidR="006E39E4" w:rsidRPr="00750C80" w:rsidRDefault="00EB42E1"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r w:rsidR="00644604" w:rsidRPr="00750C80">
        <w:rPr>
          <w:rFonts w:ascii="Times New Roman" w:hAnsi="Times New Roman" w:cs="Times New Roman"/>
          <w:sz w:val="24"/>
          <w:szCs w:val="24"/>
        </w:rPr>
        <w:t>Almeida (</w:t>
      </w:r>
      <w:r w:rsidR="001C59C3" w:rsidRPr="00750C80">
        <w:rPr>
          <w:rFonts w:ascii="Times New Roman" w:hAnsi="Times New Roman" w:cs="Times New Roman"/>
          <w:sz w:val="24"/>
          <w:szCs w:val="24"/>
        </w:rPr>
        <w:t>1999</w:t>
      </w:r>
      <w:r w:rsidR="00644604" w:rsidRPr="00750C80">
        <w:rPr>
          <w:rFonts w:ascii="Times New Roman" w:hAnsi="Times New Roman" w:cs="Times New Roman"/>
          <w:sz w:val="24"/>
          <w:szCs w:val="24"/>
        </w:rPr>
        <w:t xml:space="preserve">) ressalta a interdependência entre os países componentes do MERCOSUL, de modo que crises nas principais economias, Brasil e Argentina, refletem acentuadamente na dinâmica </w:t>
      </w:r>
      <w:r w:rsidR="00DA0BBE" w:rsidRPr="00750C80">
        <w:rPr>
          <w:rFonts w:ascii="Times New Roman" w:hAnsi="Times New Roman" w:cs="Times New Roman"/>
          <w:sz w:val="24"/>
          <w:szCs w:val="24"/>
        </w:rPr>
        <w:t>dos mais frágeis Paraguai e Uruguai</w:t>
      </w:r>
      <w:r w:rsidR="00644604" w:rsidRPr="00750C80">
        <w:rPr>
          <w:rFonts w:ascii="Times New Roman" w:hAnsi="Times New Roman" w:cs="Times New Roman"/>
          <w:sz w:val="24"/>
          <w:szCs w:val="24"/>
        </w:rPr>
        <w:t xml:space="preserve">. Apesar dos percalços e instabilidades pela qual o bloco passou na década de 1990, é assegurado </w:t>
      </w:r>
      <w:r w:rsidR="009C4E82" w:rsidRPr="00750C80">
        <w:rPr>
          <w:rFonts w:ascii="Times New Roman" w:hAnsi="Times New Roman" w:cs="Times New Roman"/>
          <w:sz w:val="24"/>
          <w:szCs w:val="24"/>
        </w:rPr>
        <w:t>seus pontos positivos</w:t>
      </w:r>
      <w:r w:rsidR="00644604" w:rsidRPr="00750C80">
        <w:rPr>
          <w:rFonts w:ascii="Times New Roman" w:hAnsi="Times New Roman" w:cs="Times New Roman"/>
          <w:sz w:val="24"/>
          <w:szCs w:val="24"/>
        </w:rPr>
        <w:t xml:space="preserve"> no comércio industrial intra-bloco e no processo de inserção internacional.</w:t>
      </w:r>
    </w:p>
    <w:p w14:paraId="77A7FD9A" w14:textId="77777777" w:rsidR="006E39E4" w:rsidRPr="00750C80" w:rsidRDefault="00256F94"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A década de 2000 é marcada pelo enfraquecimento do MERCOSUL e perda de protagonismo do Brasil na América do Sul, ao passo que o país assumiu forte destaque internacional como franco exportador de</w:t>
      </w:r>
      <w:r w:rsidR="000B4CD2" w:rsidRPr="00750C80">
        <w:rPr>
          <w:rFonts w:ascii="Times New Roman" w:hAnsi="Times New Roman" w:cs="Times New Roman"/>
          <w:sz w:val="24"/>
          <w:szCs w:val="24"/>
        </w:rPr>
        <w:t xml:space="preserve"> produtos</w:t>
      </w:r>
      <w:r w:rsidRPr="00750C80">
        <w:rPr>
          <w:rFonts w:ascii="Times New Roman" w:hAnsi="Times New Roman" w:cs="Times New Roman"/>
          <w:sz w:val="24"/>
          <w:szCs w:val="24"/>
        </w:rPr>
        <w:t xml:space="preserve"> primários</w:t>
      </w:r>
      <w:r w:rsidR="0097538C" w:rsidRPr="00750C80">
        <w:rPr>
          <w:rFonts w:ascii="Times New Roman" w:hAnsi="Times New Roman" w:cs="Times New Roman"/>
          <w:sz w:val="24"/>
          <w:szCs w:val="24"/>
        </w:rPr>
        <w:t xml:space="preserve"> (FENELON; NOBRE; ROCHA, 2015)</w:t>
      </w:r>
      <w:r w:rsidRPr="00750C80">
        <w:rPr>
          <w:rFonts w:ascii="Times New Roman" w:hAnsi="Times New Roman" w:cs="Times New Roman"/>
          <w:sz w:val="24"/>
          <w:szCs w:val="24"/>
        </w:rPr>
        <w:t xml:space="preserve">, o que lhe proporcionou crescimento econômico acentuado e posicionamento conflituoso </w:t>
      </w:r>
      <w:r w:rsidRPr="00750C80">
        <w:rPr>
          <w:rFonts w:ascii="Times New Roman" w:hAnsi="Times New Roman" w:cs="Times New Roman"/>
          <w:sz w:val="24"/>
          <w:szCs w:val="24"/>
        </w:rPr>
        <w:lastRenderedPageBreak/>
        <w:t>frente às demais economias da região, dotadas de estruturas econômicas exportadoras semelhantes.</w:t>
      </w:r>
    </w:p>
    <w:p w14:paraId="77A7FD9B" w14:textId="77777777" w:rsidR="0086480F" w:rsidRPr="00750C80" w:rsidRDefault="0086480F"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Posser e Massuqueti (2014)</w:t>
      </w:r>
      <w:r w:rsidR="00EE08FF" w:rsidRPr="00750C80">
        <w:rPr>
          <w:rFonts w:ascii="Times New Roman" w:hAnsi="Times New Roman" w:cs="Times New Roman"/>
          <w:sz w:val="24"/>
          <w:szCs w:val="24"/>
        </w:rPr>
        <w:t xml:space="preserve"> estudam a evolução das exportações brasileiras por intensidade tecnológica durante a primeira década dos anos 2000 e assinalam a existência do “efeito China”, conforme o qual o crescimento acentuado deste país impactou diretamente no aumento da demanda global por produtos primários. Brasil destacou-se neste processo como forte exportador de produtos de pouca intensidade tecnológica para os chineses.</w:t>
      </w:r>
    </w:p>
    <w:p w14:paraId="77A7FD9C" w14:textId="77777777" w:rsidR="0097538C" w:rsidRPr="00750C80" w:rsidRDefault="0097538C"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A abertura comercial dos anos 1990 provocou uma reestruturação produtiva e comercial do Brasil, com declínio significativo de sua produção industrial. Por conseguinte, o processo de inserção nas cadeias globais de valor se deu </w:t>
      </w:r>
      <w:r w:rsidR="00273797" w:rsidRPr="00750C80">
        <w:rPr>
          <w:rFonts w:ascii="Times New Roman" w:hAnsi="Times New Roman" w:cs="Times New Roman"/>
          <w:sz w:val="24"/>
          <w:szCs w:val="24"/>
        </w:rPr>
        <w:t xml:space="preserve">novamente pelo posicionamento </w:t>
      </w:r>
      <w:r w:rsidRPr="00750C80">
        <w:rPr>
          <w:rFonts w:ascii="Times New Roman" w:hAnsi="Times New Roman" w:cs="Times New Roman"/>
          <w:sz w:val="24"/>
          <w:szCs w:val="24"/>
        </w:rPr>
        <w:t xml:space="preserve">como primário exportador, o que refletiu seu destaque internacional na década de 2000. </w:t>
      </w:r>
    </w:p>
    <w:p w14:paraId="77A7FD9D" w14:textId="6CC315BB" w:rsidR="0097538C" w:rsidRPr="00750C80" w:rsidRDefault="0097538C"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O Gráfico 1 reflete a participação relativa da indústria sobre o Produto Interno Br</w:t>
      </w:r>
      <w:r w:rsidR="00CE784F" w:rsidRPr="00750C80">
        <w:rPr>
          <w:rFonts w:ascii="Times New Roman" w:hAnsi="Times New Roman" w:cs="Times New Roman"/>
          <w:sz w:val="24"/>
          <w:szCs w:val="24"/>
        </w:rPr>
        <w:t>uto do Brasil, entre 1970 e 2010</w:t>
      </w:r>
      <w:r w:rsidRPr="00750C80">
        <w:rPr>
          <w:rFonts w:ascii="Times New Roman" w:hAnsi="Times New Roman" w:cs="Times New Roman"/>
          <w:sz w:val="24"/>
          <w:szCs w:val="24"/>
        </w:rPr>
        <w:t>, representando a dinâmica de sua estrutura produtiva interna, muito em decorrência de seu</w:t>
      </w:r>
      <w:r w:rsidR="00066F84" w:rsidRPr="00750C80">
        <w:rPr>
          <w:rFonts w:ascii="Times New Roman" w:hAnsi="Times New Roman" w:cs="Times New Roman"/>
          <w:sz w:val="24"/>
          <w:szCs w:val="24"/>
        </w:rPr>
        <w:t xml:space="preserve"> discutido</w:t>
      </w:r>
      <w:r w:rsidRPr="00750C80">
        <w:rPr>
          <w:rFonts w:ascii="Times New Roman" w:hAnsi="Times New Roman" w:cs="Times New Roman"/>
          <w:sz w:val="24"/>
          <w:szCs w:val="24"/>
        </w:rPr>
        <w:t xml:space="preserve"> método de inserção internacional. Segue-se: </w:t>
      </w:r>
    </w:p>
    <w:p w14:paraId="39C3DC9D" w14:textId="77777777" w:rsidR="00941827" w:rsidRDefault="00941827" w:rsidP="00941827">
      <w:pPr>
        <w:spacing w:after="0" w:line="360" w:lineRule="auto"/>
        <w:ind w:firstLine="708"/>
        <w:jc w:val="both"/>
        <w:rPr>
          <w:rFonts w:ascii="Times New Roman" w:hAnsi="Times New Roman" w:cs="Times New Roman"/>
          <w:sz w:val="24"/>
          <w:szCs w:val="24"/>
        </w:rPr>
      </w:pPr>
    </w:p>
    <w:p w14:paraId="29F34B61" w14:textId="77777777" w:rsidR="00941827" w:rsidRDefault="00941827" w:rsidP="00941827">
      <w:pPr>
        <w:spacing w:after="0" w:line="240" w:lineRule="auto"/>
        <w:rPr>
          <w:rFonts w:ascii="Times New Roman" w:hAnsi="Times New Roman" w:cs="Times New Roman"/>
          <w:b/>
          <w:sz w:val="24"/>
          <w:szCs w:val="24"/>
        </w:rPr>
      </w:pPr>
      <w:r w:rsidRPr="00C978DF">
        <w:rPr>
          <w:rFonts w:ascii="Times New Roman" w:hAnsi="Times New Roman" w:cs="Times New Roman"/>
          <w:b/>
          <w:sz w:val="24"/>
          <w:szCs w:val="24"/>
        </w:rPr>
        <w:t>Gráfico 1 – Participação percentual da Indústria na composição do Produto Interno Bruto (PIB) total – Brasil (1970-2011)</w:t>
      </w:r>
    </w:p>
    <w:p w14:paraId="759F81A1" w14:textId="77777777" w:rsidR="00941827" w:rsidRPr="00C978DF" w:rsidRDefault="00941827" w:rsidP="00941827">
      <w:pPr>
        <w:spacing w:after="0" w:line="240" w:lineRule="auto"/>
        <w:rPr>
          <w:rFonts w:ascii="Times New Roman" w:hAnsi="Times New Roman" w:cs="Times New Roman"/>
          <w:b/>
          <w:sz w:val="24"/>
          <w:szCs w:val="24"/>
        </w:rPr>
      </w:pPr>
    </w:p>
    <w:p w14:paraId="033D02F1" w14:textId="026797D7" w:rsidR="00941827" w:rsidRPr="00C978DF" w:rsidRDefault="00CF3214" w:rsidP="00941827">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Pr>
          <w:noProof/>
          <w:lang w:eastAsia="pt-BR"/>
        </w:rPr>
        <w:drawing>
          <wp:inline distT="0" distB="0" distL="0" distR="0" wp14:anchorId="5B38CAA0" wp14:editId="0B1D8426">
            <wp:extent cx="5759450" cy="2415540"/>
            <wp:effectExtent l="0" t="0" r="0" b="3810"/>
            <wp:docPr id="1" name="Gráfico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1E315065-5435-445C-A659-E7365D12A4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A677FE" w14:textId="77777777" w:rsidR="00941827" w:rsidRDefault="00941827" w:rsidP="00941827">
      <w:pPr>
        <w:spacing w:after="0" w:line="240" w:lineRule="auto"/>
        <w:jc w:val="both"/>
        <w:rPr>
          <w:rFonts w:ascii="Times New Roman" w:hAnsi="Times New Roman" w:cs="Times New Roman"/>
          <w:sz w:val="20"/>
          <w:szCs w:val="20"/>
        </w:rPr>
      </w:pPr>
    </w:p>
    <w:p w14:paraId="4B563E11" w14:textId="77777777" w:rsidR="00941827" w:rsidRPr="00395486" w:rsidRDefault="00941827" w:rsidP="00941827">
      <w:pPr>
        <w:spacing w:after="0" w:line="240" w:lineRule="auto"/>
        <w:jc w:val="both"/>
        <w:rPr>
          <w:rFonts w:ascii="Times New Roman" w:hAnsi="Times New Roman" w:cs="Times New Roman"/>
          <w:sz w:val="20"/>
          <w:szCs w:val="20"/>
        </w:rPr>
      </w:pPr>
      <w:r w:rsidRPr="00395486">
        <w:rPr>
          <w:rFonts w:ascii="Times New Roman" w:hAnsi="Times New Roman" w:cs="Times New Roman"/>
          <w:sz w:val="20"/>
          <w:szCs w:val="20"/>
        </w:rPr>
        <w:t>Fonte: Elaboração Própria com base em dados disponíveis em FGV (2014).</w:t>
      </w:r>
    </w:p>
    <w:p w14:paraId="347266BD" w14:textId="77777777" w:rsidR="00962773" w:rsidRDefault="00962773" w:rsidP="00C978DF">
      <w:pPr>
        <w:spacing w:after="0" w:line="360" w:lineRule="auto"/>
        <w:ind w:firstLine="708"/>
        <w:jc w:val="both"/>
        <w:rPr>
          <w:rFonts w:ascii="Times New Roman" w:hAnsi="Times New Roman" w:cs="Times New Roman"/>
          <w:sz w:val="24"/>
          <w:szCs w:val="24"/>
        </w:rPr>
      </w:pPr>
    </w:p>
    <w:p w14:paraId="77A7FDA3" w14:textId="5357B78B" w:rsidR="00A1163B" w:rsidRPr="00750C80" w:rsidRDefault="00207A98"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A análise gráfica permite percepção da perda de relevância da indústria na economia doméstica brasileira a partir de 1989. O PSI praticado durante a década anterior possibilitou evolução da participação da indústria na composição do PIB total, quando assumiu valores próximos à 50% do produto nacional, de 1985 a</w:t>
      </w:r>
      <w:r w:rsidR="003F6684" w:rsidRPr="00750C80">
        <w:rPr>
          <w:rFonts w:ascii="Times New Roman" w:hAnsi="Times New Roman" w:cs="Times New Roman"/>
          <w:sz w:val="24"/>
          <w:szCs w:val="24"/>
        </w:rPr>
        <w:t xml:space="preserve"> </w:t>
      </w:r>
      <w:r w:rsidRPr="00750C80">
        <w:rPr>
          <w:rFonts w:ascii="Times New Roman" w:hAnsi="Times New Roman" w:cs="Times New Roman"/>
          <w:sz w:val="24"/>
          <w:szCs w:val="24"/>
        </w:rPr>
        <w:t>1989. Porquanto, a abertura comercial</w:t>
      </w:r>
      <w:r w:rsidR="003F6684" w:rsidRPr="00750C80">
        <w:rPr>
          <w:rFonts w:ascii="Times New Roman" w:hAnsi="Times New Roman" w:cs="Times New Roman"/>
          <w:sz w:val="24"/>
          <w:szCs w:val="24"/>
        </w:rPr>
        <w:t>,</w:t>
      </w:r>
      <w:r w:rsidRPr="00750C80">
        <w:rPr>
          <w:rFonts w:ascii="Times New Roman" w:hAnsi="Times New Roman" w:cs="Times New Roman"/>
          <w:sz w:val="24"/>
          <w:szCs w:val="24"/>
        </w:rPr>
        <w:t xml:space="preserve"> associada às reformas institucionais </w:t>
      </w:r>
      <w:r w:rsidR="003F6684" w:rsidRPr="00750C80">
        <w:rPr>
          <w:rFonts w:ascii="Times New Roman" w:hAnsi="Times New Roman" w:cs="Times New Roman"/>
          <w:sz w:val="24"/>
          <w:szCs w:val="24"/>
        </w:rPr>
        <w:t>de enfoque industrial culminou</w:t>
      </w:r>
      <w:r w:rsidRPr="00750C80">
        <w:rPr>
          <w:rFonts w:ascii="Times New Roman" w:hAnsi="Times New Roman" w:cs="Times New Roman"/>
          <w:sz w:val="24"/>
          <w:szCs w:val="24"/>
        </w:rPr>
        <w:t xml:space="preserve"> na redução sistemática do </w:t>
      </w:r>
      <w:r w:rsidRPr="00750C80">
        <w:rPr>
          <w:rFonts w:ascii="Times New Roman" w:hAnsi="Times New Roman" w:cs="Times New Roman"/>
          <w:sz w:val="24"/>
          <w:szCs w:val="24"/>
        </w:rPr>
        <w:lastRenderedPageBreak/>
        <w:t>PIB industrial no país, mantendo-se em estabilidade inferior à 30% a partir da segunda metade da década de 1990. De</w:t>
      </w:r>
      <w:r w:rsidR="00CE784F" w:rsidRPr="00750C80">
        <w:rPr>
          <w:rFonts w:ascii="Times New Roman" w:hAnsi="Times New Roman" w:cs="Times New Roman"/>
          <w:sz w:val="24"/>
          <w:szCs w:val="24"/>
        </w:rPr>
        <w:t>st</w:t>
      </w:r>
      <w:r w:rsidRPr="00750C80">
        <w:rPr>
          <w:rFonts w:ascii="Times New Roman" w:hAnsi="Times New Roman" w:cs="Times New Roman"/>
          <w:sz w:val="24"/>
          <w:szCs w:val="24"/>
        </w:rPr>
        <w:t>e modo, é possível associar o posicionamento primário exportador às mudanças políticas adotadas previamente e o modo de inserção internacional brasileiro adotado em fins do século XX.</w:t>
      </w:r>
    </w:p>
    <w:p w14:paraId="77A7FDA4" w14:textId="77777777" w:rsidR="00A1163B" w:rsidRPr="00750C80" w:rsidRDefault="004A4555"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Julga-se pertinente </w:t>
      </w:r>
      <w:r w:rsidR="00163872" w:rsidRPr="00750C80">
        <w:rPr>
          <w:rFonts w:ascii="Times New Roman" w:hAnsi="Times New Roman" w:cs="Times New Roman"/>
          <w:sz w:val="24"/>
          <w:szCs w:val="24"/>
        </w:rPr>
        <w:t xml:space="preserve">a </w:t>
      </w:r>
      <w:r w:rsidRPr="00750C80">
        <w:rPr>
          <w:rFonts w:ascii="Times New Roman" w:hAnsi="Times New Roman" w:cs="Times New Roman"/>
          <w:sz w:val="24"/>
          <w:szCs w:val="24"/>
        </w:rPr>
        <w:t>associação da perda de participação da indústria como um todo no PIB brasileiro com a dinamicidade de suas exportações a nível global e regional. Para tanto, apresentam-se os Gráfico 2 e Gráfico 3 referentes à composição das exportações do Brasil para o mundo e para a América do Sul, por segmentação por intensidade tecnológica</w:t>
      </w:r>
      <w:r w:rsidR="00362137" w:rsidRPr="00750C80">
        <w:rPr>
          <w:rStyle w:val="Refdenotaderodap"/>
          <w:rFonts w:ascii="Times New Roman" w:hAnsi="Times New Roman" w:cs="Times New Roman"/>
          <w:sz w:val="24"/>
          <w:szCs w:val="24"/>
        </w:rPr>
        <w:footnoteReference w:id="5"/>
      </w:r>
      <w:r w:rsidR="00CE784F" w:rsidRPr="00750C80">
        <w:rPr>
          <w:rFonts w:ascii="Times New Roman" w:hAnsi="Times New Roman" w:cs="Times New Roman"/>
          <w:sz w:val="24"/>
          <w:szCs w:val="24"/>
        </w:rPr>
        <w:t xml:space="preserve">. </w:t>
      </w:r>
      <w:r w:rsidR="006C278A" w:rsidRPr="00750C80">
        <w:rPr>
          <w:rFonts w:ascii="Times New Roman" w:hAnsi="Times New Roman" w:cs="Times New Roman"/>
          <w:sz w:val="24"/>
          <w:szCs w:val="24"/>
        </w:rPr>
        <w:t xml:space="preserve">O Gráfico 2 expõe a relação entre as exportações </w:t>
      </w:r>
      <w:r w:rsidR="002F3B1B" w:rsidRPr="00750C80">
        <w:rPr>
          <w:rFonts w:ascii="Times New Roman" w:hAnsi="Times New Roman" w:cs="Times New Roman"/>
          <w:sz w:val="24"/>
          <w:szCs w:val="24"/>
        </w:rPr>
        <w:t>de bens segmentados por intensidade tecnológica</w:t>
      </w:r>
      <w:r w:rsidR="00CE784F" w:rsidRPr="00750C80">
        <w:rPr>
          <w:rFonts w:ascii="Times New Roman" w:hAnsi="Times New Roman" w:cs="Times New Roman"/>
          <w:sz w:val="24"/>
          <w:szCs w:val="24"/>
        </w:rPr>
        <w:t xml:space="preserve"> do Brasil para o resto do mundo</w:t>
      </w:r>
      <w:r w:rsidR="002F3B1B" w:rsidRPr="00750C80">
        <w:rPr>
          <w:rFonts w:ascii="Times New Roman" w:hAnsi="Times New Roman" w:cs="Times New Roman"/>
          <w:sz w:val="24"/>
          <w:szCs w:val="24"/>
        </w:rPr>
        <w:t>, entre 1970 e 2010.</w:t>
      </w:r>
    </w:p>
    <w:p w14:paraId="41A682E3" w14:textId="77777777" w:rsidR="001859CE" w:rsidRPr="00750C80" w:rsidRDefault="001859CE" w:rsidP="00C978DF">
      <w:pPr>
        <w:spacing w:after="0" w:line="240" w:lineRule="auto"/>
        <w:jc w:val="both"/>
        <w:rPr>
          <w:rFonts w:ascii="Times New Roman" w:hAnsi="Times New Roman" w:cs="Times New Roman"/>
          <w:b/>
          <w:sz w:val="24"/>
          <w:szCs w:val="24"/>
        </w:rPr>
      </w:pPr>
    </w:p>
    <w:p w14:paraId="77A7FDA6" w14:textId="01C1D251" w:rsidR="004A4555" w:rsidRDefault="0020007E" w:rsidP="00C978DF">
      <w:pPr>
        <w:spacing w:after="0" w:line="240" w:lineRule="auto"/>
        <w:jc w:val="both"/>
        <w:rPr>
          <w:rFonts w:ascii="Times New Roman" w:hAnsi="Times New Roman" w:cs="Times New Roman"/>
          <w:b/>
          <w:sz w:val="24"/>
          <w:szCs w:val="24"/>
        </w:rPr>
      </w:pPr>
      <w:r w:rsidRPr="00750C80">
        <w:rPr>
          <w:rFonts w:ascii="Times New Roman" w:hAnsi="Times New Roman" w:cs="Times New Roman"/>
          <w:b/>
          <w:sz w:val="24"/>
          <w:szCs w:val="24"/>
        </w:rPr>
        <w:t>Gráfico 2 – Exportação por intensidade tecnológica</w:t>
      </w:r>
      <w:r w:rsidR="00941827">
        <w:rPr>
          <w:rFonts w:ascii="Times New Roman" w:hAnsi="Times New Roman" w:cs="Times New Roman"/>
          <w:b/>
          <w:sz w:val="24"/>
          <w:szCs w:val="24"/>
        </w:rPr>
        <w:t>: Brasil – m</w:t>
      </w:r>
      <w:r w:rsidR="002F3B1B" w:rsidRPr="00750C80">
        <w:rPr>
          <w:rFonts w:ascii="Times New Roman" w:hAnsi="Times New Roman" w:cs="Times New Roman"/>
          <w:b/>
          <w:sz w:val="24"/>
          <w:szCs w:val="24"/>
        </w:rPr>
        <w:t>undo (1970 a 2010</w:t>
      </w:r>
      <w:r w:rsidRPr="00750C80">
        <w:rPr>
          <w:rFonts w:ascii="Times New Roman" w:hAnsi="Times New Roman" w:cs="Times New Roman"/>
          <w:b/>
          <w:sz w:val="24"/>
          <w:szCs w:val="24"/>
        </w:rPr>
        <w:t>)</w:t>
      </w:r>
    </w:p>
    <w:p w14:paraId="4FE526B9" w14:textId="77777777" w:rsidR="00941827" w:rsidRPr="00750C80" w:rsidRDefault="00941827" w:rsidP="00C978DF">
      <w:pPr>
        <w:spacing w:after="0" w:line="240" w:lineRule="auto"/>
        <w:jc w:val="both"/>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9060"/>
      </w:tblGrid>
      <w:tr w:rsidR="0020007E" w:rsidRPr="00750C80" w14:paraId="77A7FDA8" w14:textId="77777777" w:rsidTr="005424B2">
        <w:tc>
          <w:tcPr>
            <w:tcW w:w="9210" w:type="dxa"/>
          </w:tcPr>
          <w:p w14:paraId="77A7FDA7" w14:textId="77777777" w:rsidR="0020007E" w:rsidRPr="00750C80" w:rsidRDefault="0020007E" w:rsidP="00C978DF">
            <w:pPr>
              <w:spacing w:line="360" w:lineRule="auto"/>
              <w:jc w:val="both"/>
              <w:rPr>
                <w:rFonts w:ascii="Times New Roman" w:hAnsi="Times New Roman" w:cs="Times New Roman"/>
                <w:sz w:val="24"/>
                <w:szCs w:val="24"/>
              </w:rPr>
            </w:pPr>
            <w:r w:rsidRPr="00750C80">
              <w:rPr>
                <w:rFonts w:ascii="Times New Roman" w:hAnsi="Times New Roman" w:cs="Times New Roman"/>
                <w:noProof/>
                <w:sz w:val="24"/>
                <w:szCs w:val="24"/>
                <w:lang w:eastAsia="pt-BR"/>
              </w:rPr>
              <w:drawing>
                <wp:inline distT="0" distB="0" distL="0" distR="0" wp14:anchorId="77A7FF26" wp14:editId="3EDEAD62">
                  <wp:extent cx="5695950" cy="240982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9C40CE8" w14:textId="77777777" w:rsidR="00941827" w:rsidRDefault="00941827" w:rsidP="00C978DF">
      <w:pPr>
        <w:spacing w:after="0" w:line="240" w:lineRule="auto"/>
        <w:jc w:val="both"/>
        <w:rPr>
          <w:rFonts w:ascii="Times New Roman" w:hAnsi="Times New Roman" w:cs="Times New Roman"/>
          <w:sz w:val="20"/>
          <w:szCs w:val="20"/>
        </w:rPr>
      </w:pPr>
    </w:p>
    <w:p w14:paraId="77A7FDA9" w14:textId="001E0818" w:rsidR="004A4555" w:rsidRPr="00750C80" w:rsidRDefault="0020007E" w:rsidP="00C978DF">
      <w:pPr>
        <w:spacing w:after="0" w:line="240" w:lineRule="auto"/>
        <w:jc w:val="both"/>
        <w:rPr>
          <w:rFonts w:ascii="Times New Roman" w:hAnsi="Times New Roman" w:cs="Times New Roman"/>
          <w:sz w:val="20"/>
          <w:szCs w:val="20"/>
        </w:rPr>
      </w:pPr>
      <w:r w:rsidRPr="00750C80">
        <w:rPr>
          <w:rFonts w:ascii="Times New Roman" w:hAnsi="Times New Roman" w:cs="Times New Roman"/>
          <w:sz w:val="20"/>
          <w:szCs w:val="20"/>
        </w:rPr>
        <w:t>Fonte: Elaboração própria com base em informações disponíveis em CEPAL (2016).</w:t>
      </w:r>
    </w:p>
    <w:p w14:paraId="77A7FDAA" w14:textId="77777777" w:rsidR="002F3B1B" w:rsidRPr="00750C80" w:rsidRDefault="002F3B1B" w:rsidP="00C978DF">
      <w:pPr>
        <w:spacing w:after="0" w:line="360" w:lineRule="auto"/>
        <w:jc w:val="both"/>
        <w:rPr>
          <w:rFonts w:ascii="Times New Roman" w:hAnsi="Times New Roman" w:cs="Times New Roman"/>
          <w:sz w:val="24"/>
          <w:szCs w:val="24"/>
        </w:rPr>
      </w:pPr>
    </w:p>
    <w:p w14:paraId="0CEE4CA8" w14:textId="4C772DB1" w:rsidR="00941827" w:rsidRDefault="0020007E" w:rsidP="00446162">
      <w:pPr>
        <w:spacing w:after="0" w:line="360" w:lineRule="auto"/>
        <w:ind w:firstLine="709"/>
        <w:jc w:val="both"/>
        <w:rPr>
          <w:rFonts w:ascii="Times New Roman" w:hAnsi="Times New Roman" w:cs="Times New Roman"/>
          <w:color w:val="222222"/>
          <w:sz w:val="24"/>
          <w:szCs w:val="24"/>
          <w:shd w:val="clear" w:color="auto" w:fill="FFFFFF"/>
        </w:rPr>
      </w:pPr>
      <w:r w:rsidRPr="00750C80">
        <w:rPr>
          <w:rFonts w:ascii="Times New Roman" w:hAnsi="Times New Roman" w:cs="Times New Roman"/>
          <w:color w:val="222222"/>
          <w:sz w:val="24"/>
          <w:szCs w:val="24"/>
          <w:shd w:val="clear" w:color="auto" w:fill="FFFFFF"/>
        </w:rPr>
        <w:t>A análise gráfica infere que o Brasil apresentou forte tendência de diminuição da pauta de exportações de baixa intensidade tecnológica entre 1972 e 1984, quando passou a apresentar uma tendência de estabilidade declinante. É nítida a baixa relevância do setor de alta tecnologia nas exportações brasileiras para o mundo. Em 1970 equivale à 2% das exportações totais do país e em 2010, aproximadamente 6%. Em contrapartida, há visível elevação da pauta de exportações de média</w:t>
      </w:r>
      <w:r w:rsidR="00163872" w:rsidRPr="00750C80">
        <w:rPr>
          <w:rFonts w:ascii="Times New Roman" w:hAnsi="Times New Roman" w:cs="Times New Roman"/>
          <w:color w:val="222222"/>
          <w:sz w:val="24"/>
          <w:szCs w:val="24"/>
          <w:shd w:val="clear" w:color="auto" w:fill="FFFFFF"/>
        </w:rPr>
        <w:t>-baixa intensidade tecnológica</w:t>
      </w:r>
      <w:r w:rsidR="003F6684" w:rsidRPr="00750C80">
        <w:rPr>
          <w:rFonts w:ascii="Times New Roman" w:hAnsi="Times New Roman" w:cs="Times New Roman"/>
          <w:color w:val="222222"/>
          <w:sz w:val="24"/>
          <w:szCs w:val="24"/>
          <w:shd w:val="clear" w:color="auto" w:fill="FFFFFF"/>
        </w:rPr>
        <w:t xml:space="preserve">. </w:t>
      </w:r>
      <w:r w:rsidRPr="00750C80">
        <w:rPr>
          <w:rFonts w:ascii="Times New Roman" w:hAnsi="Times New Roman" w:cs="Times New Roman"/>
          <w:color w:val="222222"/>
          <w:sz w:val="24"/>
          <w:szCs w:val="24"/>
          <w:shd w:val="clear" w:color="auto" w:fill="FFFFFF"/>
        </w:rPr>
        <w:t>Atenta-se ao Gráfico 3 a composição d</w:t>
      </w:r>
      <w:r w:rsidR="00C835C0" w:rsidRPr="00750C80">
        <w:rPr>
          <w:rFonts w:ascii="Times New Roman" w:hAnsi="Times New Roman" w:cs="Times New Roman"/>
          <w:color w:val="222222"/>
          <w:sz w:val="24"/>
          <w:szCs w:val="24"/>
          <w:shd w:val="clear" w:color="auto" w:fill="FFFFFF"/>
        </w:rPr>
        <w:t>as exportações brasileiras para</w:t>
      </w:r>
      <w:r w:rsidRPr="00750C80">
        <w:rPr>
          <w:rFonts w:ascii="Times New Roman" w:hAnsi="Times New Roman" w:cs="Times New Roman"/>
          <w:color w:val="222222"/>
          <w:sz w:val="24"/>
          <w:szCs w:val="24"/>
          <w:shd w:val="clear" w:color="auto" w:fill="FFFFFF"/>
        </w:rPr>
        <w:t xml:space="preserve"> a América do Sul entre 1970 e 2010 conforme distinção por intensidade tecnológica.</w:t>
      </w:r>
    </w:p>
    <w:p w14:paraId="1320C415" w14:textId="77777777" w:rsidR="00446162" w:rsidRPr="00750C80" w:rsidRDefault="00446162" w:rsidP="00446162">
      <w:pPr>
        <w:spacing w:after="0" w:line="360" w:lineRule="auto"/>
        <w:ind w:firstLine="709"/>
        <w:jc w:val="both"/>
        <w:rPr>
          <w:rFonts w:ascii="Times New Roman" w:hAnsi="Times New Roman" w:cs="Times New Roman"/>
          <w:color w:val="222222"/>
          <w:sz w:val="24"/>
          <w:szCs w:val="24"/>
          <w:shd w:val="clear" w:color="auto" w:fill="FFFFFF"/>
        </w:rPr>
      </w:pPr>
    </w:p>
    <w:p w14:paraId="421E6968" w14:textId="72A53577" w:rsidR="00941827" w:rsidRDefault="0079196A" w:rsidP="00941827">
      <w:pPr>
        <w:spacing w:after="0" w:line="240" w:lineRule="auto"/>
        <w:jc w:val="both"/>
        <w:rPr>
          <w:rFonts w:ascii="Times New Roman" w:hAnsi="Times New Roman" w:cs="Times New Roman"/>
          <w:b/>
          <w:color w:val="222222"/>
          <w:sz w:val="24"/>
          <w:szCs w:val="24"/>
          <w:shd w:val="clear" w:color="auto" w:fill="FFFFFF"/>
        </w:rPr>
      </w:pPr>
      <w:r w:rsidRPr="00750C80">
        <w:rPr>
          <w:rFonts w:ascii="Times New Roman" w:hAnsi="Times New Roman" w:cs="Times New Roman"/>
          <w:b/>
          <w:color w:val="222222"/>
          <w:sz w:val="24"/>
          <w:szCs w:val="24"/>
          <w:shd w:val="clear" w:color="auto" w:fill="FFFFFF"/>
        </w:rPr>
        <w:t>Gráfico 3 – Exportações</w:t>
      </w:r>
      <w:r w:rsidR="002F3B1B" w:rsidRPr="00750C80">
        <w:rPr>
          <w:rFonts w:ascii="Times New Roman" w:hAnsi="Times New Roman" w:cs="Times New Roman"/>
          <w:b/>
          <w:color w:val="222222"/>
          <w:sz w:val="24"/>
          <w:szCs w:val="24"/>
          <w:shd w:val="clear" w:color="auto" w:fill="FFFFFF"/>
        </w:rPr>
        <w:t xml:space="preserve"> </w:t>
      </w:r>
      <w:r w:rsidR="0020007E" w:rsidRPr="00750C80">
        <w:rPr>
          <w:rFonts w:ascii="Times New Roman" w:hAnsi="Times New Roman" w:cs="Times New Roman"/>
          <w:b/>
          <w:color w:val="222222"/>
          <w:sz w:val="24"/>
          <w:szCs w:val="24"/>
          <w:shd w:val="clear" w:color="auto" w:fill="FFFFFF"/>
        </w:rPr>
        <w:t>por intensidade tecnológica: Brasil – América do Sul (1970-2010)</w:t>
      </w:r>
    </w:p>
    <w:p w14:paraId="470117DB" w14:textId="77777777" w:rsidR="00941827" w:rsidRPr="00750C80" w:rsidRDefault="00941827" w:rsidP="00941827">
      <w:pPr>
        <w:spacing w:after="0" w:line="240" w:lineRule="auto"/>
        <w:jc w:val="both"/>
        <w:rPr>
          <w:rFonts w:ascii="Times New Roman" w:hAnsi="Times New Roman" w:cs="Times New Roman"/>
          <w:b/>
          <w:color w:val="222222"/>
          <w:sz w:val="24"/>
          <w:szCs w:val="24"/>
          <w:shd w:val="clear" w:color="auto" w:fill="FFFFFF"/>
        </w:rPr>
      </w:pPr>
    </w:p>
    <w:tbl>
      <w:tblPr>
        <w:tblStyle w:val="Tabelacomgrade"/>
        <w:tblW w:w="0" w:type="auto"/>
        <w:tblInd w:w="70" w:type="dxa"/>
        <w:tblCellMar>
          <w:left w:w="70" w:type="dxa"/>
          <w:right w:w="70" w:type="dxa"/>
        </w:tblCellMar>
        <w:tblLook w:val="04A0" w:firstRow="1" w:lastRow="0" w:firstColumn="1" w:lastColumn="0" w:noHBand="0" w:noVBand="1"/>
      </w:tblPr>
      <w:tblGrid>
        <w:gridCol w:w="8990"/>
      </w:tblGrid>
      <w:tr w:rsidR="0020007E" w:rsidRPr="00750C80" w14:paraId="77A7FDAF" w14:textId="77777777" w:rsidTr="00941827">
        <w:trPr>
          <w:trHeight w:val="3971"/>
        </w:trPr>
        <w:tc>
          <w:tcPr>
            <w:tcW w:w="9140" w:type="dxa"/>
          </w:tcPr>
          <w:p w14:paraId="77A7FDAE" w14:textId="77777777" w:rsidR="0020007E" w:rsidRPr="00750C80" w:rsidRDefault="0020007E" w:rsidP="00C978DF">
            <w:pPr>
              <w:spacing w:line="360" w:lineRule="auto"/>
              <w:jc w:val="both"/>
              <w:rPr>
                <w:rFonts w:ascii="Times New Roman" w:hAnsi="Times New Roman" w:cs="Times New Roman"/>
                <w:color w:val="222222"/>
                <w:sz w:val="24"/>
                <w:szCs w:val="24"/>
                <w:shd w:val="clear" w:color="auto" w:fill="FFFFFF"/>
              </w:rPr>
            </w:pPr>
            <w:r w:rsidRPr="00750C80">
              <w:rPr>
                <w:rFonts w:ascii="Times New Roman" w:hAnsi="Times New Roman" w:cs="Times New Roman"/>
                <w:noProof/>
                <w:sz w:val="24"/>
                <w:szCs w:val="24"/>
                <w:lang w:eastAsia="pt-BR"/>
              </w:rPr>
              <w:drawing>
                <wp:inline distT="0" distB="0" distL="0" distR="0" wp14:anchorId="77A7FF28" wp14:editId="3DCD9141">
                  <wp:extent cx="5772150" cy="2486025"/>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161604DE" w14:textId="77777777" w:rsidR="00941827" w:rsidRDefault="00941827" w:rsidP="00941827">
      <w:pPr>
        <w:spacing w:after="0" w:line="240" w:lineRule="auto"/>
        <w:jc w:val="both"/>
        <w:rPr>
          <w:rFonts w:ascii="Times New Roman" w:hAnsi="Times New Roman" w:cs="Times New Roman"/>
          <w:color w:val="222222"/>
          <w:sz w:val="20"/>
          <w:szCs w:val="20"/>
          <w:shd w:val="clear" w:color="auto" w:fill="FFFFFF"/>
        </w:rPr>
      </w:pPr>
    </w:p>
    <w:p w14:paraId="77A7FDB0" w14:textId="6640B1D7" w:rsidR="0020007E" w:rsidRPr="00750C80" w:rsidRDefault="0020007E" w:rsidP="00941827">
      <w:pPr>
        <w:spacing w:after="0" w:line="240" w:lineRule="auto"/>
        <w:jc w:val="both"/>
        <w:rPr>
          <w:rFonts w:ascii="Times New Roman" w:hAnsi="Times New Roman" w:cs="Times New Roman"/>
          <w:color w:val="222222"/>
          <w:sz w:val="20"/>
          <w:szCs w:val="20"/>
          <w:shd w:val="clear" w:color="auto" w:fill="FFFFFF"/>
        </w:rPr>
      </w:pPr>
      <w:r w:rsidRPr="00750C80">
        <w:rPr>
          <w:rFonts w:ascii="Times New Roman" w:hAnsi="Times New Roman" w:cs="Times New Roman"/>
          <w:color w:val="222222"/>
          <w:sz w:val="20"/>
          <w:szCs w:val="20"/>
          <w:shd w:val="clear" w:color="auto" w:fill="FFFFFF"/>
        </w:rPr>
        <w:t>Fonte: Elaboração própria com base em informações d</w:t>
      </w:r>
      <w:r w:rsidR="00633D7C">
        <w:rPr>
          <w:rFonts w:ascii="Times New Roman" w:hAnsi="Times New Roman" w:cs="Times New Roman"/>
          <w:color w:val="222222"/>
          <w:sz w:val="20"/>
          <w:szCs w:val="20"/>
          <w:shd w:val="clear" w:color="auto" w:fill="FFFFFF"/>
        </w:rPr>
        <w:t>isponíveis em CEPAL (2016)</w:t>
      </w:r>
      <w:r w:rsidRPr="00750C80">
        <w:rPr>
          <w:rFonts w:ascii="Times New Roman" w:hAnsi="Times New Roman" w:cs="Times New Roman"/>
          <w:color w:val="222222"/>
          <w:sz w:val="20"/>
          <w:szCs w:val="20"/>
          <w:shd w:val="clear" w:color="auto" w:fill="FFFFFF"/>
        </w:rPr>
        <w:t>.</w:t>
      </w:r>
    </w:p>
    <w:p w14:paraId="77A7FDB1" w14:textId="77777777" w:rsidR="00590571" w:rsidRPr="00750C80" w:rsidRDefault="00590571" w:rsidP="00C978DF">
      <w:pPr>
        <w:spacing w:after="0" w:line="360" w:lineRule="auto"/>
        <w:ind w:firstLine="708"/>
        <w:jc w:val="both"/>
        <w:rPr>
          <w:rFonts w:ascii="Times New Roman" w:hAnsi="Times New Roman" w:cs="Times New Roman"/>
          <w:color w:val="222222"/>
          <w:sz w:val="24"/>
          <w:szCs w:val="24"/>
          <w:shd w:val="clear" w:color="auto" w:fill="FFFFFF"/>
        </w:rPr>
      </w:pPr>
    </w:p>
    <w:p w14:paraId="77A7FDB2" w14:textId="70416E00" w:rsidR="001A164B" w:rsidRPr="00750C80" w:rsidRDefault="001A164B" w:rsidP="00C978DF">
      <w:pPr>
        <w:spacing w:after="0" w:line="360" w:lineRule="auto"/>
        <w:ind w:firstLine="708"/>
        <w:jc w:val="both"/>
        <w:rPr>
          <w:rFonts w:ascii="Times New Roman" w:hAnsi="Times New Roman" w:cs="Times New Roman"/>
          <w:color w:val="222222"/>
          <w:sz w:val="24"/>
          <w:szCs w:val="24"/>
          <w:shd w:val="clear" w:color="auto" w:fill="FFFFFF"/>
        </w:rPr>
      </w:pPr>
      <w:r w:rsidRPr="00750C80">
        <w:rPr>
          <w:rFonts w:ascii="Times New Roman" w:hAnsi="Times New Roman" w:cs="Times New Roman"/>
          <w:color w:val="222222"/>
          <w:sz w:val="24"/>
          <w:szCs w:val="24"/>
          <w:shd w:val="clear" w:color="auto" w:fill="FFFFFF"/>
        </w:rPr>
        <w:t xml:space="preserve">Nota-se um baixo nível de exportações de bens não industriais e de baixa intensidade tecnológica entre o Brasil e a América do Sul. O setor de média-baixa intensidade tecnológica apresentou um suave declínio no período analisado, passando de 18% para 13%. Por outra via, verifica-se grande relevância do continente para os setores de média-alta e alta tecnologia brasileiros, os quais respondem por 34% e 47% das </w:t>
      </w:r>
      <w:r w:rsidR="003F6684" w:rsidRPr="00750C80">
        <w:rPr>
          <w:rFonts w:ascii="Times New Roman" w:hAnsi="Times New Roman" w:cs="Times New Roman"/>
          <w:color w:val="222222"/>
          <w:sz w:val="24"/>
          <w:szCs w:val="24"/>
          <w:shd w:val="clear" w:color="auto" w:fill="FFFFFF"/>
        </w:rPr>
        <w:t>exportações totais brasileiras</w:t>
      </w:r>
      <w:r w:rsidRPr="00750C80">
        <w:rPr>
          <w:rFonts w:ascii="Times New Roman" w:hAnsi="Times New Roman" w:cs="Times New Roman"/>
          <w:color w:val="222222"/>
          <w:sz w:val="24"/>
          <w:szCs w:val="24"/>
          <w:shd w:val="clear" w:color="auto" w:fill="FFFFFF"/>
        </w:rPr>
        <w:t xml:space="preserve">, respectivamente. </w:t>
      </w:r>
    </w:p>
    <w:p w14:paraId="77A7FDB4" w14:textId="3F3A17FA" w:rsidR="003B5797" w:rsidRPr="00750C80" w:rsidRDefault="001A164B" w:rsidP="003F6684">
      <w:pPr>
        <w:spacing w:after="0" w:line="360" w:lineRule="auto"/>
        <w:ind w:firstLine="708"/>
        <w:jc w:val="both"/>
        <w:rPr>
          <w:rFonts w:ascii="Times New Roman" w:hAnsi="Times New Roman" w:cs="Times New Roman"/>
          <w:color w:val="222222"/>
          <w:sz w:val="24"/>
          <w:szCs w:val="24"/>
          <w:shd w:val="clear" w:color="auto" w:fill="FFFFFF"/>
        </w:rPr>
      </w:pPr>
      <w:r w:rsidRPr="00750C80">
        <w:rPr>
          <w:rFonts w:ascii="Times New Roman" w:hAnsi="Times New Roman" w:cs="Times New Roman"/>
          <w:color w:val="222222"/>
          <w:sz w:val="24"/>
          <w:szCs w:val="24"/>
          <w:shd w:val="clear" w:color="auto" w:fill="FFFFFF"/>
        </w:rPr>
        <w:t>Apesar de oscilante ao longo das quatro décadas de análise, é visível a importância do comércio regional para manutenção das exportações brasileiras nestes setores, reforçando a perspectiva do comércio de maior valor agregado na região, sustentado por Castilho (2012).</w:t>
      </w:r>
      <w:r w:rsidR="003F6684" w:rsidRPr="00750C80">
        <w:rPr>
          <w:rFonts w:ascii="Times New Roman" w:hAnsi="Times New Roman" w:cs="Times New Roman"/>
          <w:color w:val="222222"/>
          <w:sz w:val="24"/>
          <w:szCs w:val="24"/>
          <w:shd w:val="clear" w:color="auto" w:fill="FFFFFF"/>
        </w:rPr>
        <w:t xml:space="preserve"> </w:t>
      </w:r>
      <w:r w:rsidR="003B5797" w:rsidRPr="00750C80">
        <w:rPr>
          <w:rFonts w:ascii="Times New Roman" w:hAnsi="Times New Roman" w:cs="Times New Roman"/>
          <w:sz w:val="24"/>
          <w:szCs w:val="24"/>
        </w:rPr>
        <w:t>Assim, a dicotomia entre integração regional voltada ao beneficiamento industrial e a abertura comercial e inserção nos grandes mercados internacionais, marcou a evolução da indústria e competitividade externa do Brasil frente seus parceiros na América do Sul.</w:t>
      </w:r>
    </w:p>
    <w:p w14:paraId="77A7FDB5" w14:textId="23129905" w:rsidR="00BA5C8E" w:rsidRPr="00750C80" w:rsidRDefault="00B9165B"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As nítidas assimetrias na região impossibilitaram a superação conjunta das barreiras estruturais pela deterioração dos termos de troca. </w:t>
      </w:r>
      <w:r w:rsidR="00256F94" w:rsidRPr="00750C80">
        <w:rPr>
          <w:rFonts w:ascii="Times New Roman" w:hAnsi="Times New Roman" w:cs="Times New Roman"/>
          <w:sz w:val="24"/>
          <w:szCs w:val="24"/>
        </w:rPr>
        <w:t xml:space="preserve">Propõe-se, </w:t>
      </w:r>
      <w:r w:rsidR="001A164B" w:rsidRPr="00750C80">
        <w:rPr>
          <w:rFonts w:ascii="Times New Roman" w:hAnsi="Times New Roman" w:cs="Times New Roman"/>
          <w:sz w:val="24"/>
          <w:szCs w:val="24"/>
        </w:rPr>
        <w:t>nas seções seguintes</w:t>
      </w:r>
      <w:r w:rsidR="00256F94" w:rsidRPr="00750C80">
        <w:rPr>
          <w:rFonts w:ascii="Times New Roman" w:hAnsi="Times New Roman" w:cs="Times New Roman"/>
          <w:sz w:val="24"/>
          <w:szCs w:val="24"/>
        </w:rPr>
        <w:t xml:space="preserve">, </w:t>
      </w:r>
      <w:r w:rsidR="001A164B" w:rsidRPr="00750C80">
        <w:rPr>
          <w:rFonts w:ascii="Times New Roman" w:hAnsi="Times New Roman" w:cs="Times New Roman"/>
          <w:sz w:val="24"/>
          <w:szCs w:val="24"/>
        </w:rPr>
        <w:t xml:space="preserve">apresentação da metodologia empregada neste </w:t>
      </w:r>
      <w:r w:rsidR="003F6684" w:rsidRPr="00750C80">
        <w:rPr>
          <w:rFonts w:ascii="Times New Roman" w:hAnsi="Times New Roman" w:cs="Times New Roman"/>
          <w:sz w:val="24"/>
          <w:szCs w:val="24"/>
        </w:rPr>
        <w:t>artigo e modelagem, com vistas a</w:t>
      </w:r>
      <w:r w:rsidR="001A164B" w:rsidRPr="00750C80">
        <w:rPr>
          <w:rFonts w:ascii="Times New Roman" w:hAnsi="Times New Roman" w:cs="Times New Roman"/>
          <w:sz w:val="24"/>
          <w:szCs w:val="24"/>
        </w:rPr>
        <w:t xml:space="preserve"> subsidiar a</w:t>
      </w:r>
      <w:r w:rsidR="00256F94" w:rsidRPr="00750C80">
        <w:rPr>
          <w:rFonts w:ascii="Times New Roman" w:hAnsi="Times New Roman" w:cs="Times New Roman"/>
          <w:sz w:val="24"/>
          <w:szCs w:val="24"/>
        </w:rPr>
        <w:t xml:space="preserve"> percepção das condicionantes sobre a complementaridade comercial brasileira na região, para o setor </w:t>
      </w:r>
      <w:r w:rsidR="00BA6996" w:rsidRPr="00750C80">
        <w:rPr>
          <w:rFonts w:ascii="Times New Roman" w:hAnsi="Times New Roman" w:cs="Times New Roman"/>
          <w:sz w:val="24"/>
          <w:szCs w:val="24"/>
        </w:rPr>
        <w:t>alta intensidade tecnológica</w:t>
      </w:r>
      <w:r w:rsidR="00256F94" w:rsidRPr="00750C80">
        <w:rPr>
          <w:rFonts w:ascii="Times New Roman" w:hAnsi="Times New Roman" w:cs="Times New Roman"/>
          <w:sz w:val="24"/>
          <w:szCs w:val="24"/>
        </w:rPr>
        <w:t xml:space="preserve">, ao </w:t>
      </w:r>
      <w:r w:rsidR="00851BA8" w:rsidRPr="00750C80">
        <w:rPr>
          <w:rFonts w:ascii="Times New Roman" w:hAnsi="Times New Roman" w:cs="Times New Roman"/>
          <w:sz w:val="24"/>
          <w:szCs w:val="24"/>
        </w:rPr>
        <w:t xml:space="preserve">longo do período supracitado.  </w:t>
      </w:r>
    </w:p>
    <w:p w14:paraId="77A7FDBA" w14:textId="77777777" w:rsidR="00851BA8" w:rsidRDefault="00851BA8" w:rsidP="00C978DF">
      <w:pPr>
        <w:spacing w:after="0" w:line="360" w:lineRule="auto"/>
        <w:jc w:val="both"/>
        <w:rPr>
          <w:rFonts w:ascii="Times New Roman" w:hAnsi="Times New Roman" w:cs="Times New Roman"/>
          <w:b/>
          <w:sz w:val="24"/>
          <w:szCs w:val="24"/>
        </w:rPr>
      </w:pPr>
    </w:p>
    <w:p w14:paraId="6B0F18DE" w14:textId="77777777" w:rsidR="00446162" w:rsidRPr="00750C80" w:rsidRDefault="00446162" w:rsidP="00C978DF">
      <w:pPr>
        <w:spacing w:after="0" w:line="360" w:lineRule="auto"/>
        <w:jc w:val="both"/>
        <w:rPr>
          <w:rFonts w:ascii="Times New Roman" w:hAnsi="Times New Roman" w:cs="Times New Roman"/>
          <w:b/>
          <w:sz w:val="24"/>
          <w:szCs w:val="24"/>
        </w:rPr>
      </w:pPr>
    </w:p>
    <w:p w14:paraId="77A7FDBB" w14:textId="77777777" w:rsidR="008776B9" w:rsidRPr="004F1586" w:rsidRDefault="00B02AF2" w:rsidP="00C978DF">
      <w:pPr>
        <w:spacing w:after="0" w:line="360" w:lineRule="auto"/>
        <w:jc w:val="both"/>
        <w:rPr>
          <w:rFonts w:ascii="Times New Roman" w:hAnsi="Times New Roman" w:cs="Times New Roman"/>
          <w:b/>
          <w:sz w:val="24"/>
          <w:szCs w:val="24"/>
        </w:rPr>
      </w:pPr>
      <w:r w:rsidRPr="004F1586">
        <w:rPr>
          <w:rFonts w:ascii="Times New Roman" w:hAnsi="Times New Roman" w:cs="Times New Roman"/>
          <w:b/>
          <w:sz w:val="24"/>
          <w:szCs w:val="24"/>
        </w:rPr>
        <w:lastRenderedPageBreak/>
        <w:t>4. Metodologia</w:t>
      </w:r>
    </w:p>
    <w:p w14:paraId="77A7FDBC" w14:textId="77777777" w:rsidR="00E72A3C" w:rsidRPr="00750C80" w:rsidRDefault="00E72A3C" w:rsidP="00C978DF">
      <w:pPr>
        <w:spacing w:after="0" w:line="360" w:lineRule="auto"/>
        <w:jc w:val="both"/>
        <w:rPr>
          <w:rFonts w:ascii="Times New Roman" w:hAnsi="Times New Roman" w:cs="Times New Roman"/>
          <w:b/>
          <w:sz w:val="24"/>
          <w:szCs w:val="24"/>
        </w:rPr>
      </w:pPr>
    </w:p>
    <w:p w14:paraId="77A7FDBD" w14:textId="130F6285" w:rsidR="006E219C" w:rsidRPr="00750C80" w:rsidRDefault="00B02AF2"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4</w:t>
      </w:r>
      <w:r w:rsidR="00582E54" w:rsidRPr="00750C80">
        <w:rPr>
          <w:rFonts w:ascii="Times New Roman" w:hAnsi="Times New Roman" w:cs="Times New Roman"/>
          <w:sz w:val="24"/>
          <w:szCs w:val="24"/>
        </w:rPr>
        <w:t>.1 Definição</w:t>
      </w:r>
      <w:r w:rsidR="00BA6257" w:rsidRPr="00750C80">
        <w:rPr>
          <w:rFonts w:ascii="Times New Roman" w:hAnsi="Times New Roman" w:cs="Times New Roman"/>
          <w:sz w:val="24"/>
          <w:szCs w:val="24"/>
        </w:rPr>
        <w:t xml:space="preserve"> </w:t>
      </w:r>
      <w:r w:rsidR="005D0F05" w:rsidRPr="00750C80">
        <w:rPr>
          <w:rFonts w:ascii="Times New Roman" w:hAnsi="Times New Roman" w:cs="Times New Roman"/>
          <w:sz w:val="24"/>
          <w:szCs w:val="24"/>
        </w:rPr>
        <w:t>das variáveis e fonte de dados</w:t>
      </w:r>
    </w:p>
    <w:p w14:paraId="77A7FDBE" w14:textId="77777777" w:rsidR="00BA6257" w:rsidRPr="00750C80" w:rsidRDefault="00BA6257" w:rsidP="00C978DF">
      <w:pPr>
        <w:spacing w:after="0" w:line="360" w:lineRule="auto"/>
        <w:jc w:val="both"/>
        <w:rPr>
          <w:rFonts w:ascii="Times New Roman" w:hAnsi="Times New Roman" w:cs="Times New Roman"/>
          <w:sz w:val="24"/>
          <w:szCs w:val="24"/>
        </w:rPr>
      </w:pPr>
    </w:p>
    <w:p w14:paraId="77A7FDBF" w14:textId="73E46298" w:rsidR="00987532" w:rsidRPr="00750C80" w:rsidRDefault="00987532"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Primeiramente, julga-se pertinente explanação acerca da intensidade tecnológica como metodologia de segmentação de bens, em virtude do enfoque especial dado neste trabalho. Conforme dados extraídos do banco de dados da CEPAL, segmentou-se um grupo de 99 bens em 5 intensidades tecnológicas, diga-se: não industriais, baixa intensidade tecnológica, média-baixa intensidade tecnológica, média-alta intensidade tecnológica e alta intensidade tecnológica, em consonância com a nomenclatura comum do MERCOSUL, NCM. </w:t>
      </w:r>
      <w:r w:rsidR="00E62965" w:rsidRPr="00750C80">
        <w:rPr>
          <w:rFonts w:ascii="Times New Roman" w:hAnsi="Times New Roman" w:cs="Times New Roman"/>
          <w:sz w:val="24"/>
          <w:szCs w:val="24"/>
        </w:rPr>
        <w:t xml:space="preserve">Detalha-se </w:t>
      </w:r>
      <w:r w:rsidR="00465520" w:rsidRPr="00750C80">
        <w:rPr>
          <w:rFonts w:ascii="Times New Roman" w:hAnsi="Times New Roman" w:cs="Times New Roman"/>
          <w:sz w:val="24"/>
          <w:szCs w:val="24"/>
        </w:rPr>
        <w:t xml:space="preserve">a seguir </w:t>
      </w:r>
      <w:r w:rsidR="00E62965" w:rsidRPr="00750C80">
        <w:rPr>
          <w:rFonts w:ascii="Times New Roman" w:hAnsi="Times New Roman" w:cs="Times New Roman"/>
          <w:sz w:val="24"/>
          <w:szCs w:val="24"/>
        </w:rPr>
        <w:t>no</w:t>
      </w:r>
      <w:r w:rsidRPr="00750C80">
        <w:rPr>
          <w:rFonts w:ascii="Times New Roman" w:hAnsi="Times New Roman" w:cs="Times New Roman"/>
          <w:sz w:val="24"/>
          <w:szCs w:val="24"/>
        </w:rPr>
        <w:t xml:space="preserve"> </w:t>
      </w:r>
      <w:r w:rsidR="00E62965" w:rsidRPr="00750C80">
        <w:rPr>
          <w:rFonts w:ascii="Times New Roman" w:hAnsi="Times New Roman" w:cs="Times New Roman"/>
          <w:sz w:val="24"/>
          <w:szCs w:val="24"/>
        </w:rPr>
        <w:t>Quadro</w:t>
      </w:r>
      <w:r w:rsidR="00465520" w:rsidRPr="00750C80">
        <w:rPr>
          <w:rFonts w:ascii="Times New Roman" w:hAnsi="Times New Roman" w:cs="Times New Roman"/>
          <w:sz w:val="24"/>
          <w:szCs w:val="24"/>
        </w:rPr>
        <w:t xml:space="preserve"> 1.</w:t>
      </w:r>
    </w:p>
    <w:p w14:paraId="77A7FDC0" w14:textId="77777777" w:rsidR="000D18B7" w:rsidRPr="00750C80" w:rsidRDefault="000D18B7" w:rsidP="00C978DF">
      <w:pPr>
        <w:spacing w:after="0" w:line="360" w:lineRule="auto"/>
        <w:jc w:val="both"/>
        <w:rPr>
          <w:rFonts w:ascii="Times New Roman" w:hAnsi="Times New Roman" w:cs="Times New Roman"/>
          <w:sz w:val="24"/>
          <w:szCs w:val="24"/>
        </w:rPr>
      </w:pPr>
    </w:p>
    <w:p w14:paraId="77A7FDC1" w14:textId="5BB66A51" w:rsidR="00E62965" w:rsidRDefault="00E62965" w:rsidP="00C978DF">
      <w:pPr>
        <w:spacing w:after="0" w:line="240" w:lineRule="auto"/>
        <w:jc w:val="both"/>
        <w:rPr>
          <w:rFonts w:ascii="Times New Roman" w:hAnsi="Times New Roman" w:cs="Times New Roman"/>
          <w:b/>
          <w:sz w:val="24"/>
          <w:szCs w:val="24"/>
        </w:rPr>
      </w:pPr>
      <w:r w:rsidRPr="00750C80">
        <w:rPr>
          <w:rFonts w:ascii="Times New Roman" w:hAnsi="Times New Roman" w:cs="Times New Roman"/>
          <w:b/>
          <w:sz w:val="24"/>
          <w:szCs w:val="24"/>
        </w:rPr>
        <w:t>Quadro 1 – Disposição de bens conforme intensidade tecnológica</w:t>
      </w:r>
    </w:p>
    <w:p w14:paraId="00199573" w14:textId="77777777" w:rsidR="00633D7C" w:rsidRPr="00750C80" w:rsidRDefault="00633D7C" w:rsidP="00C978DF">
      <w:pPr>
        <w:spacing w:after="0" w:line="240" w:lineRule="auto"/>
        <w:jc w:val="both"/>
        <w:rPr>
          <w:rFonts w:ascii="Times New Roman" w:hAnsi="Times New Roman" w:cs="Times New Roman"/>
          <w:b/>
          <w:sz w:val="24"/>
          <w:szCs w:val="24"/>
        </w:rPr>
      </w:pPr>
    </w:p>
    <w:tbl>
      <w:tblPr>
        <w:tblStyle w:val="ListaClara"/>
        <w:tblW w:w="0" w:type="auto"/>
        <w:tblInd w:w="108" w:type="dxa"/>
        <w:tblLook w:val="04A0" w:firstRow="1" w:lastRow="0" w:firstColumn="1" w:lastColumn="0" w:noHBand="0" w:noVBand="1"/>
      </w:tblPr>
      <w:tblGrid>
        <w:gridCol w:w="3573"/>
        <w:gridCol w:w="5369"/>
      </w:tblGrid>
      <w:tr w:rsidR="000D18B7" w:rsidRPr="00750C80" w14:paraId="77A7FDC4" w14:textId="77777777" w:rsidTr="00633D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8" w:type="dxa"/>
          </w:tcPr>
          <w:p w14:paraId="77A7FDC2" w14:textId="77777777" w:rsidR="000D18B7" w:rsidRPr="00750C80" w:rsidRDefault="000D18B7" w:rsidP="00C978DF">
            <w:pPr>
              <w:jc w:val="center"/>
              <w:rPr>
                <w:rFonts w:ascii="Times New Roman" w:hAnsi="Times New Roman" w:cs="Times New Roman"/>
                <w:sz w:val="24"/>
                <w:szCs w:val="24"/>
              </w:rPr>
            </w:pPr>
            <w:r w:rsidRPr="00750C80">
              <w:rPr>
                <w:rFonts w:ascii="Times New Roman" w:hAnsi="Times New Roman" w:cs="Times New Roman"/>
                <w:sz w:val="24"/>
                <w:szCs w:val="24"/>
              </w:rPr>
              <w:t>Intensidade tecnológica</w:t>
            </w:r>
          </w:p>
        </w:tc>
        <w:tc>
          <w:tcPr>
            <w:tcW w:w="5520" w:type="dxa"/>
          </w:tcPr>
          <w:p w14:paraId="77A7FDC3" w14:textId="77777777" w:rsidR="000D18B7" w:rsidRPr="00750C80" w:rsidRDefault="000D18B7" w:rsidP="00C97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Exemplo de bens</w:t>
            </w:r>
          </w:p>
        </w:tc>
      </w:tr>
      <w:tr w:rsidR="000D18B7" w:rsidRPr="00750C80" w14:paraId="77A7FDC7" w14:textId="77777777" w:rsidTr="00633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8" w:type="dxa"/>
          </w:tcPr>
          <w:p w14:paraId="77A7FDC5" w14:textId="77777777" w:rsidR="000D18B7" w:rsidRPr="00750C80" w:rsidRDefault="000D18B7" w:rsidP="00C978DF">
            <w:pPr>
              <w:jc w:val="center"/>
              <w:rPr>
                <w:rFonts w:ascii="Times New Roman" w:hAnsi="Times New Roman" w:cs="Times New Roman"/>
                <w:sz w:val="24"/>
                <w:szCs w:val="24"/>
              </w:rPr>
            </w:pPr>
            <w:r w:rsidRPr="00750C80">
              <w:rPr>
                <w:rFonts w:ascii="Times New Roman" w:hAnsi="Times New Roman" w:cs="Times New Roman"/>
                <w:sz w:val="24"/>
                <w:szCs w:val="24"/>
              </w:rPr>
              <w:t>Não industriais</w:t>
            </w:r>
          </w:p>
        </w:tc>
        <w:tc>
          <w:tcPr>
            <w:tcW w:w="5520" w:type="dxa"/>
          </w:tcPr>
          <w:p w14:paraId="77A7FDC6" w14:textId="77777777" w:rsidR="000D18B7" w:rsidRPr="00750C80" w:rsidRDefault="00E62965" w:rsidP="00C9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Caça, pesca, extrativismo, agricultura</w:t>
            </w:r>
          </w:p>
        </w:tc>
      </w:tr>
      <w:tr w:rsidR="000D18B7" w:rsidRPr="00750C80" w14:paraId="77A7FDCA" w14:textId="77777777" w:rsidTr="00633D7C">
        <w:tc>
          <w:tcPr>
            <w:cnfStyle w:val="001000000000" w:firstRow="0" w:lastRow="0" w:firstColumn="1" w:lastColumn="0" w:oddVBand="0" w:evenVBand="0" w:oddHBand="0" w:evenHBand="0" w:firstRowFirstColumn="0" w:firstRowLastColumn="0" w:lastRowFirstColumn="0" w:lastRowLastColumn="0"/>
            <w:tcW w:w="3658" w:type="dxa"/>
          </w:tcPr>
          <w:p w14:paraId="77A7FDC8" w14:textId="77777777" w:rsidR="000D18B7" w:rsidRPr="00750C80" w:rsidRDefault="000D18B7" w:rsidP="00C978DF">
            <w:pPr>
              <w:jc w:val="center"/>
              <w:rPr>
                <w:rFonts w:ascii="Times New Roman" w:hAnsi="Times New Roman" w:cs="Times New Roman"/>
                <w:sz w:val="24"/>
                <w:szCs w:val="24"/>
              </w:rPr>
            </w:pPr>
            <w:r w:rsidRPr="00750C80">
              <w:rPr>
                <w:rFonts w:ascii="Times New Roman" w:hAnsi="Times New Roman" w:cs="Times New Roman"/>
                <w:sz w:val="24"/>
                <w:szCs w:val="24"/>
              </w:rPr>
              <w:t>Baixa intensidade tecnológica</w:t>
            </w:r>
          </w:p>
        </w:tc>
        <w:tc>
          <w:tcPr>
            <w:tcW w:w="5520" w:type="dxa"/>
          </w:tcPr>
          <w:p w14:paraId="77A7FDC9" w14:textId="77777777" w:rsidR="000D18B7" w:rsidRPr="00750C80" w:rsidRDefault="00E62965" w:rsidP="00C9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Alimentos processados, peças de tecido, couro, madeira</w:t>
            </w:r>
          </w:p>
        </w:tc>
      </w:tr>
      <w:tr w:rsidR="000D18B7" w:rsidRPr="00750C80" w14:paraId="77A7FDCD" w14:textId="77777777" w:rsidTr="00633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8" w:type="dxa"/>
          </w:tcPr>
          <w:p w14:paraId="77A7FDCB" w14:textId="77777777" w:rsidR="000D18B7" w:rsidRPr="00750C80" w:rsidRDefault="000D18B7" w:rsidP="00C978DF">
            <w:pPr>
              <w:jc w:val="center"/>
              <w:rPr>
                <w:rFonts w:ascii="Times New Roman" w:hAnsi="Times New Roman" w:cs="Times New Roman"/>
                <w:sz w:val="24"/>
                <w:szCs w:val="24"/>
              </w:rPr>
            </w:pPr>
            <w:r w:rsidRPr="00750C80">
              <w:rPr>
                <w:rFonts w:ascii="Times New Roman" w:hAnsi="Times New Roman" w:cs="Times New Roman"/>
                <w:sz w:val="24"/>
                <w:szCs w:val="24"/>
              </w:rPr>
              <w:t>Média-baixa intensidade tecnológica</w:t>
            </w:r>
          </w:p>
        </w:tc>
        <w:tc>
          <w:tcPr>
            <w:tcW w:w="5520" w:type="dxa"/>
          </w:tcPr>
          <w:p w14:paraId="77A7FDCC" w14:textId="77777777" w:rsidR="000D18B7" w:rsidRPr="00750C80" w:rsidRDefault="00E62965" w:rsidP="00C9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Minerais e derivados, plástico, metais, energia</w:t>
            </w:r>
          </w:p>
        </w:tc>
      </w:tr>
      <w:tr w:rsidR="000D18B7" w:rsidRPr="00750C80" w14:paraId="77A7FDD0" w14:textId="77777777" w:rsidTr="00633D7C">
        <w:tc>
          <w:tcPr>
            <w:cnfStyle w:val="001000000000" w:firstRow="0" w:lastRow="0" w:firstColumn="1" w:lastColumn="0" w:oddVBand="0" w:evenVBand="0" w:oddHBand="0" w:evenHBand="0" w:firstRowFirstColumn="0" w:firstRowLastColumn="0" w:lastRowFirstColumn="0" w:lastRowLastColumn="0"/>
            <w:tcW w:w="3658" w:type="dxa"/>
          </w:tcPr>
          <w:p w14:paraId="77A7FDCE" w14:textId="77777777" w:rsidR="000D18B7" w:rsidRPr="00750C80" w:rsidRDefault="00E62965" w:rsidP="00C978DF">
            <w:pPr>
              <w:jc w:val="center"/>
              <w:rPr>
                <w:rFonts w:ascii="Times New Roman" w:hAnsi="Times New Roman" w:cs="Times New Roman"/>
                <w:sz w:val="24"/>
                <w:szCs w:val="24"/>
              </w:rPr>
            </w:pPr>
            <w:r w:rsidRPr="00750C80">
              <w:rPr>
                <w:rFonts w:ascii="Times New Roman" w:hAnsi="Times New Roman" w:cs="Times New Roman"/>
                <w:sz w:val="24"/>
                <w:szCs w:val="24"/>
              </w:rPr>
              <w:t>Média-alta intensidade tecnológica</w:t>
            </w:r>
          </w:p>
        </w:tc>
        <w:tc>
          <w:tcPr>
            <w:tcW w:w="5520" w:type="dxa"/>
          </w:tcPr>
          <w:p w14:paraId="77A7FDCF" w14:textId="77777777" w:rsidR="000D18B7" w:rsidRPr="00750C80" w:rsidRDefault="00E62965" w:rsidP="00C978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Maquinário não elétrico, veículos automotores, indústria química não farmacêutica</w:t>
            </w:r>
          </w:p>
        </w:tc>
      </w:tr>
      <w:tr w:rsidR="00E62965" w:rsidRPr="00750C80" w14:paraId="77A7FDD3" w14:textId="77777777" w:rsidTr="00633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8" w:type="dxa"/>
          </w:tcPr>
          <w:p w14:paraId="77A7FDD1" w14:textId="77777777" w:rsidR="00E62965" w:rsidRPr="00750C80" w:rsidRDefault="00E62965" w:rsidP="00C978DF">
            <w:pPr>
              <w:jc w:val="center"/>
              <w:rPr>
                <w:rFonts w:ascii="Times New Roman" w:hAnsi="Times New Roman" w:cs="Times New Roman"/>
                <w:sz w:val="24"/>
                <w:szCs w:val="24"/>
              </w:rPr>
            </w:pPr>
            <w:r w:rsidRPr="00750C80">
              <w:rPr>
                <w:rFonts w:ascii="Times New Roman" w:hAnsi="Times New Roman" w:cs="Times New Roman"/>
                <w:sz w:val="24"/>
                <w:szCs w:val="24"/>
              </w:rPr>
              <w:t>Alta intensidade tecnológica</w:t>
            </w:r>
          </w:p>
        </w:tc>
        <w:tc>
          <w:tcPr>
            <w:tcW w:w="5520" w:type="dxa"/>
          </w:tcPr>
          <w:p w14:paraId="77A7FDD2" w14:textId="77777777" w:rsidR="00E62965" w:rsidRPr="00750C80" w:rsidRDefault="00E62965" w:rsidP="00C978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Maquinário elétrico, indústria farmacêutica, indústria aeronáutica</w:t>
            </w:r>
          </w:p>
        </w:tc>
      </w:tr>
    </w:tbl>
    <w:p w14:paraId="1552B4A4" w14:textId="77777777" w:rsidR="00633D7C" w:rsidRDefault="00633D7C" w:rsidP="00C978DF">
      <w:pPr>
        <w:spacing w:after="0" w:line="240" w:lineRule="auto"/>
        <w:jc w:val="both"/>
        <w:rPr>
          <w:rFonts w:ascii="Times New Roman" w:hAnsi="Times New Roman" w:cs="Times New Roman"/>
          <w:sz w:val="20"/>
          <w:szCs w:val="20"/>
        </w:rPr>
      </w:pPr>
    </w:p>
    <w:p w14:paraId="77A7FDD4" w14:textId="463D2A77" w:rsidR="000D18B7" w:rsidRPr="00750C80" w:rsidRDefault="00E62965" w:rsidP="00C978DF">
      <w:pPr>
        <w:spacing w:after="0" w:line="240" w:lineRule="auto"/>
        <w:jc w:val="both"/>
        <w:rPr>
          <w:rFonts w:ascii="Times New Roman" w:hAnsi="Times New Roman" w:cs="Times New Roman"/>
          <w:sz w:val="20"/>
          <w:szCs w:val="20"/>
        </w:rPr>
      </w:pPr>
      <w:r w:rsidRPr="00750C80">
        <w:rPr>
          <w:rFonts w:ascii="Times New Roman" w:hAnsi="Times New Roman" w:cs="Times New Roman"/>
          <w:sz w:val="20"/>
          <w:szCs w:val="20"/>
        </w:rPr>
        <w:t>Fonte: Elaboração própria com base em informações d</w:t>
      </w:r>
      <w:r w:rsidR="00633D7C">
        <w:rPr>
          <w:rFonts w:ascii="Times New Roman" w:hAnsi="Times New Roman" w:cs="Times New Roman"/>
          <w:sz w:val="20"/>
          <w:szCs w:val="20"/>
        </w:rPr>
        <w:t>isponíveis em CEPAL (2016)</w:t>
      </w:r>
      <w:r w:rsidRPr="00750C80">
        <w:rPr>
          <w:rFonts w:ascii="Times New Roman" w:hAnsi="Times New Roman" w:cs="Times New Roman"/>
          <w:sz w:val="20"/>
          <w:szCs w:val="20"/>
        </w:rPr>
        <w:t>.</w:t>
      </w:r>
    </w:p>
    <w:p w14:paraId="77A7FDD5" w14:textId="77777777" w:rsidR="000D18B7" w:rsidRPr="00750C80" w:rsidRDefault="000D18B7" w:rsidP="00C978DF">
      <w:pPr>
        <w:spacing w:after="0" w:line="360" w:lineRule="auto"/>
        <w:jc w:val="both"/>
        <w:rPr>
          <w:rFonts w:ascii="Times New Roman" w:hAnsi="Times New Roman" w:cs="Times New Roman"/>
          <w:sz w:val="24"/>
          <w:szCs w:val="24"/>
        </w:rPr>
      </w:pPr>
    </w:p>
    <w:p w14:paraId="77A7FDD6" w14:textId="77777777" w:rsidR="00E62965" w:rsidRPr="00750C80" w:rsidRDefault="00E62965"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Verifica-se que há diferença significativa em valor agregado entre bens de diferentes intensidades tecnológicas, assim como dentro de uma mesma categoria. Dedica-se neste trabalho à análise de bens de alta intensidade tecnológica em virtude de sua maior capacidade de promover reformas estruturais, conforme proposto por Prebisch (1959), Furtado (1974), Hausmann, Hwang e Rodrik (2007) e como objetivo das principais experiências de integração institucionalizadas na América Latina ao longo do século XX.</w:t>
      </w:r>
    </w:p>
    <w:p w14:paraId="77A7FDD7" w14:textId="77777777" w:rsidR="00CC3006" w:rsidRPr="00750C80" w:rsidRDefault="00582E54"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Os dados disponíveis para os</w:t>
      </w:r>
      <w:r w:rsidR="00E62965" w:rsidRPr="00750C80">
        <w:rPr>
          <w:rFonts w:ascii="Times New Roman" w:hAnsi="Times New Roman" w:cs="Times New Roman"/>
          <w:sz w:val="24"/>
          <w:szCs w:val="24"/>
        </w:rPr>
        <w:t xml:space="preserve"> 8</w:t>
      </w:r>
      <w:r w:rsidRPr="00750C80">
        <w:rPr>
          <w:rFonts w:ascii="Times New Roman" w:hAnsi="Times New Roman" w:cs="Times New Roman"/>
          <w:sz w:val="24"/>
          <w:szCs w:val="24"/>
        </w:rPr>
        <w:t xml:space="preserve"> países</w:t>
      </w:r>
      <w:r w:rsidR="00C835C0" w:rsidRPr="00750C80">
        <w:rPr>
          <w:rFonts w:ascii="Times New Roman" w:hAnsi="Times New Roman" w:cs="Times New Roman"/>
          <w:sz w:val="24"/>
          <w:szCs w:val="24"/>
        </w:rPr>
        <w:t xml:space="preserve"> (Argentina, Uruguai, Chile, Bolívia, Peru, Equador, Colômbia e Venezuela)</w:t>
      </w:r>
      <w:r w:rsidR="00E62965" w:rsidRPr="00750C80">
        <w:rPr>
          <w:rStyle w:val="Refdenotaderodap"/>
          <w:rFonts w:ascii="Times New Roman" w:hAnsi="Times New Roman" w:cs="Times New Roman"/>
          <w:sz w:val="24"/>
          <w:szCs w:val="24"/>
        </w:rPr>
        <w:footnoteReference w:id="6"/>
      </w:r>
      <w:r w:rsidRPr="00750C80">
        <w:rPr>
          <w:rFonts w:ascii="Times New Roman" w:hAnsi="Times New Roman" w:cs="Times New Roman"/>
          <w:sz w:val="24"/>
          <w:szCs w:val="24"/>
        </w:rPr>
        <w:t xml:space="preserve"> baseiam-se</w:t>
      </w:r>
      <w:r w:rsidR="00CC3006" w:rsidRPr="00750C80">
        <w:rPr>
          <w:rFonts w:ascii="Times New Roman" w:hAnsi="Times New Roman" w:cs="Times New Roman"/>
          <w:sz w:val="24"/>
          <w:szCs w:val="24"/>
        </w:rPr>
        <w:t xml:space="preserve">, principalmente </w:t>
      </w:r>
      <w:r w:rsidRPr="00750C80">
        <w:rPr>
          <w:rFonts w:ascii="Times New Roman" w:hAnsi="Times New Roman" w:cs="Times New Roman"/>
          <w:sz w:val="24"/>
          <w:szCs w:val="24"/>
        </w:rPr>
        <w:t>em</w:t>
      </w:r>
      <w:r w:rsidR="00CC3006" w:rsidRPr="00750C80">
        <w:rPr>
          <w:rFonts w:ascii="Times New Roman" w:hAnsi="Times New Roman" w:cs="Times New Roman"/>
          <w:sz w:val="24"/>
          <w:szCs w:val="24"/>
        </w:rPr>
        <w:t xml:space="preserve"> CEPAL, Fundo Monetário </w:t>
      </w:r>
      <w:r w:rsidR="00CC3006" w:rsidRPr="00750C80">
        <w:rPr>
          <w:rFonts w:ascii="Times New Roman" w:hAnsi="Times New Roman" w:cs="Times New Roman"/>
          <w:sz w:val="24"/>
          <w:szCs w:val="24"/>
        </w:rPr>
        <w:lastRenderedPageBreak/>
        <w:t xml:space="preserve">Internacional (FMI) e Banco Mundial. A frequência anual </w:t>
      </w:r>
      <w:r w:rsidRPr="00750C80">
        <w:rPr>
          <w:rFonts w:ascii="Times New Roman" w:hAnsi="Times New Roman" w:cs="Times New Roman"/>
          <w:sz w:val="24"/>
          <w:szCs w:val="24"/>
        </w:rPr>
        <w:t>do</w:t>
      </w:r>
      <w:r w:rsidR="00CC3006" w:rsidRPr="00750C80">
        <w:rPr>
          <w:rFonts w:ascii="Times New Roman" w:hAnsi="Times New Roman" w:cs="Times New Roman"/>
          <w:sz w:val="24"/>
          <w:szCs w:val="24"/>
        </w:rPr>
        <w:t xml:space="preserve"> período entre 1970 e 201</w:t>
      </w:r>
      <w:r w:rsidR="00B52687" w:rsidRPr="00750C80">
        <w:rPr>
          <w:rFonts w:ascii="Times New Roman" w:hAnsi="Times New Roman" w:cs="Times New Roman"/>
          <w:sz w:val="24"/>
          <w:szCs w:val="24"/>
        </w:rPr>
        <w:t>0</w:t>
      </w:r>
      <w:r w:rsidR="00CC3006" w:rsidRPr="00750C80">
        <w:rPr>
          <w:rFonts w:ascii="Times New Roman" w:hAnsi="Times New Roman" w:cs="Times New Roman"/>
          <w:sz w:val="24"/>
          <w:szCs w:val="24"/>
        </w:rPr>
        <w:t xml:space="preserve"> foi escolhida pela disponibilidade de dados para o maior número de países e por considerar que uma amostra longa é mais explanadora da evolução das relações comerciais no subcontinente. </w:t>
      </w:r>
    </w:p>
    <w:p w14:paraId="77A7FDD8" w14:textId="77777777" w:rsidR="00C978DF" w:rsidRPr="00750C80" w:rsidRDefault="00C978DF" w:rsidP="00C978DF">
      <w:pPr>
        <w:spacing w:after="0" w:line="360" w:lineRule="auto"/>
        <w:jc w:val="both"/>
        <w:rPr>
          <w:rFonts w:ascii="Times New Roman" w:hAnsi="Times New Roman" w:cs="Times New Roman"/>
          <w:sz w:val="24"/>
          <w:szCs w:val="24"/>
        </w:rPr>
      </w:pPr>
    </w:p>
    <w:p w14:paraId="77A7FDD9" w14:textId="56C83874" w:rsidR="00340DAD" w:rsidRDefault="00E62965" w:rsidP="00C978DF">
      <w:pPr>
        <w:spacing w:after="0" w:line="240" w:lineRule="auto"/>
        <w:jc w:val="both"/>
        <w:rPr>
          <w:rFonts w:ascii="Times New Roman" w:hAnsi="Times New Roman" w:cs="Times New Roman"/>
          <w:b/>
          <w:sz w:val="24"/>
          <w:szCs w:val="24"/>
        </w:rPr>
      </w:pPr>
      <w:r w:rsidRPr="00750C80">
        <w:rPr>
          <w:rFonts w:ascii="Times New Roman" w:hAnsi="Times New Roman" w:cs="Times New Roman"/>
          <w:b/>
          <w:sz w:val="24"/>
          <w:szCs w:val="24"/>
        </w:rPr>
        <w:t>Quadro 2</w:t>
      </w:r>
      <w:r w:rsidR="00340DAD" w:rsidRPr="00750C80">
        <w:rPr>
          <w:rFonts w:ascii="Times New Roman" w:hAnsi="Times New Roman" w:cs="Times New Roman"/>
          <w:b/>
          <w:sz w:val="24"/>
          <w:szCs w:val="24"/>
        </w:rPr>
        <w:t xml:space="preserve"> – Variáveis </w:t>
      </w:r>
      <w:r w:rsidR="00633D7C" w:rsidRPr="00750C80">
        <w:rPr>
          <w:rFonts w:ascii="Times New Roman" w:hAnsi="Times New Roman" w:cs="Times New Roman"/>
          <w:b/>
          <w:sz w:val="24"/>
          <w:szCs w:val="24"/>
        </w:rPr>
        <w:t>do modelo e fonte de dados</w:t>
      </w:r>
    </w:p>
    <w:p w14:paraId="3B1793AC" w14:textId="77777777" w:rsidR="00633D7C" w:rsidRPr="00750C80" w:rsidRDefault="00633D7C" w:rsidP="00C978DF">
      <w:pPr>
        <w:spacing w:after="0" w:line="240" w:lineRule="auto"/>
        <w:jc w:val="both"/>
        <w:rPr>
          <w:rFonts w:ascii="Times New Roman" w:hAnsi="Times New Roman" w:cs="Times New Roman"/>
          <w:b/>
          <w:sz w:val="24"/>
          <w:szCs w:val="24"/>
        </w:rPr>
      </w:pPr>
    </w:p>
    <w:tbl>
      <w:tblPr>
        <w:tblStyle w:val="ListaClara"/>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4939"/>
        <w:gridCol w:w="1707"/>
      </w:tblGrid>
      <w:tr w:rsidR="00387E47" w:rsidRPr="00750C80" w14:paraId="77A7FDDD" w14:textId="77777777" w:rsidTr="00633D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tcPr>
          <w:p w14:paraId="77A7FDDA" w14:textId="77777777" w:rsidR="00387E47" w:rsidRPr="00750C80" w:rsidRDefault="00387E47" w:rsidP="00C978DF">
            <w:pPr>
              <w:tabs>
                <w:tab w:val="left" w:pos="1200"/>
                <w:tab w:val="center" w:pos="1460"/>
              </w:tabs>
              <w:rPr>
                <w:rFonts w:ascii="Times New Roman" w:hAnsi="Times New Roman" w:cs="Times New Roman"/>
                <w:sz w:val="24"/>
                <w:szCs w:val="24"/>
              </w:rPr>
            </w:pPr>
            <w:r w:rsidRPr="00750C80">
              <w:rPr>
                <w:rFonts w:ascii="Times New Roman" w:hAnsi="Times New Roman" w:cs="Times New Roman"/>
                <w:sz w:val="24"/>
                <w:szCs w:val="24"/>
              </w:rPr>
              <w:tab/>
            </w:r>
            <w:r w:rsidRPr="00750C80">
              <w:rPr>
                <w:rFonts w:ascii="Times New Roman" w:hAnsi="Times New Roman" w:cs="Times New Roman"/>
                <w:sz w:val="24"/>
                <w:szCs w:val="24"/>
              </w:rPr>
              <w:tab/>
              <w:t>Sigla</w:t>
            </w:r>
          </w:p>
        </w:tc>
        <w:tc>
          <w:tcPr>
            <w:tcW w:w="2790" w:type="pct"/>
          </w:tcPr>
          <w:p w14:paraId="77A7FDDB" w14:textId="77777777" w:rsidR="00387E47" w:rsidRPr="00750C80" w:rsidRDefault="00387E47" w:rsidP="00C97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Nome Original</w:t>
            </w:r>
          </w:p>
        </w:tc>
        <w:tc>
          <w:tcPr>
            <w:tcW w:w="964" w:type="pct"/>
          </w:tcPr>
          <w:p w14:paraId="77A7FDDC" w14:textId="77777777" w:rsidR="00387E47" w:rsidRPr="00750C80" w:rsidRDefault="00387E47" w:rsidP="00C978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Fonte</w:t>
            </w:r>
          </w:p>
        </w:tc>
      </w:tr>
      <w:tr w:rsidR="00387E47" w:rsidRPr="00750C80" w14:paraId="77A7FDE1" w14:textId="77777777" w:rsidTr="00633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vAlign w:val="center"/>
          </w:tcPr>
          <w:p w14:paraId="77A7FDDE" w14:textId="77777777" w:rsidR="00387E47" w:rsidRPr="00750C80" w:rsidRDefault="00507E9A" w:rsidP="00633D7C">
            <w:pPr>
              <w:jc w:val="center"/>
              <w:rPr>
                <w:rFonts w:ascii="Times New Roman" w:hAnsi="Times New Roman" w:cs="Times New Roman"/>
                <w:sz w:val="24"/>
                <w:szCs w:val="24"/>
              </w:rPr>
            </w:pPr>
            <m:oMathPara>
              <m:oMath>
                <m:sSub>
                  <m:sSubPr>
                    <m:ctrlPr>
                      <w:rPr>
                        <w:rFonts w:ascii="Cambria Math" w:eastAsia="Cambria Math" w:hAnsi="Cambria Math" w:cs="Times New Roman"/>
                        <w:sz w:val="24"/>
                        <w:szCs w:val="24"/>
                      </w:rPr>
                    </m:ctrlPr>
                  </m:sSubPr>
                  <m:e>
                    <m:r>
                      <m:rPr>
                        <m:sty m:val="b"/>
                      </m:rPr>
                      <w:rPr>
                        <w:rFonts w:ascii="Cambria Math" w:eastAsia="Cambria Math" w:hAnsi="Cambria Math" w:cs="Times New Roman"/>
                        <w:sz w:val="24"/>
                        <w:szCs w:val="24"/>
                      </w:rPr>
                      <m:t>ICC</m:t>
                    </m:r>
                  </m:e>
                  <m:sub>
                    <m:r>
                      <m:rPr>
                        <m:sty m:val="b"/>
                      </m:rPr>
                      <w:rPr>
                        <w:rFonts w:ascii="Cambria Math" w:eastAsia="Cambria Math" w:hAnsi="Cambria Math" w:cs="Times New Roman"/>
                        <w:sz w:val="24"/>
                        <w:szCs w:val="24"/>
                      </w:rPr>
                      <m:t>altabri</m:t>
                    </m:r>
                  </m:sub>
                </m:sSub>
              </m:oMath>
            </m:oMathPara>
          </w:p>
        </w:tc>
        <w:tc>
          <w:tcPr>
            <w:tcW w:w="2790" w:type="pct"/>
            <w:vAlign w:val="center"/>
          </w:tcPr>
          <w:p w14:paraId="77A7FDDF" w14:textId="77777777" w:rsidR="00387E47" w:rsidRPr="00750C80" w:rsidRDefault="00387E47" w:rsidP="0063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Índice de Complementaridade Comercial</w:t>
            </w:r>
            <w:r w:rsidR="00404A55" w:rsidRPr="00750C80">
              <w:rPr>
                <w:rFonts w:ascii="Times New Roman" w:hAnsi="Times New Roman" w:cs="Times New Roman"/>
                <w:sz w:val="24"/>
                <w:szCs w:val="24"/>
              </w:rPr>
              <w:t xml:space="preserve"> de bens de alta intensidade tecnológica</w:t>
            </w:r>
          </w:p>
        </w:tc>
        <w:tc>
          <w:tcPr>
            <w:tcW w:w="964" w:type="pct"/>
            <w:vAlign w:val="center"/>
          </w:tcPr>
          <w:p w14:paraId="77A7FDE0" w14:textId="77777777" w:rsidR="00387E47" w:rsidRPr="00750C80" w:rsidRDefault="00387E47" w:rsidP="0063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BADECEL – CEPAL</w:t>
            </w:r>
          </w:p>
        </w:tc>
      </w:tr>
      <w:tr w:rsidR="00387E47" w:rsidRPr="00750C80" w14:paraId="77A7FDE5" w14:textId="77777777" w:rsidTr="00633D7C">
        <w:tc>
          <w:tcPr>
            <w:cnfStyle w:val="001000000000" w:firstRow="0" w:lastRow="0" w:firstColumn="1" w:lastColumn="0" w:oddVBand="0" w:evenVBand="0" w:oddHBand="0" w:evenHBand="0" w:firstRowFirstColumn="0" w:firstRowLastColumn="0" w:lastRowFirstColumn="0" w:lastRowLastColumn="0"/>
            <w:tcW w:w="1246" w:type="pct"/>
            <w:vAlign w:val="center"/>
          </w:tcPr>
          <w:p w14:paraId="77A7FDE2" w14:textId="77777777" w:rsidR="00387E47" w:rsidRPr="00750C80" w:rsidRDefault="00507E9A" w:rsidP="00633D7C">
            <w:pPr>
              <w:jc w:val="center"/>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b"/>
                      </m:rPr>
                      <w:rPr>
                        <w:rFonts w:ascii="Cambria Math" w:hAnsi="Cambria Math" w:cs="Times New Roman"/>
                        <w:sz w:val="24"/>
                        <w:szCs w:val="24"/>
                      </w:rPr>
                      <m:t>PIB_Per_capita</m:t>
                    </m:r>
                  </m:e>
                  <m:sub>
                    <m:r>
                      <m:rPr>
                        <m:sty m:val="b"/>
                      </m:rPr>
                      <w:rPr>
                        <w:rFonts w:ascii="Cambria Math" w:hAnsi="Cambria Math" w:cs="Times New Roman"/>
                        <w:sz w:val="24"/>
                        <w:szCs w:val="24"/>
                      </w:rPr>
                      <m:t>BRt</m:t>
                    </m:r>
                  </m:sub>
                </m:sSub>
              </m:oMath>
            </m:oMathPara>
          </w:p>
        </w:tc>
        <w:tc>
          <w:tcPr>
            <w:tcW w:w="2790" w:type="pct"/>
            <w:vAlign w:val="center"/>
          </w:tcPr>
          <w:p w14:paraId="77A7FDE3" w14:textId="77777777" w:rsidR="00387E47" w:rsidRPr="00750C80" w:rsidRDefault="00387E47" w:rsidP="0063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PIB</w:t>
            </w:r>
            <w:r w:rsidR="00404A55" w:rsidRPr="00750C80">
              <w:rPr>
                <w:rFonts w:ascii="Times New Roman" w:hAnsi="Times New Roman" w:cs="Times New Roman"/>
                <w:sz w:val="24"/>
                <w:szCs w:val="24"/>
              </w:rPr>
              <w:t xml:space="preserve"> </w:t>
            </w:r>
            <w:r w:rsidR="00404A55" w:rsidRPr="00750C80">
              <w:rPr>
                <w:rFonts w:ascii="Times New Roman" w:hAnsi="Times New Roman" w:cs="Times New Roman"/>
                <w:i/>
                <w:sz w:val="24"/>
                <w:szCs w:val="24"/>
              </w:rPr>
              <w:t>per capita</w:t>
            </w:r>
            <w:r w:rsidRPr="00750C80">
              <w:rPr>
                <w:rFonts w:ascii="Times New Roman" w:hAnsi="Times New Roman" w:cs="Times New Roman"/>
                <w:sz w:val="24"/>
                <w:szCs w:val="24"/>
              </w:rPr>
              <w:t xml:space="preserve"> do Brasil no tempo t</w:t>
            </w:r>
          </w:p>
        </w:tc>
        <w:tc>
          <w:tcPr>
            <w:tcW w:w="964" w:type="pct"/>
            <w:vAlign w:val="center"/>
          </w:tcPr>
          <w:p w14:paraId="77A7FDE4" w14:textId="77777777" w:rsidR="00387E47" w:rsidRPr="00750C80" w:rsidRDefault="00387E47" w:rsidP="0063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Banco Mundial</w:t>
            </w:r>
          </w:p>
        </w:tc>
      </w:tr>
      <w:tr w:rsidR="00404A55" w:rsidRPr="00750C80" w14:paraId="77A7FDE9" w14:textId="77777777" w:rsidTr="00633D7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246" w:type="pct"/>
            <w:vAlign w:val="center"/>
          </w:tcPr>
          <w:p w14:paraId="77A7FDE6" w14:textId="77777777" w:rsidR="00404A55" w:rsidRPr="00750C80" w:rsidRDefault="00507E9A" w:rsidP="00633D7C">
            <w:pPr>
              <w:jc w:val="center"/>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b"/>
                      </m:rPr>
                      <w:rPr>
                        <w:rFonts w:ascii="Cambria Math" w:hAnsi="Cambria Math" w:cs="Times New Roman"/>
                        <w:sz w:val="24"/>
                        <w:szCs w:val="24"/>
                      </w:rPr>
                      <m:t>PIB_Per_capita</m:t>
                    </m:r>
                  </m:e>
                  <m:sub>
                    <m:r>
                      <m:rPr>
                        <m:sty m:val="b"/>
                      </m:rPr>
                      <w:rPr>
                        <w:rFonts w:ascii="Cambria Math" w:hAnsi="Cambria Math" w:cs="Times New Roman"/>
                        <w:sz w:val="24"/>
                        <w:szCs w:val="24"/>
                      </w:rPr>
                      <m:t>it</m:t>
                    </m:r>
                  </m:sub>
                </m:sSub>
              </m:oMath>
            </m:oMathPara>
          </w:p>
        </w:tc>
        <w:tc>
          <w:tcPr>
            <w:tcW w:w="2790" w:type="pct"/>
            <w:vAlign w:val="center"/>
          </w:tcPr>
          <w:p w14:paraId="77A7FDE7" w14:textId="77777777" w:rsidR="00404A55" w:rsidRPr="00750C80" w:rsidRDefault="00404A55" w:rsidP="0063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xml:space="preserve">PIB per capita do país </w:t>
            </w:r>
            <w:r w:rsidRPr="00750C80">
              <w:rPr>
                <w:rFonts w:ascii="Times New Roman" w:hAnsi="Times New Roman" w:cs="Times New Roman"/>
                <w:i/>
                <w:sz w:val="24"/>
                <w:szCs w:val="24"/>
              </w:rPr>
              <w:t>i</w:t>
            </w:r>
            <w:r w:rsidRPr="00750C80">
              <w:rPr>
                <w:rFonts w:ascii="Times New Roman" w:hAnsi="Times New Roman" w:cs="Times New Roman"/>
                <w:sz w:val="24"/>
                <w:szCs w:val="24"/>
              </w:rPr>
              <w:t xml:space="preserve"> no tempo </w:t>
            </w:r>
            <w:r w:rsidRPr="00750C80">
              <w:rPr>
                <w:rFonts w:ascii="Times New Roman" w:hAnsi="Times New Roman" w:cs="Times New Roman"/>
                <w:i/>
                <w:sz w:val="24"/>
                <w:szCs w:val="24"/>
              </w:rPr>
              <w:t>t</w:t>
            </w:r>
          </w:p>
        </w:tc>
        <w:tc>
          <w:tcPr>
            <w:tcW w:w="964" w:type="pct"/>
            <w:vAlign w:val="center"/>
          </w:tcPr>
          <w:p w14:paraId="77A7FDE8" w14:textId="77777777" w:rsidR="00404A55" w:rsidRPr="00750C80" w:rsidRDefault="00404A55" w:rsidP="0063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Banco Mundial</w:t>
            </w:r>
          </w:p>
        </w:tc>
      </w:tr>
      <w:tr w:rsidR="00404A55" w:rsidRPr="00750C80" w14:paraId="77A7FDED" w14:textId="77777777" w:rsidTr="00633D7C">
        <w:trPr>
          <w:trHeight w:val="241"/>
        </w:trPr>
        <w:tc>
          <w:tcPr>
            <w:cnfStyle w:val="001000000000" w:firstRow="0" w:lastRow="0" w:firstColumn="1" w:lastColumn="0" w:oddVBand="0" w:evenVBand="0" w:oddHBand="0" w:evenHBand="0" w:firstRowFirstColumn="0" w:firstRowLastColumn="0" w:lastRowFirstColumn="0" w:lastRowLastColumn="0"/>
            <w:tcW w:w="1246" w:type="pct"/>
            <w:vAlign w:val="center"/>
          </w:tcPr>
          <w:p w14:paraId="77A7FDEA" w14:textId="77777777" w:rsidR="00404A55" w:rsidRPr="00750C80" w:rsidRDefault="00507E9A" w:rsidP="00633D7C">
            <w:pPr>
              <w:jc w:val="center"/>
              <w:rPr>
                <w:rFonts w:ascii="Times New Roman" w:hAnsi="Times New Roman" w:cs="Times New Roman"/>
                <w:bCs w:val="0"/>
                <w:sz w:val="24"/>
                <w:szCs w:val="24"/>
              </w:rPr>
            </w:pPr>
            <m:oMathPara>
              <m:oMath>
                <m:sSub>
                  <m:sSubPr>
                    <m:ctrlPr>
                      <w:rPr>
                        <w:rFonts w:ascii="Cambria Math" w:hAnsi="Cambria Math" w:cs="Times New Roman"/>
                        <w:sz w:val="24"/>
                        <w:szCs w:val="24"/>
                      </w:rPr>
                    </m:ctrlPr>
                  </m:sSubPr>
                  <m:e>
                    <m:r>
                      <m:rPr>
                        <m:sty m:val="b"/>
                      </m:rPr>
                      <w:rPr>
                        <w:rFonts w:ascii="Cambria Math" w:hAnsi="Cambria Math" w:cs="Times New Roman"/>
                        <w:sz w:val="24"/>
                        <w:szCs w:val="24"/>
                      </w:rPr>
                      <m:t>DISTÂNCIA</m:t>
                    </m:r>
                  </m:e>
                  <m:sub>
                    <m:r>
                      <m:rPr>
                        <m:sty m:val="b"/>
                      </m:rPr>
                      <w:rPr>
                        <w:rFonts w:ascii="Cambria Math" w:hAnsi="Cambria Math" w:cs="Times New Roman"/>
                        <w:sz w:val="24"/>
                        <w:szCs w:val="24"/>
                      </w:rPr>
                      <m:t xml:space="preserve">bri </m:t>
                    </m:r>
                  </m:sub>
                </m:sSub>
              </m:oMath>
            </m:oMathPara>
          </w:p>
        </w:tc>
        <w:tc>
          <w:tcPr>
            <w:tcW w:w="2790" w:type="pct"/>
            <w:vAlign w:val="center"/>
          </w:tcPr>
          <w:p w14:paraId="77A7FDEB" w14:textId="77777777" w:rsidR="00404A55" w:rsidRPr="00750C80" w:rsidRDefault="00404A55" w:rsidP="0063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xml:space="preserve">Distância do Brasil ao país </w:t>
            </w:r>
            <w:r w:rsidRPr="00633D7C">
              <w:rPr>
                <w:rFonts w:ascii="Times New Roman" w:hAnsi="Times New Roman" w:cs="Times New Roman"/>
                <w:i/>
                <w:sz w:val="24"/>
                <w:szCs w:val="24"/>
              </w:rPr>
              <w:t>i</w:t>
            </w:r>
          </w:p>
        </w:tc>
        <w:tc>
          <w:tcPr>
            <w:tcW w:w="964" w:type="pct"/>
            <w:vAlign w:val="center"/>
          </w:tcPr>
          <w:p w14:paraId="77A7FDEC" w14:textId="77777777" w:rsidR="00404A55" w:rsidRPr="00750C80" w:rsidRDefault="00404A55" w:rsidP="0063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46162">
              <w:rPr>
                <w:rFonts w:ascii="Times New Roman" w:hAnsi="Times New Roman" w:cs="Times New Roman"/>
                <w:sz w:val="24"/>
                <w:szCs w:val="24"/>
              </w:rPr>
              <w:t>Google Mapas</w:t>
            </w:r>
          </w:p>
        </w:tc>
      </w:tr>
      <w:tr w:rsidR="00387E47" w:rsidRPr="00750C80" w14:paraId="77A7FDF1" w14:textId="77777777" w:rsidTr="00633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vAlign w:val="center"/>
          </w:tcPr>
          <w:p w14:paraId="77A7FDEE" w14:textId="77777777" w:rsidR="00387E47" w:rsidRPr="00750C80" w:rsidRDefault="00507E9A" w:rsidP="00633D7C">
            <w:pPr>
              <w:jc w:val="center"/>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m:rPr>
                        <m:sty m:val="bi"/>
                      </m:rPr>
                      <w:rPr>
                        <w:rFonts w:ascii="Cambria Math" w:eastAsiaTheme="minorEastAsia" w:hAnsi="Cambria Math" w:cs="Times New Roman"/>
                        <w:sz w:val="24"/>
                        <w:szCs w:val="24"/>
                      </w:rPr>
                      <m:t>MERCOSUL</m:t>
                    </m:r>
                  </m:e>
                  <m:sub>
                    <m:r>
                      <m:rPr>
                        <m:sty m:val="bi"/>
                      </m:rPr>
                      <w:rPr>
                        <w:rFonts w:ascii="Cambria Math" w:eastAsiaTheme="minorEastAsia" w:hAnsi="Cambria Math" w:cs="Times New Roman"/>
                        <w:sz w:val="24"/>
                        <w:szCs w:val="24"/>
                      </w:rPr>
                      <m:t>i</m:t>
                    </m:r>
                  </m:sub>
                </m:sSub>
              </m:oMath>
            </m:oMathPara>
          </w:p>
        </w:tc>
        <w:tc>
          <w:tcPr>
            <w:tcW w:w="2790" w:type="pct"/>
            <w:vAlign w:val="center"/>
          </w:tcPr>
          <w:p w14:paraId="77A7FDEF" w14:textId="1EE7A3B1" w:rsidR="00387E47" w:rsidRPr="00750C80" w:rsidRDefault="00387E47" w:rsidP="0063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xml:space="preserve">Variável </w:t>
            </w:r>
            <w:proofErr w:type="spellStart"/>
            <w:r w:rsidR="008B1900">
              <w:rPr>
                <w:rFonts w:ascii="Times New Roman" w:hAnsi="Times New Roman" w:cs="Times New Roman"/>
                <w:i/>
                <w:sz w:val="24"/>
                <w:szCs w:val="24"/>
              </w:rPr>
              <w:t>d</w:t>
            </w:r>
            <w:r w:rsidRPr="008B1900">
              <w:rPr>
                <w:rFonts w:ascii="Times New Roman" w:hAnsi="Times New Roman" w:cs="Times New Roman"/>
                <w:i/>
                <w:sz w:val="24"/>
                <w:szCs w:val="24"/>
              </w:rPr>
              <w:t>ummy</w:t>
            </w:r>
            <w:proofErr w:type="spellEnd"/>
            <w:r w:rsidRPr="00750C80">
              <w:rPr>
                <w:rFonts w:ascii="Times New Roman" w:hAnsi="Times New Roman" w:cs="Times New Roman"/>
                <w:sz w:val="24"/>
                <w:szCs w:val="24"/>
              </w:rPr>
              <w:t xml:space="preserve"> para Mercado Comum do Sul</w:t>
            </w:r>
          </w:p>
        </w:tc>
        <w:tc>
          <w:tcPr>
            <w:tcW w:w="964" w:type="pct"/>
            <w:vAlign w:val="center"/>
          </w:tcPr>
          <w:p w14:paraId="77A7FDF0" w14:textId="77777777" w:rsidR="00387E47" w:rsidRPr="00750C80" w:rsidRDefault="00387E47" w:rsidP="0063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w:t>
            </w:r>
          </w:p>
        </w:tc>
      </w:tr>
      <w:tr w:rsidR="00387E47" w:rsidRPr="00750C80" w14:paraId="77A7FDF5" w14:textId="77777777" w:rsidTr="00633D7C">
        <w:tc>
          <w:tcPr>
            <w:cnfStyle w:val="001000000000" w:firstRow="0" w:lastRow="0" w:firstColumn="1" w:lastColumn="0" w:oddVBand="0" w:evenVBand="0" w:oddHBand="0" w:evenHBand="0" w:firstRowFirstColumn="0" w:firstRowLastColumn="0" w:lastRowFirstColumn="0" w:lastRowLastColumn="0"/>
            <w:tcW w:w="1246" w:type="pct"/>
            <w:vAlign w:val="center"/>
          </w:tcPr>
          <w:p w14:paraId="77A7FDF2" w14:textId="77777777" w:rsidR="00387E47" w:rsidRPr="00750C80" w:rsidRDefault="00507E9A" w:rsidP="00633D7C">
            <w:pPr>
              <w:jc w:val="center"/>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m:rPr>
                        <m:sty m:val="bi"/>
                      </m:rPr>
                      <w:rPr>
                        <w:rFonts w:ascii="Cambria Math" w:eastAsiaTheme="minorEastAsia" w:hAnsi="Cambria Math" w:cs="Times New Roman"/>
                        <w:sz w:val="24"/>
                        <w:szCs w:val="24"/>
                      </w:rPr>
                      <m:t>FBKF</m:t>
                    </m:r>
                  </m:e>
                  <m:sub>
                    <m:r>
                      <m:rPr>
                        <m:sty m:val="bi"/>
                      </m:rPr>
                      <w:rPr>
                        <w:rFonts w:ascii="Cambria Math" w:eastAsiaTheme="minorEastAsia" w:hAnsi="Cambria Math" w:cs="Times New Roman"/>
                        <w:sz w:val="24"/>
                        <w:szCs w:val="24"/>
                      </w:rPr>
                      <m:t>BRt</m:t>
                    </m:r>
                  </m:sub>
                </m:sSub>
              </m:oMath>
            </m:oMathPara>
          </w:p>
        </w:tc>
        <w:tc>
          <w:tcPr>
            <w:tcW w:w="2790" w:type="pct"/>
            <w:vAlign w:val="center"/>
          </w:tcPr>
          <w:p w14:paraId="77A7FDF3" w14:textId="77777777" w:rsidR="00387E47" w:rsidRPr="00750C80" w:rsidRDefault="00387E47" w:rsidP="0063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xml:space="preserve">Formação Bruta de Capital Fixo </w:t>
            </w:r>
            <w:r w:rsidR="00404A55" w:rsidRPr="00750C80">
              <w:rPr>
                <w:rFonts w:ascii="Times New Roman" w:hAnsi="Times New Roman" w:cs="Times New Roman"/>
                <w:sz w:val="24"/>
                <w:szCs w:val="24"/>
              </w:rPr>
              <w:t xml:space="preserve">do Brasil no tempo </w:t>
            </w:r>
            <w:r w:rsidR="00404A55" w:rsidRPr="00750C80">
              <w:rPr>
                <w:rFonts w:ascii="Times New Roman" w:hAnsi="Times New Roman" w:cs="Times New Roman"/>
                <w:i/>
                <w:sz w:val="24"/>
                <w:szCs w:val="24"/>
              </w:rPr>
              <w:t>t</w:t>
            </w:r>
          </w:p>
        </w:tc>
        <w:tc>
          <w:tcPr>
            <w:tcW w:w="964" w:type="pct"/>
            <w:vAlign w:val="center"/>
          </w:tcPr>
          <w:p w14:paraId="77A7FDF4" w14:textId="77777777" w:rsidR="00387E47" w:rsidRPr="00750C80" w:rsidRDefault="00387E47" w:rsidP="0063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Banco Mundial</w:t>
            </w:r>
          </w:p>
        </w:tc>
      </w:tr>
      <w:tr w:rsidR="00387E47" w:rsidRPr="00750C80" w14:paraId="77A7FDF9" w14:textId="77777777" w:rsidTr="00633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vAlign w:val="center"/>
          </w:tcPr>
          <w:p w14:paraId="77A7FDF6" w14:textId="77777777" w:rsidR="00387E47" w:rsidRPr="00750C80" w:rsidRDefault="00507E9A" w:rsidP="00633D7C">
            <w:pPr>
              <w:jc w:val="center"/>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m:rPr>
                        <m:sty m:val="bi"/>
                      </m:rPr>
                      <w:rPr>
                        <w:rFonts w:ascii="Cambria Math" w:eastAsiaTheme="minorEastAsia" w:hAnsi="Cambria Math" w:cs="Times New Roman"/>
                        <w:sz w:val="24"/>
                        <w:szCs w:val="24"/>
                      </w:rPr>
                      <m:t>FBKF</m:t>
                    </m:r>
                  </m:e>
                  <m:sub>
                    <m:r>
                      <m:rPr>
                        <m:sty m:val="bi"/>
                      </m:rPr>
                      <w:rPr>
                        <w:rFonts w:ascii="Cambria Math" w:eastAsiaTheme="minorEastAsia" w:hAnsi="Cambria Math" w:cs="Times New Roman"/>
                        <w:sz w:val="24"/>
                        <w:szCs w:val="24"/>
                      </w:rPr>
                      <m:t>it</m:t>
                    </m:r>
                  </m:sub>
                </m:sSub>
              </m:oMath>
            </m:oMathPara>
          </w:p>
        </w:tc>
        <w:tc>
          <w:tcPr>
            <w:tcW w:w="2790" w:type="pct"/>
            <w:vAlign w:val="center"/>
          </w:tcPr>
          <w:p w14:paraId="77A7FDF7" w14:textId="77777777" w:rsidR="00387E47" w:rsidRPr="00750C80" w:rsidRDefault="00404A55" w:rsidP="0063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xml:space="preserve">Formação Bruta de Capital Fixo do país </w:t>
            </w:r>
            <w:r w:rsidRPr="00750C80">
              <w:rPr>
                <w:rFonts w:ascii="Times New Roman" w:hAnsi="Times New Roman" w:cs="Times New Roman"/>
                <w:i/>
                <w:sz w:val="24"/>
                <w:szCs w:val="24"/>
              </w:rPr>
              <w:t>i</w:t>
            </w:r>
            <w:r w:rsidRPr="00750C80">
              <w:rPr>
                <w:rFonts w:ascii="Times New Roman" w:hAnsi="Times New Roman" w:cs="Times New Roman"/>
                <w:sz w:val="24"/>
                <w:szCs w:val="24"/>
              </w:rPr>
              <w:t xml:space="preserve"> no tempo </w:t>
            </w:r>
            <w:r w:rsidRPr="00750C80">
              <w:rPr>
                <w:rFonts w:ascii="Times New Roman" w:hAnsi="Times New Roman" w:cs="Times New Roman"/>
                <w:i/>
                <w:sz w:val="24"/>
                <w:szCs w:val="24"/>
              </w:rPr>
              <w:t>t</w:t>
            </w:r>
          </w:p>
        </w:tc>
        <w:tc>
          <w:tcPr>
            <w:tcW w:w="964" w:type="pct"/>
            <w:vAlign w:val="center"/>
          </w:tcPr>
          <w:p w14:paraId="77A7FDF8" w14:textId="77777777" w:rsidR="00387E47" w:rsidRPr="00750C80" w:rsidRDefault="00404A55" w:rsidP="0063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Banco Mundial</w:t>
            </w:r>
          </w:p>
        </w:tc>
      </w:tr>
      <w:tr w:rsidR="00404A55" w:rsidRPr="00750C80" w14:paraId="77A7FDFD" w14:textId="77777777" w:rsidTr="00633D7C">
        <w:tc>
          <w:tcPr>
            <w:cnfStyle w:val="001000000000" w:firstRow="0" w:lastRow="0" w:firstColumn="1" w:lastColumn="0" w:oddVBand="0" w:evenVBand="0" w:oddHBand="0" w:evenHBand="0" w:firstRowFirstColumn="0" w:firstRowLastColumn="0" w:lastRowFirstColumn="0" w:lastRowLastColumn="0"/>
            <w:tcW w:w="1246" w:type="pct"/>
            <w:vAlign w:val="center"/>
          </w:tcPr>
          <w:p w14:paraId="77A7FDFA" w14:textId="77777777" w:rsidR="00404A55" w:rsidRPr="00750C80" w:rsidRDefault="00507E9A" w:rsidP="00633D7C">
            <w:pPr>
              <w:jc w:val="center"/>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m:rPr>
                        <m:sty m:val="bi"/>
                      </m:rPr>
                      <w:rPr>
                        <w:rFonts w:ascii="Cambria Math" w:eastAsiaTheme="minorEastAsia" w:hAnsi="Cambria Math" w:cs="Times New Roman"/>
                        <w:sz w:val="24"/>
                        <w:szCs w:val="24"/>
                      </w:rPr>
                      <m:t>CÂMBIO</m:t>
                    </m:r>
                  </m:e>
                  <m:sub>
                    <m:sSub>
                      <m:sSubPr>
                        <m:ctrlPr>
                          <w:rPr>
                            <w:rFonts w:ascii="Cambria Math" w:eastAsiaTheme="minorEastAsia" w:hAnsi="Cambria Math" w:cs="Times New Roman"/>
                            <w:i/>
                            <w:sz w:val="24"/>
                            <w:szCs w:val="24"/>
                          </w:rPr>
                        </m:ctrlPr>
                      </m:sSubPr>
                      <m:e>
                        <m:r>
                          <m:rPr>
                            <m:sty m:val="bi"/>
                          </m:rPr>
                          <w:rPr>
                            <w:rFonts w:ascii="Cambria Math" w:eastAsiaTheme="minorEastAsia" w:hAnsi="Cambria Math" w:cs="Times New Roman"/>
                            <w:sz w:val="24"/>
                            <w:szCs w:val="24"/>
                          </w:rPr>
                          <m:t>i</m:t>
                        </m:r>
                      </m:e>
                      <m:sub>
                        <m:r>
                          <m:rPr>
                            <m:sty m:val="bi"/>
                          </m:rPr>
                          <w:rPr>
                            <w:rFonts w:ascii="Cambria Math" w:eastAsiaTheme="minorEastAsia" w:hAnsi="Cambria Math" w:cs="Times New Roman"/>
                            <w:sz w:val="24"/>
                            <w:szCs w:val="24"/>
                          </w:rPr>
                          <m:t>t</m:t>
                        </m:r>
                      </m:sub>
                    </m:sSub>
                  </m:sub>
                </m:sSub>
              </m:oMath>
            </m:oMathPara>
          </w:p>
        </w:tc>
        <w:tc>
          <w:tcPr>
            <w:tcW w:w="2790" w:type="pct"/>
            <w:vAlign w:val="center"/>
          </w:tcPr>
          <w:p w14:paraId="77A7FDFB" w14:textId="77777777" w:rsidR="00404A55" w:rsidRPr="00750C80" w:rsidRDefault="00A17DD7" w:rsidP="0063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Taxa de câmbio do país i no tempo</w:t>
            </w:r>
            <w:r w:rsidR="00404A55" w:rsidRPr="00750C80">
              <w:rPr>
                <w:rFonts w:ascii="Times New Roman" w:hAnsi="Times New Roman" w:cs="Times New Roman"/>
                <w:sz w:val="24"/>
                <w:szCs w:val="24"/>
              </w:rPr>
              <w:t xml:space="preserve"> t</w:t>
            </w:r>
          </w:p>
        </w:tc>
        <w:tc>
          <w:tcPr>
            <w:tcW w:w="964" w:type="pct"/>
            <w:vAlign w:val="center"/>
          </w:tcPr>
          <w:p w14:paraId="77A7FDFC" w14:textId="77777777" w:rsidR="00404A55" w:rsidRPr="00750C80" w:rsidRDefault="00404A55" w:rsidP="0063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Fundo Monetário Internacional – FMI</w:t>
            </w:r>
          </w:p>
        </w:tc>
      </w:tr>
    </w:tbl>
    <w:p w14:paraId="1E77B846" w14:textId="77777777" w:rsidR="00633D7C" w:rsidRDefault="00633D7C" w:rsidP="00C978DF">
      <w:pPr>
        <w:spacing w:after="0" w:line="240" w:lineRule="auto"/>
        <w:jc w:val="both"/>
        <w:rPr>
          <w:rFonts w:ascii="Times New Roman" w:hAnsi="Times New Roman" w:cs="Times New Roman"/>
          <w:sz w:val="20"/>
          <w:szCs w:val="20"/>
        </w:rPr>
      </w:pPr>
    </w:p>
    <w:p w14:paraId="77A7FDFE" w14:textId="7E9E6AE4" w:rsidR="00CC3006" w:rsidRPr="00750C80" w:rsidRDefault="00340DAD" w:rsidP="00C978DF">
      <w:pPr>
        <w:spacing w:after="0" w:line="240" w:lineRule="auto"/>
        <w:jc w:val="both"/>
        <w:rPr>
          <w:rFonts w:ascii="Times New Roman" w:hAnsi="Times New Roman" w:cs="Times New Roman"/>
          <w:sz w:val="20"/>
          <w:szCs w:val="20"/>
        </w:rPr>
      </w:pPr>
      <w:r w:rsidRPr="00750C80">
        <w:rPr>
          <w:rFonts w:ascii="Times New Roman" w:hAnsi="Times New Roman" w:cs="Times New Roman"/>
          <w:sz w:val="20"/>
          <w:szCs w:val="20"/>
        </w:rPr>
        <w:t>Fonte: Elaboração pró</w:t>
      </w:r>
      <w:r w:rsidR="00387E47" w:rsidRPr="00750C80">
        <w:rPr>
          <w:rFonts w:ascii="Times New Roman" w:hAnsi="Times New Roman" w:cs="Times New Roman"/>
          <w:sz w:val="20"/>
          <w:szCs w:val="20"/>
        </w:rPr>
        <w:t>pria</w:t>
      </w:r>
      <w:r w:rsidR="00C978DF" w:rsidRPr="00750C80">
        <w:rPr>
          <w:rFonts w:ascii="Times New Roman" w:hAnsi="Times New Roman" w:cs="Times New Roman"/>
          <w:sz w:val="20"/>
          <w:szCs w:val="20"/>
        </w:rPr>
        <w:t>.</w:t>
      </w:r>
    </w:p>
    <w:p w14:paraId="77A7FDFF" w14:textId="77777777" w:rsidR="0083451C" w:rsidRPr="00750C80" w:rsidRDefault="0083451C" w:rsidP="00C978DF">
      <w:pPr>
        <w:spacing w:after="0" w:line="360" w:lineRule="auto"/>
        <w:jc w:val="both"/>
        <w:rPr>
          <w:rFonts w:ascii="Times New Roman" w:hAnsi="Times New Roman" w:cs="Times New Roman"/>
          <w:sz w:val="24"/>
          <w:szCs w:val="24"/>
        </w:rPr>
      </w:pPr>
    </w:p>
    <w:p w14:paraId="77A7FE00" w14:textId="77777777" w:rsidR="00C835C0" w:rsidRPr="00750C80" w:rsidRDefault="00CC300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As variáveis foram trabalhadas em logaritmo</w:t>
      </w:r>
      <w:r w:rsidR="00C835C0" w:rsidRPr="00750C80">
        <w:rPr>
          <w:rFonts w:ascii="Times New Roman" w:hAnsi="Times New Roman" w:cs="Times New Roman"/>
          <w:sz w:val="24"/>
          <w:szCs w:val="24"/>
        </w:rPr>
        <w:t>, através de transformação mo</w:t>
      </w:r>
      <w:r w:rsidR="00C834EC" w:rsidRPr="00750C80">
        <w:rPr>
          <w:rFonts w:ascii="Times New Roman" w:hAnsi="Times New Roman" w:cs="Times New Roman"/>
          <w:sz w:val="24"/>
          <w:szCs w:val="24"/>
        </w:rPr>
        <w:t>notô</w:t>
      </w:r>
      <w:r w:rsidR="00C835C0" w:rsidRPr="00750C80">
        <w:rPr>
          <w:rFonts w:ascii="Times New Roman" w:hAnsi="Times New Roman" w:cs="Times New Roman"/>
          <w:sz w:val="24"/>
          <w:szCs w:val="24"/>
        </w:rPr>
        <w:t>ni</w:t>
      </w:r>
      <w:r w:rsidR="00C834EC" w:rsidRPr="00750C80">
        <w:rPr>
          <w:rFonts w:ascii="Times New Roman" w:hAnsi="Times New Roman" w:cs="Times New Roman"/>
          <w:sz w:val="24"/>
          <w:szCs w:val="24"/>
        </w:rPr>
        <w:t>c</w:t>
      </w:r>
      <w:r w:rsidR="00C835C0" w:rsidRPr="00750C80">
        <w:rPr>
          <w:rFonts w:ascii="Times New Roman" w:hAnsi="Times New Roman" w:cs="Times New Roman"/>
          <w:sz w:val="24"/>
          <w:szCs w:val="24"/>
        </w:rPr>
        <w:t>a,</w:t>
      </w:r>
      <w:r w:rsidRPr="00750C80">
        <w:rPr>
          <w:rFonts w:ascii="Times New Roman" w:hAnsi="Times New Roman" w:cs="Times New Roman"/>
          <w:sz w:val="24"/>
          <w:szCs w:val="24"/>
        </w:rPr>
        <w:t xml:space="preserve"> com o objetivo de simplificar valores muito grandes</w:t>
      </w:r>
      <w:r w:rsidR="00C835C0" w:rsidRPr="00750C80">
        <w:rPr>
          <w:rFonts w:ascii="Times New Roman" w:hAnsi="Times New Roman" w:cs="Times New Roman"/>
          <w:sz w:val="24"/>
          <w:szCs w:val="24"/>
        </w:rPr>
        <w:t xml:space="preserve"> (como PIB per capita ou FBKF) e evitar problemas de heterocedasticidade (GREENE, 2002; BALTAGI, 2005; WOOLDRIDGE, 2010). Intentou-se também</w:t>
      </w:r>
      <w:r w:rsidRPr="00750C80">
        <w:rPr>
          <w:rFonts w:ascii="Times New Roman" w:hAnsi="Times New Roman" w:cs="Times New Roman"/>
          <w:sz w:val="24"/>
          <w:szCs w:val="24"/>
        </w:rPr>
        <w:t xml:space="preserve"> representar variação percentual entre as variáveis independentes e dependente, em modelo log-log.</w:t>
      </w:r>
      <w:r w:rsidR="0004549F" w:rsidRPr="00750C80">
        <w:rPr>
          <w:rFonts w:ascii="Times New Roman" w:hAnsi="Times New Roman" w:cs="Times New Roman"/>
          <w:sz w:val="24"/>
          <w:szCs w:val="24"/>
        </w:rPr>
        <w:t xml:space="preserve"> Os dado</w:t>
      </w:r>
      <w:r w:rsidR="00665E0F" w:rsidRPr="00750C80">
        <w:rPr>
          <w:rFonts w:ascii="Times New Roman" w:hAnsi="Times New Roman" w:cs="Times New Roman"/>
          <w:sz w:val="24"/>
          <w:szCs w:val="24"/>
        </w:rPr>
        <w:t xml:space="preserve">s referentes à evolução do PIB </w:t>
      </w:r>
      <w:r w:rsidR="00665E0F" w:rsidRPr="00750C80">
        <w:rPr>
          <w:rFonts w:ascii="Times New Roman" w:hAnsi="Times New Roman" w:cs="Times New Roman"/>
          <w:i/>
          <w:sz w:val="24"/>
          <w:szCs w:val="24"/>
        </w:rPr>
        <w:t>per capita</w:t>
      </w:r>
      <w:r w:rsidR="00665E0F" w:rsidRPr="00750C80">
        <w:rPr>
          <w:rFonts w:ascii="Times New Roman" w:hAnsi="Times New Roman" w:cs="Times New Roman"/>
          <w:sz w:val="24"/>
          <w:szCs w:val="24"/>
        </w:rPr>
        <w:t xml:space="preserve"> e</w:t>
      </w:r>
      <w:r w:rsidR="0004549F" w:rsidRPr="00750C80">
        <w:rPr>
          <w:rFonts w:ascii="Times New Roman" w:hAnsi="Times New Roman" w:cs="Times New Roman"/>
          <w:sz w:val="24"/>
          <w:szCs w:val="24"/>
        </w:rPr>
        <w:t xml:space="preserve"> FBKF foram </w:t>
      </w:r>
      <w:r w:rsidR="00C835C0" w:rsidRPr="00750C80">
        <w:rPr>
          <w:rFonts w:ascii="Times New Roman" w:hAnsi="Times New Roman" w:cs="Times New Roman"/>
          <w:sz w:val="24"/>
          <w:szCs w:val="24"/>
        </w:rPr>
        <w:t>coletados</w:t>
      </w:r>
      <w:r w:rsidR="0004549F" w:rsidRPr="00750C80">
        <w:rPr>
          <w:rFonts w:ascii="Times New Roman" w:hAnsi="Times New Roman" w:cs="Times New Roman"/>
          <w:sz w:val="24"/>
          <w:szCs w:val="24"/>
        </w:rPr>
        <w:t xml:space="preserve"> no </w:t>
      </w:r>
      <w:r w:rsidR="0004549F" w:rsidRPr="00750C80">
        <w:rPr>
          <w:rFonts w:ascii="Times New Roman" w:hAnsi="Times New Roman" w:cs="Times New Roman"/>
          <w:i/>
          <w:sz w:val="24"/>
          <w:szCs w:val="24"/>
        </w:rPr>
        <w:t>Databank,</w:t>
      </w:r>
      <w:r w:rsidR="0004549F" w:rsidRPr="00750C80">
        <w:rPr>
          <w:rFonts w:ascii="Times New Roman" w:hAnsi="Times New Roman" w:cs="Times New Roman"/>
          <w:sz w:val="24"/>
          <w:szCs w:val="24"/>
        </w:rPr>
        <w:t xml:space="preserve"> do Banco Mundial. </w:t>
      </w:r>
    </w:p>
    <w:p w14:paraId="77A7FE01" w14:textId="77777777" w:rsidR="00CC3006" w:rsidRPr="00750C80" w:rsidRDefault="00CC300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Os dados referentes à taxa de câmbio</w:t>
      </w:r>
      <w:r w:rsidRPr="00750C80">
        <w:rPr>
          <w:rStyle w:val="Refdenotaderodap"/>
          <w:rFonts w:ascii="Times New Roman" w:hAnsi="Times New Roman" w:cs="Times New Roman"/>
          <w:sz w:val="24"/>
          <w:szCs w:val="24"/>
        </w:rPr>
        <w:footnoteReference w:id="7"/>
      </w:r>
      <w:r w:rsidRPr="00750C80">
        <w:rPr>
          <w:rFonts w:ascii="Times New Roman" w:hAnsi="Times New Roman" w:cs="Times New Roman"/>
          <w:sz w:val="24"/>
          <w:szCs w:val="24"/>
        </w:rPr>
        <w:t xml:space="preserve"> foram captados no banco de dados do FMI, com exceção dos dados referentes à taxa de câmbio do Equador</w:t>
      </w:r>
      <w:r w:rsidRPr="00750C80">
        <w:rPr>
          <w:rStyle w:val="Refdenotaderodap"/>
          <w:rFonts w:ascii="Times New Roman" w:hAnsi="Times New Roman" w:cs="Times New Roman"/>
          <w:sz w:val="24"/>
          <w:szCs w:val="24"/>
        </w:rPr>
        <w:footnoteReference w:id="8"/>
      </w:r>
      <w:r w:rsidRPr="00750C80">
        <w:rPr>
          <w:rFonts w:ascii="Times New Roman" w:hAnsi="Times New Roman" w:cs="Times New Roman"/>
          <w:sz w:val="24"/>
          <w:szCs w:val="24"/>
        </w:rPr>
        <w:t>, os quais foram buscados no Banco Central do país, por incompletude no banco de dados do FMI.</w:t>
      </w:r>
    </w:p>
    <w:p w14:paraId="77A7FE02" w14:textId="1BA76625" w:rsidR="00CC3006" w:rsidRPr="00750C80" w:rsidRDefault="00CC300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Os dados referentes ao valor total das exportações de manufaturados do Uruguai, Peru e Venezuela, em 1973, 1982 e 2007 são faltantes nos banco</w:t>
      </w:r>
      <w:r w:rsidR="00465520" w:rsidRPr="00750C80">
        <w:rPr>
          <w:rFonts w:ascii="Times New Roman" w:hAnsi="Times New Roman" w:cs="Times New Roman"/>
          <w:sz w:val="24"/>
          <w:szCs w:val="24"/>
        </w:rPr>
        <w:t>s</w:t>
      </w:r>
      <w:r w:rsidRPr="00750C80">
        <w:rPr>
          <w:rFonts w:ascii="Times New Roman" w:hAnsi="Times New Roman" w:cs="Times New Roman"/>
          <w:sz w:val="24"/>
          <w:szCs w:val="24"/>
        </w:rPr>
        <w:t xml:space="preserve"> de dados oficiais, de tal forma que seus valores foram estabelecidos pela média aritmética entre o </w:t>
      </w:r>
      <w:r w:rsidR="00B156A3" w:rsidRPr="00750C80">
        <w:rPr>
          <w:rFonts w:ascii="Times New Roman" w:hAnsi="Times New Roman" w:cs="Times New Roman"/>
          <w:sz w:val="24"/>
          <w:szCs w:val="24"/>
        </w:rPr>
        <w:t>ano anterior</w:t>
      </w:r>
      <w:r w:rsidRPr="00750C80">
        <w:rPr>
          <w:rFonts w:ascii="Times New Roman" w:hAnsi="Times New Roman" w:cs="Times New Roman"/>
          <w:sz w:val="24"/>
          <w:szCs w:val="24"/>
        </w:rPr>
        <w:t xml:space="preserve"> e o ano posterior, para cada país, de modo a não apresentar distúrbios no resultado final. Da mesma forma se fez </w:t>
      </w:r>
      <w:r w:rsidRPr="00750C80">
        <w:rPr>
          <w:rFonts w:ascii="Times New Roman" w:hAnsi="Times New Roman" w:cs="Times New Roman"/>
          <w:sz w:val="24"/>
          <w:szCs w:val="24"/>
        </w:rPr>
        <w:lastRenderedPageBreak/>
        <w:t xml:space="preserve">para as importações de manufaturados de Bolívia, Uruguai, Peru e Equador, para os anos de 1973, 1973, 1979 e 1981, respectivamente. </w:t>
      </w:r>
    </w:p>
    <w:p w14:paraId="77A7FE03" w14:textId="4FBB6C0A" w:rsidR="00CC3006" w:rsidRPr="00750C80" w:rsidRDefault="00CC300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A </w:t>
      </w:r>
      <w:r w:rsidRPr="00750C80">
        <w:rPr>
          <w:rFonts w:ascii="Times New Roman" w:hAnsi="Times New Roman" w:cs="Times New Roman"/>
          <w:i/>
          <w:sz w:val="24"/>
          <w:szCs w:val="24"/>
        </w:rPr>
        <w:t>dummy</w:t>
      </w:r>
      <w:r w:rsidRPr="00750C80">
        <w:rPr>
          <w:rFonts w:ascii="Times New Roman" w:hAnsi="Times New Roman" w:cs="Times New Roman"/>
          <w:sz w:val="24"/>
          <w:szCs w:val="24"/>
        </w:rPr>
        <w:t xml:space="preserve"> MERCOSUL indica o efeito do bloco sobre a relação de complementaridade entre o Brasil e os membros permanentes durante o período de análise. </w:t>
      </w:r>
      <w:r w:rsidR="007B3507" w:rsidRPr="00750C80">
        <w:rPr>
          <w:rFonts w:ascii="Times New Roman" w:hAnsi="Times New Roman" w:cs="Times New Roman"/>
          <w:sz w:val="24"/>
          <w:szCs w:val="24"/>
        </w:rPr>
        <w:t>Tendo em vista que a análise histórica neste trabalho corresponde ao período entre 1970 e 2010 e a Venezuela ingressa no bloco somente no ano de 2012, a variável MERCOSUL engloba tão somente Uruguai e Argentina.</w:t>
      </w:r>
      <w:r w:rsidR="00D26C4A" w:rsidRPr="00750C80">
        <w:rPr>
          <w:rFonts w:ascii="Times New Roman" w:hAnsi="Times New Roman" w:cs="Times New Roman"/>
          <w:sz w:val="24"/>
          <w:szCs w:val="24"/>
        </w:rPr>
        <w:t xml:space="preserve"> Referencia-se em Porto (2002) em sua utilização da </w:t>
      </w:r>
      <w:r w:rsidR="008B1900">
        <w:rPr>
          <w:rFonts w:ascii="Times New Roman" w:hAnsi="Times New Roman" w:cs="Times New Roman"/>
          <w:i/>
          <w:sz w:val="24"/>
          <w:szCs w:val="24"/>
        </w:rPr>
        <w:t>d</w:t>
      </w:r>
      <w:r w:rsidR="00D26C4A" w:rsidRPr="00750C80">
        <w:rPr>
          <w:rFonts w:ascii="Times New Roman" w:hAnsi="Times New Roman" w:cs="Times New Roman"/>
          <w:i/>
          <w:sz w:val="24"/>
          <w:szCs w:val="24"/>
        </w:rPr>
        <w:t xml:space="preserve">ummy </w:t>
      </w:r>
      <w:r w:rsidR="00D26C4A" w:rsidRPr="00750C80">
        <w:rPr>
          <w:rFonts w:ascii="Times New Roman" w:hAnsi="Times New Roman" w:cs="Times New Roman"/>
          <w:sz w:val="24"/>
          <w:szCs w:val="24"/>
        </w:rPr>
        <w:t>Mercosul em modelo gravitacional de comércio para verificação da influência do Bloco sobre o dinamismo comercial brasileiro. O autor verificou um efeito positivo entre a institucionalização comercial e a intensificação do comércio brasileiro na região, com ênfase para o escoamento de exportações, de tal modo que a variável é um elemento de atração reconhecido na literatura econômica sobre comércio sul-americano.</w:t>
      </w:r>
    </w:p>
    <w:p w14:paraId="77A7FE04" w14:textId="77777777" w:rsidR="00CC3006" w:rsidRPr="00750C80" w:rsidRDefault="00CC300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A abordagem da complementaridade comercial para o setor de </w:t>
      </w:r>
      <w:r w:rsidR="001C01B1" w:rsidRPr="00750C80">
        <w:rPr>
          <w:rFonts w:ascii="Times New Roman" w:hAnsi="Times New Roman" w:cs="Times New Roman"/>
          <w:sz w:val="24"/>
          <w:szCs w:val="24"/>
        </w:rPr>
        <w:t>alta intensidade tecnológica</w:t>
      </w:r>
      <w:r w:rsidRPr="00750C80">
        <w:rPr>
          <w:rFonts w:ascii="Times New Roman" w:hAnsi="Times New Roman" w:cs="Times New Roman"/>
          <w:sz w:val="24"/>
          <w:szCs w:val="24"/>
        </w:rPr>
        <w:t xml:space="preserve"> recai sobre o entendimento das características dos processos de integração comercial e produtiva adotados pelos países em questão.</w:t>
      </w:r>
    </w:p>
    <w:p w14:paraId="77A7FE05" w14:textId="77777777" w:rsidR="00CC3006" w:rsidRPr="00750C80" w:rsidRDefault="00CC3006"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A renda do Brasil e dos demais </w:t>
      </w:r>
      <w:r w:rsidR="007B3507" w:rsidRPr="00750C80">
        <w:rPr>
          <w:rFonts w:ascii="Times New Roman" w:hAnsi="Times New Roman" w:cs="Times New Roman"/>
          <w:sz w:val="24"/>
          <w:szCs w:val="24"/>
        </w:rPr>
        <w:t>países demonstra</w:t>
      </w:r>
      <w:r w:rsidRPr="00750C80">
        <w:rPr>
          <w:rFonts w:ascii="Times New Roman" w:hAnsi="Times New Roman" w:cs="Times New Roman"/>
          <w:sz w:val="24"/>
          <w:szCs w:val="24"/>
        </w:rPr>
        <w:t xml:space="preserve"> a capacidade de imposição comercial na região e as assimetrias entre economias com estruturas industriais distintas. Desta forma, neste trabalho são consideradas como variáveis relevantes o PIB</w:t>
      </w:r>
      <w:r w:rsidR="001C01B1" w:rsidRPr="00750C80">
        <w:rPr>
          <w:rFonts w:ascii="Times New Roman" w:hAnsi="Times New Roman" w:cs="Times New Roman"/>
          <w:sz w:val="24"/>
          <w:szCs w:val="24"/>
        </w:rPr>
        <w:t xml:space="preserve"> per capita </w:t>
      </w:r>
      <w:r w:rsidR="001C01B1" w:rsidRPr="00750C80">
        <w:rPr>
          <w:rFonts w:ascii="Times New Roman" w:hAnsi="Times New Roman" w:cs="Times New Roman"/>
          <w:i/>
          <w:sz w:val="24"/>
          <w:szCs w:val="24"/>
        </w:rPr>
        <w:t>brasileiro</w:t>
      </w:r>
      <w:r w:rsidR="001C01B1" w:rsidRPr="00750C80">
        <w:rPr>
          <w:rFonts w:ascii="Times New Roman" w:hAnsi="Times New Roman" w:cs="Times New Roman"/>
          <w:sz w:val="24"/>
          <w:szCs w:val="24"/>
        </w:rPr>
        <w:t xml:space="preserve"> e o</w:t>
      </w:r>
      <w:r w:rsidRPr="00750C80">
        <w:rPr>
          <w:rFonts w:ascii="Times New Roman" w:hAnsi="Times New Roman" w:cs="Times New Roman"/>
          <w:sz w:val="24"/>
          <w:szCs w:val="24"/>
        </w:rPr>
        <w:t xml:space="preserve"> PIB</w:t>
      </w:r>
      <w:r w:rsidR="001C01B1" w:rsidRPr="00750C80">
        <w:rPr>
          <w:rFonts w:ascii="Times New Roman" w:hAnsi="Times New Roman" w:cs="Times New Roman"/>
          <w:sz w:val="24"/>
          <w:szCs w:val="24"/>
        </w:rPr>
        <w:t xml:space="preserve"> </w:t>
      </w:r>
      <w:r w:rsidR="001C01B1" w:rsidRPr="00750C80">
        <w:rPr>
          <w:rFonts w:ascii="Times New Roman" w:hAnsi="Times New Roman" w:cs="Times New Roman"/>
          <w:i/>
          <w:sz w:val="24"/>
          <w:szCs w:val="24"/>
        </w:rPr>
        <w:t>per capita</w:t>
      </w:r>
      <w:r w:rsidRPr="00750C80">
        <w:rPr>
          <w:rFonts w:ascii="Times New Roman" w:hAnsi="Times New Roman" w:cs="Times New Roman"/>
          <w:sz w:val="24"/>
          <w:szCs w:val="24"/>
        </w:rPr>
        <w:t xml:space="preserve"> do país </w:t>
      </w:r>
      <w:r w:rsidR="001C01B1" w:rsidRPr="00750C80">
        <w:rPr>
          <w:rFonts w:ascii="Times New Roman" w:hAnsi="Times New Roman" w:cs="Times New Roman"/>
          <w:i/>
          <w:sz w:val="24"/>
          <w:szCs w:val="24"/>
        </w:rPr>
        <w:t>i</w:t>
      </w:r>
      <w:r w:rsidRPr="00750C80">
        <w:rPr>
          <w:rFonts w:ascii="Times New Roman" w:hAnsi="Times New Roman" w:cs="Times New Roman"/>
          <w:sz w:val="24"/>
          <w:szCs w:val="24"/>
        </w:rPr>
        <w:t>. Como já assinalado anteriormente, o PIB é um fator de atração comercial regional, pelo modelo gravitacional de comércio.</w:t>
      </w:r>
    </w:p>
    <w:p w14:paraId="77A7FE06" w14:textId="77777777" w:rsidR="00CC3006" w:rsidRPr="00750C80" w:rsidRDefault="00CC3006"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O investimento em formação bruta de capital fixo reflete a relevância do setor industrial e a capacidade de substituir exportações de maneira significativa. Em consonância com os objetivos políticos de ALALC e ALADI de promover a industrialização interna e restringir a concorrência externa (VALDEZ, 2012), e os objetivos do MERCOSUL de manutenção da base industrial frente flexibilizações da economia na nova ordem mundial, a formação bruta de capital fixo sempre foi fator relevante para a reestruturação das economias lati</w:t>
      </w:r>
      <w:r w:rsidR="001C01B1" w:rsidRPr="00750C80">
        <w:rPr>
          <w:rFonts w:ascii="Times New Roman" w:hAnsi="Times New Roman" w:cs="Times New Roman"/>
          <w:sz w:val="24"/>
          <w:szCs w:val="24"/>
        </w:rPr>
        <w:t>no-americanas (VIZENTINI, 2007) e i</w:t>
      </w:r>
      <w:r w:rsidRPr="00750C80">
        <w:rPr>
          <w:rFonts w:ascii="Times New Roman" w:hAnsi="Times New Roman" w:cs="Times New Roman"/>
          <w:sz w:val="24"/>
          <w:szCs w:val="24"/>
        </w:rPr>
        <w:t xml:space="preserve">mpacta diretamente, pois, sobre a sua complementaridade em nível regional. </w:t>
      </w:r>
    </w:p>
    <w:p w14:paraId="77A7FE07" w14:textId="2CE71345" w:rsidR="00CC3006" w:rsidRPr="00750C80" w:rsidRDefault="00CC3006"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A taxa de câmbio indica a relação de preços internacionais ao tomar como parâmetro a relação entre divisas amplamente aceitas e as diferentes moedas locais. Almeida (1999) defende variações cambiais como influentes na competitividade industrial brasileira com a Argentina. Valorizações do Real frente </w:t>
      </w:r>
      <w:r w:rsidR="00465520" w:rsidRPr="00750C80">
        <w:rPr>
          <w:rFonts w:ascii="Times New Roman" w:hAnsi="Times New Roman" w:cs="Times New Roman"/>
          <w:sz w:val="24"/>
          <w:szCs w:val="24"/>
        </w:rPr>
        <w:t>ao D</w:t>
      </w:r>
      <w:r w:rsidRPr="00750C80">
        <w:rPr>
          <w:rFonts w:ascii="Times New Roman" w:hAnsi="Times New Roman" w:cs="Times New Roman"/>
          <w:sz w:val="24"/>
          <w:szCs w:val="24"/>
        </w:rPr>
        <w:t xml:space="preserve">ólar beneficiam competitivamente o país. Neste trabalho utiliza-se a relação entre a taxa de câmbio do Brasil e do país </w:t>
      </w:r>
      <w:r w:rsidR="007B3507" w:rsidRPr="00750C80">
        <w:rPr>
          <w:rFonts w:ascii="Times New Roman" w:hAnsi="Times New Roman" w:cs="Times New Roman"/>
          <w:sz w:val="24"/>
          <w:szCs w:val="24"/>
        </w:rPr>
        <w:t>parceiro</w:t>
      </w:r>
      <w:r w:rsidRPr="00750C80">
        <w:rPr>
          <w:rFonts w:ascii="Times New Roman" w:hAnsi="Times New Roman" w:cs="Times New Roman"/>
          <w:sz w:val="24"/>
          <w:szCs w:val="24"/>
        </w:rPr>
        <w:t xml:space="preserve"> como variável </w:t>
      </w:r>
      <w:r w:rsidRPr="00750C80">
        <w:rPr>
          <w:rFonts w:ascii="Times New Roman" w:hAnsi="Times New Roman" w:cs="Times New Roman"/>
          <w:sz w:val="24"/>
          <w:szCs w:val="24"/>
        </w:rPr>
        <w:lastRenderedPageBreak/>
        <w:t>independente influente sobre a complementaridade comercial brasileira na América do Sul. Assim, tem-se que:</w:t>
      </w:r>
    </w:p>
    <w:p w14:paraId="77A7FE08" w14:textId="77777777" w:rsidR="00D21A34" w:rsidRPr="00750C80" w:rsidRDefault="00D21A34" w:rsidP="00C978DF">
      <w:pPr>
        <w:spacing w:after="0" w:line="360" w:lineRule="auto"/>
        <w:ind w:firstLine="708"/>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4"/>
        <w:gridCol w:w="496"/>
      </w:tblGrid>
      <w:tr w:rsidR="00D21A34" w:rsidRPr="00750C80" w14:paraId="77A7FE0B" w14:textId="77777777" w:rsidTr="00D21A34">
        <w:tc>
          <w:tcPr>
            <w:tcW w:w="8714" w:type="dxa"/>
          </w:tcPr>
          <w:p w14:paraId="77A7FE09" w14:textId="77777777" w:rsidR="00D21A34" w:rsidRPr="00750C80" w:rsidRDefault="00507E9A" w:rsidP="00C978DF">
            <w:pPr>
              <w:spacing w:line="360" w:lineRule="auto"/>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Câmbio</m:t>
                  </m:r>
                </m:e>
                <m:sub>
                  <m:r>
                    <w:rPr>
                      <w:rFonts w:ascii="Cambria Math" w:hAnsi="Cambria Math" w:cs="Times New Roman"/>
                      <w:sz w:val="24"/>
                      <w:szCs w:val="24"/>
                    </w:rPr>
                    <m:t>t</m:t>
                  </m:r>
                </m:sub>
              </m:sSub>
            </m:oMath>
            <w:r w:rsidR="00D21A34" w:rsidRPr="00750C80">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US$</m:t>
                      </m:r>
                    </m:den>
                  </m:f>
                  <m:r>
                    <w:rPr>
                      <w:rFonts w:ascii="Cambria Math" w:hAnsi="Cambria Math" w:cs="Times New Roman"/>
                      <w:sz w:val="24"/>
                      <w:szCs w:val="24"/>
                    </w:rPr>
                    <m:t>)</m:t>
                  </m:r>
                </m:e>
                <m:sub>
                  <m:r>
                    <w:rPr>
                      <w:rFonts w:ascii="Cambria Math" w:hAnsi="Cambria Math" w:cs="Times New Roman"/>
                      <w:sz w:val="24"/>
                      <w:szCs w:val="24"/>
                    </w:rPr>
                    <m:t>t</m:t>
                  </m:r>
                </m:sub>
              </m:sSub>
            </m:oMath>
            <w:r w:rsidR="00D21A34" w:rsidRPr="00750C80">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Mlid</m:t>
                      </m:r>
                    </m:num>
                    <m:den>
                      <m:r>
                        <w:rPr>
                          <w:rFonts w:ascii="Cambria Math" w:hAnsi="Cambria Math" w:cs="Times New Roman"/>
                          <w:sz w:val="24"/>
                          <w:szCs w:val="24"/>
                        </w:rPr>
                        <m:t>US$</m:t>
                      </m:r>
                    </m:den>
                  </m:f>
                  <m:r>
                    <w:rPr>
                      <w:rFonts w:ascii="Cambria Math" w:hAnsi="Cambria Math" w:cs="Times New Roman"/>
                      <w:sz w:val="24"/>
                      <w:szCs w:val="24"/>
                    </w:rPr>
                    <m:t>)</m:t>
                  </m:r>
                </m:e>
                <m:sub>
                  <m:r>
                    <w:rPr>
                      <w:rFonts w:ascii="Cambria Math" w:hAnsi="Cambria Math" w:cs="Times New Roman"/>
                      <w:sz w:val="24"/>
                      <w:szCs w:val="24"/>
                    </w:rPr>
                    <m:t>t</m:t>
                  </m:r>
                </m:sub>
                <m:sup>
                  <m:r>
                    <w:rPr>
                      <w:rFonts w:ascii="Cambria Math" w:hAnsi="Cambria Math" w:cs="Times New Roman"/>
                      <w:sz w:val="24"/>
                      <w:szCs w:val="24"/>
                    </w:rPr>
                    <m:t>-1</m:t>
                  </m:r>
                </m:sup>
              </m:sSubSup>
            </m:oMath>
          </w:p>
        </w:tc>
        <w:tc>
          <w:tcPr>
            <w:tcW w:w="496" w:type="dxa"/>
          </w:tcPr>
          <w:p w14:paraId="77A7FE0A" w14:textId="77777777" w:rsidR="00D21A34" w:rsidRPr="00750C80" w:rsidRDefault="00931B94" w:rsidP="00C978DF">
            <w:pPr>
              <w:spacing w:line="360" w:lineRule="auto"/>
              <w:jc w:val="both"/>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t>(2</w:t>
            </w:r>
            <w:r w:rsidR="00D21A34" w:rsidRPr="00750C80">
              <w:rPr>
                <w:rFonts w:ascii="Times New Roman" w:eastAsiaTheme="minorEastAsia" w:hAnsi="Times New Roman" w:cs="Times New Roman"/>
                <w:sz w:val="24"/>
                <w:szCs w:val="24"/>
              </w:rPr>
              <w:t>)</w:t>
            </w:r>
          </w:p>
        </w:tc>
      </w:tr>
    </w:tbl>
    <w:p w14:paraId="77A7FE0C" w14:textId="77777777" w:rsidR="00D21A34" w:rsidRPr="00750C80" w:rsidRDefault="00D21A34" w:rsidP="00C978DF">
      <w:pPr>
        <w:spacing w:after="0" w:line="360" w:lineRule="auto"/>
        <w:ind w:firstLine="708"/>
        <w:jc w:val="both"/>
        <w:rPr>
          <w:rFonts w:ascii="Times New Roman" w:hAnsi="Times New Roman" w:cs="Times New Roman"/>
          <w:sz w:val="24"/>
          <w:szCs w:val="24"/>
        </w:rPr>
      </w:pPr>
    </w:p>
    <w:p w14:paraId="77A7FE0D" w14:textId="77777777" w:rsidR="00CC3006" w:rsidRPr="00750C80" w:rsidRDefault="00CC300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De tal modo que:</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CC3006" w:rsidRPr="00750C80" w14:paraId="77A7FE0F" w14:textId="77777777" w:rsidTr="00CC3006">
        <w:tc>
          <w:tcPr>
            <w:tcW w:w="5000" w:type="pct"/>
          </w:tcPr>
          <w:p w14:paraId="77A7FE0E" w14:textId="77777777" w:rsidR="00CC3006" w:rsidRPr="00750C80" w:rsidRDefault="00507E9A" w:rsidP="00C978DF">
            <w:pPr>
              <w:spacing w:line="360" w:lineRule="auto"/>
              <w:ind w:left="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Câmbio</m:t>
                  </m:r>
                </m:e>
                <m:sub>
                  <m:r>
                    <w:rPr>
                      <w:rFonts w:ascii="Cambria Math" w:hAnsi="Cambria Math" w:cs="Times New Roman"/>
                      <w:sz w:val="24"/>
                      <w:szCs w:val="24"/>
                    </w:rPr>
                    <m:t>t</m:t>
                  </m:r>
                </m:sub>
              </m:sSub>
            </m:oMath>
            <w:r w:rsidR="00CC3006" w:rsidRPr="00750C80">
              <w:rPr>
                <w:rFonts w:ascii="Times New Roman" w:hAnsi="Times New Roman" w:cs="Times New Roman"/>
                <w:sz w:val="24"/>
                <w:szCs w:val="24"/>
              </w:rPr>
              <w:t xml:space="preserve"> = taxa de câmbio no período t;</w:t>
            </w:r>
          </w:p>
        </w:tc>
      </w:tr>
      <w:tr w:rsidR="00CC3006" w:rsidRPr="00750C80" w14:paraId="77A7FE11" w14:textId="77777777" w:rsidTr="00CC3006">
        <w:tc>
          <w:tcPr>
            <w:tcW w:w="5000" w:type="pct"/>
          </w:tcPr>
          <w:p w14:paraId="77A7FE10" w14:textId="77777777" w:rsidR="00CC3006" w:rsidRPr="00750C80" w:rsidRDefault="00507E9A" w:rsidP="00C978DF">
            <w:pPr>
              <w:spacing w:line="360" w:lineRule="auto"/>
              <w:ind w:left="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US$</m:t>
                      </m:r>
                    </m:den>
                  </m:f>
                  <m:r>
                    <w:rPr>
                      <w:rFonts w:ascii="Cambria Math" w:hAnsi="Cambria Math" w:cs="Times New Roman"/>
                      <w:sz w:val="24"/>
                      <w:szCs w:val="24"/>
                    </w:rPr>
                    <m:t>)</m:t>
                  </m:r>
                </m:e>
                <m:sub>
                  <m:r>
                    <w:rPr>
                      <w:rFonts w:ascii="Cambria Math" w:hAnsi="Cambria Math" w:cs="Times New Roman"/>
                      <w:sz w:val="24"/>
                      <w:szCs w:val="24"/>
                    </w:rPr>
                    <m:t>t</m:t>
                  </m:r>
                </m:sub>
              </m:sSub>
            </m:oMath>
            <w:r w:rsidR="00CC3006" w:rsidRPr="00750C80">
              <w:rPr>
                <w:rFonts w:ascii="Times New Roman" w:hAnsi="Times New Roman" w:cs="Times New Roman"/>
                <w:sz w:val="24"/>
                <w:szCs w:val="24"/>
              </w:rPr>
              <w:t xml:space="preserve">= </w:t>
            </w:r>
            <w:r w:rsidR="007B3507" w:rsidRPr="00750C80">
              <w:rPr>
                <w:rFonts w:ascii="Times New Roman" w:hAnsi="Times New Roman" w:cs="Times New Roman"/>
                <w:sz w:val="24"/>
                <w:szCs w:val="24"/>
              </w:rPr>
              <w:t>Valor do Real sobre o valor do Dólar no período t</w:t>
            </w:r>
            <w:r w:rsidR="00CC3006" w:rsidRPr="00750C80">
              <w:rPr>
                <w:rFonts w:ascii="Times New Roman" w:hAnsi="Times New Roman" w:cs="Times New Roman"/>
                <w:sz w:val="24"/>
                <w:szCs w:val="24"/>
              </w:rPr>
              <w:t>;</w:t>
            </w:r>
          </w:p>
        </w:tc>
      </w:tr>
      <w:tr w:rsidR="00CC3006" w:rsidRPr="00750C80" w14:paraId="77A7FE13" w14:textId="77777777" w:rsidTr="00CC3006">
        <w:tc>
          <w:tcPr>
            <w:tcW w:w="5000" w:type="pct"/>
          </w:tcPr>
          <w:p w14:paraId="77A7FE12" w14:textId="77777777" w:rsidR="00CC3006" w:rsidRPr="00750C80" w:rsidRDefault="00507E9A" w:rsidP="00C978DF">
            <w:pPr>
              <w:spacing w:line="360" w:lineRule="auto"/>
              <w:ind w:left="709"/>
              <w:jc w:val="both"/>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Mlid</m:t>
                      </m:r>
                    </m:num>
                    <m:den>
                      <m:r>
                        <w:rPr>
                          <w:rFonts w:ascii="Cambria Math" w:hAnsi="Cambria Math" w:cs="Times New Roman"/>
                          <w:sz w:val="24"/>
                          <w:szCs w:val="24"/>
                        </w:rPr>
                        <m:t>US$</m:t>
                      </m:r>
                    </m:den>
                  </m:f>
                  <m:r>
                    <w:rPr>
                      <w:rFonts w:ascii="Cambria Math" w:hAnsi="Cambria Math" w:cs="Times New Roman"/>
                      <w:sz w:val="24"/>
                      <w:szCs w:val="24"/>
                    </w:rPr>
                    <m:t>)</m:t>
                  </m:r>
                </m:e>
                <m:sub>
                  <m:r>
                    <w:rPr>
                      <w:rFonts w:ascii="Cambria Math" w:hAnsi="Cambria Math" w:cs="Times New Roman"/>
                      <w:sz w:val="24"/>
                      <w:szCs w:val="24"/>
                    </w:rPr>
                    <m:t>t</m:t>
                  </m:r>
                </m:sub>
                <m:sup>
                  <m:r>
                    <w:rPr>
                      <w:rFonts w:ascii="Cambria Math" w:hAnsi="Cambria Math" w:cs="Times New Roman"/>
                      <w:sz w:val="24"/>
                      <w:szCs w:val="24"/>
                    </w:rPr>
                    <m:t>-1</m:t>
                  </m:r>
                </m:sup>
              </m:sSubSup>
            </m:oMath>
            <w:r w:rsidR="00CC3006" w:rsidRPr="00750C80">
              <w:rPr>
                <w:rFonts w:ascii="Times New Roman" w:eastAsiaTheme="minorEastAsia" w:hAnsi="Times New Roman" w:cs="Times New Roman"/>
                <w:sz w:val="24"/>
                <w:szCs w:val="24"/>
              </w:rPr>
              <w:t xml:space="preserve"> = </w:t>
            </w:r>
            <w:r w:rsidR="007B3507" w:rsidRPr="00750C80">
              <w:rPr>
                <w:rFonts w:ascii="Times New Roman" w:eastAsiaTheme="minorEastAsia" w:hAnsi="Times New Roman" w:cs="Times New Roman"/>
                <w:sz w:val="24"/>
                <w:szCs w:val="24"/>
              </w:rPr>
              <w:t>Valor da moeda local do país parceiro</w:t>
            </w:r>
            <w:r w:rsidR="00CC3006" w:rsidRPr="00750C80">
              <w:rPr>
                <w:rFonts w:ascii="Times New Roman" w:eastAsiaTheme="minorEastAsia" w:hAnsi="Times New Roman" w:cs="Times New Roman"/>
                <w:sz w:val="24"/>
                <w:szCs w:val="24"/>
              </w:rPr>
              <w:t xml:space="preserve"> sobre o</w:t>
            </w:r>
            <w:r w:rsidR="007B3507" w:rsidRPr="00750C80">
              <w:rPr>
                <w:rFonts w:ascii="Times New Roman" w:eastAsiaTheme="minorEastAsia" w:hAnsi="Times New Roman" w:cs="Times New Roman"/>
                <w:sz w:val="24"/>
                <w:szCs w:val="24"/>
              </w:rPr>
              <w:t xml:space="preserve"> valor do D</w:t>
            </w:r>
            <w:r w:rsidR="00CC3006" w:rsidRPr="00750C80">
              <w:rPr>
                <w:rFonts w:ascii="Times New Roman" w:eastAsiaTheme="minorEastAsia" w:hAnsi="Times New Roman" w:cs="Times New Roman"/>
                <w:sz w:val="24"/>
                <w:szCs w:val="24"/>
              </w:rPr>
              <w:t>ólar no período t.</w:t>
            </w:r>
          </w:p>
        </w:tc>
      </w:tr>
    </w:tbl>
    <w:p w14:paraId="77A7FE14" w14:textId="77777777" w:rsidR="00CC3006" w:rsidRPr="00750C80" w:rsidRDefault="00CC3006" w:rsidP="00C978DF">
      <w:pPr>
        <w:spacing w:after="0" w:line="360" w:lineRule="auto"/>
        <w:jc w:val="both"/>
        <w:rPr>
          <w:rFonts w:ascii="Times New Roman" w:hAnsi="Times New Roman" w:cs="Times New Roman"/>
          <w:b/>
          <w:sz w:val="24"/>
          <w:szCs w:val="24"/>
        </w:rPr>
      </w:pPr>
    </w:p>
    <w:p w14:paraId="77A7FE16" w14:textId="67F745F1" w:rsidR="00AE2479" w:rsidRPr="00750C80" w:rsidRDefault="001A064E" w:rsidP="00465520">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A análise das diferentes redes de comércio bilateral de um </w:t>
      </w:r>
      <w:r w:rsidR="00B825B5" w:rsidRPr="00750C80">
        <w:rPr>
          <w:rFonts w:ascii="Times New Roman" w:hAnsi="Times New Roman" w:cs="Times New Roman"/>
          <w:sz w:val="24"/>
          <w:szCs w:val="24"/>
        </w:rPr>
        <w:t>permite</w:t>
      </w:r>
      <w:r w:rsidRPr="00750C80">
        <w:rPr>
          <w:rFonts w:ascii="Times New Roman" w:hAnsi="Times New Roman" w:cs="Times New Roman"/>
          <w:sz w:val="24"/>
          <w:szCs w:val="24"/>
        </w:rPr>
        <w:t xml:space="preserve">, em conformidade com sua pauta e volume de comércio, a definição das vantagens e desvantagens comerciais deste país em relação aos seus </w:t>
      </w:r>
      <w:r w:rsidR="00B825B5" w:rsidRPr="00750C80">
        <w:rPr>
          <w:rFonts w:ascii="Times New Roman" w:hAnsi="Times New Roman" w:cs="Times New Roman"/>
          <w:sz w:val="24"/>
          <w:szCs w:val="24"/>
        </w:rPr>
        <w:t>parceiros</w:t>
      </w:r>
      <w:r w:rsidRPr="00750C80">
        <w:rPr>
          <w:rFonts w:ascii="Times New Roman" w:hAnsi="Times New Roman" w:cs="Times New Roman"/>
          <w:sz w:val="24"/>
          <w:szCs w:val="24"/>
        </w:rPr>
        <w:t xml:space="preserve">. </w:t>
      </w:r>
      <w:r w:rsidR="00AE2479" w:rsidRPr="00750C80">
        <w:rPr>
          <w:rFonts w:ascii="Times New Roman" w:hAnsi="Times New Roman" w:cs="Times New Roman"/>
          <w:sz w:val="24"/>
          <w:szCs w:val="24"/>
        </w:rPr>
        <w:t>Balassa (1965) formaliza a teoria das vantagens comparativas de Ricardo</w:t>
      </w:r>
      <w:r w:rsidR="00805E39" w:rsidRPr="00750C80">
        <w:rPr>
          <w:rFonts w:ascii="Times New Roman" w:hAnsi="Times New Roman" w:cs="Times New Roman"/>
          <w:sz w:val="24"/>
          <w:szCs w:val="24"/>
        </w:rPr>
        <w:t xml:space="preserve"> ao quantificar o custo de oportunidade da definição da pauta exterior, por meio do Índice de Vantagens Comparativas Reveladas (IVCR) e Índice de Desvantagens Comparativas Reveladas (IDCR). Conforme o autor há complementaridade comercial entre dois países quando um apresenta vantagem comparativa revelada em um setor cujo parceiro apresenta desvantagem comparativa revelada.</w:t>
      </w:r>
    </w:p>
    <w:p w14:paraId="77A7FE17" w14:textId="77777777" w:rsidR="0090663F" w:rsidRPr="00750C80" w:rsidRDefault="00B825B5"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Mensura-se, então, </w:t>
      </w:r>
      <w:r w:rsidR="001A064E" w:rsidRPr="00750C80">
        <w:rPr>
          <w:rFonts w:ascii="Times New Roman" w:hAnsi="Times New Roman" w:cs="Times New Roman"/>
          <w:sz w:val="24"/>
          <w:szCs w:val="24"/>
        </w:rPr>
        <w:t>o Índice de Complementaridad</w:t>
      </w:r>
      <w:r w:rsidR="0090663F" w:rsidRPr="00750C80">
        <w:rPr>
          <w:rFonts w:ascii="Times New Roman" w:hAnsi="Times New Roman" w:cs="Times New Roman"/>
          <w:sz w:val="24"/>
          <w:szCs w:val="24"/>
        </w:rPr>
        <w:t>e Comercial</w:t>
      </w:r>
      <w:r w:rsidR="001A064E" w:rsidRPr="00750C80">
        <w:rPr>
          <w:rFonts w:ascii="Times New Roman" w:hAnsi="Times New Roman" w:cs="Times New Roman"/>
          <w:sz w:val="24"/>
          <w:szCs w:val="24"/>
        </w:rPr>
        <w:t xml:space="preserve"> (ICC) definido por B</w:t>
      </w:r>
      <w:r w:rsidR="00805E39" w:rsidRPr="00750C80">
        <w:rPr>
          <w:rFonts w:ascii="Times New Roman" w:hAnsi="Times New Roman" w:cs="Times New Roman"/>
          <w:sz w:val="24"/>
          <w:szCs w:val="24"/>
        </w:rPr>
        <w:t xml:space="preserve">alassa (1965).  </w:t>
      </w:r>
      <w:r w:rsidR="001A064E" w:rsidRPr="00750C80">
        <w:rPr>
          <w:rFonts w:ascii="Times New Roman" w:hAnsi="Times New Roman" w:cs="Times New Roman"/>
          <w:sz w:val="24"/>
          <w:szCs w:val="24"/>
        </w:rPr>
        <w:t xml:space="preserve">Segundo Carneiro (2014) </w:t>
      </w:r>
      <w:r w:rsidRPr="00750C80">
        <w:rPr>
          <w:rFonts w:ascii="Times New Roman" w:hAnsi="Times New Roman" w:cs="Times New Roman"/>
          <w:sz w:val="24"/>
          <w:szCs w:val="24"/>
        </w:rPr>
        <w:t xml:space="preserve">o ICC </w:t>
      </w:r>
      <w:r w:rsidR="001A064E" w:rsidRPr="00750C80">
        <w:rPr>
          <w:rFonts w:ascii="Times New Roman" w:hAnsi="Times New Roman" w:cs="Times New Roman"/>
          <w:sz w:val="24"/>
          <w:szCs w:val="24"/>
        </w:rPr>
        <w:t>é</w:t>
      </w:r>
      <w:r w:rsidRPr="00750C80">
        <w:rPr>
          <w:rFonts w:ascii="Times New Roman" w:hAnsi="Times New Roman" w:cs="Times New Roman"/>
          <w:sz w:val="24"/>
          <w:szCs w:val="24"/>
        </w:rPr>
        <w:t xml:space="preserve"> um</w:t>
      </w:r>
      <w:r w:rsidR="001A064E" w:rsidRPr="00750C80">
        <w:rPr>
          <w:rFonts w:ascii="Times New Roman" w:hAnsi="Times New Roman" w:cs="Times New Roman"/>
          <w:sz w:val="24"/>
          <w:szCs w:val="24"/>
        </w:rPr>
        <w:t xml:space="preserve"> indicativo de </w:t>
      </w:r>
      <w:r w:rsidRPr="00750C80">
        <w:rPr>
          <w:rFonts w:ascii="Times New Roman" w:hAnsi="Times New Roman" w:cs="Times New Roman"/>
          <w:sz w:val="24"/>
          <w:szCs w:val="24"/>
        </w:rPr>
        <w:t>relações</w:t>
      </w:r>
      <w:r w:rsidR="001A064E" w:rsidRPr="00750C80">
        <w:rPr>
          <w:rFonts w:ascii="Times New Roman" w:hAnsi="Times New Roman" w:cs="Times New Roman"/>
          <w:sz w:val="24"/>
          <w:szCs w:val="24"/>
        </w:rPr>
        <w:t xml:space="preserve"> bilaterais </w:t>
      </w:r>
      <w:r w:rsidRPr="00750C80">
        <w:rPr>
          <w:rFonts w:ascii="Times New Roman" w:hAnsi="Times New Roman" w:cs="Times New Roman"/>
          <w:sz w:val="24"/>
          <w:szCs w:val="24"/>
        </w:rPr>
        <w:t>em que</w:t>
      </w:r>
      <w:r w:rsidR="001A064E" w:rsidRPr="00750C80">
        <w:rPr>
          <w:rFonts w:ascii="Times New Roman" w:hAnsi="Times New Roman" w:cs="Times New Roman"/>
          <w:sz w:val="24"/>
          <w:szCs w:val="24"/>
        </w:rPr>
        <w:t xml:space="preserve"> um </w:t>
      </w:r>
      <w:r w:rsidRPr="00750C80">
        <w:rPr>
          <w:rFonts w:ascii="Times New Roman" w:hAnsi="Times New Roman" w:cs="Times New Roman"/>
          <w:sz w:val="24"/>
          <w:szCs w:val="24"/>
        </w:rPr>
        <w:t>parceiro</w:t>
      </w:r>
      <w:r w:rsidR="001A064E" w:rsidRPr="00750C80">
        <w:rPr>
          <w:rFonts w:ascii="Times New Roman" w:hAnsi="Times New Roman" w:cs="Times New Roman"/>
          <w:sz w:val="24"/>
          <w:szCs w:val="24"/>
        </w:rPr>
        <w:t xml:space="preserve"> tende a concentrar sua pauta de exportações em um conjunto de bens </w:t>
      </w:r>
      <w:r w:rsidRPr="00750C80">
        <w:rPr>
          <w:rFonts w:ascii="Times New Roman" w:hAnsi="Times New Roman" w:cs="Times New Roman"/>
          <w:sz w:val="24"/>
          <w:szCs w:val="24"/>
        </w:rPr>
        <w:t>os quais compõem grande parcela das importações do parceiro</w:t>
      </w:r>
      <w:r w:rsidR="001A064E" w:rsidRPr="00750C80">
        <w:rPr>
          <w:rFonts w:ascii="Times New Roman" w:hAnsi="Times New Roman" w:cs="Times New Roman"/>
          <w:sz w:val="24"/>
          <w:szCs w:val="24"/>
        </w:rPr>
        <w:t>, e vice-versa.</w:t>
      </w:r>
    </w:p>
    <w:p w14:paraId="77A7FE18" w14:textId="77777777" w:rsidR="0090663F" w:rsidRPr="00750C80" w:rsidRDefault="007E2AFF"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R</w:t>
      </w:r>
      <w:r w:rsidR="00BB78C0" w:rsidRPr="00750C80">
        <w:rPr>
          <w:rFonts w:ascii="Times New Roman" w:hAnsi="Times New Roman" w:cs="Times New Roman"/>
          <w:sz w:val="24"/>
          <w:szCs w:val="24"/>
        </w:rPr>
        <w:t>ecorre-se a</w:t>
      </w:r>
      <w:r w:rsidR="0090663F" w:rsidRPr="00750C80">
        <w:rPr>
          <w:rFonts w:ascii="Times New Roman" w:hAnsi="Times New Roman" w:cs="Times New Roman"/>
          <w:sz w:val="24"/>
          <w:szCs w:val="24"/>
        </w:rPr>
        <w:t xml:space="preserve"> tal metodologia para mensuração da complementaridade comercial brasileira, em sua representatividade em relação ao todo do continente sul-americano, pa</w:t>
      </w:r>
      <w:r w:rsidR="00B81DE6" w:rsidRPr="00750C80">
        <w:rPr>
          <w:rFonts w:ascii="Times New Roman" w:hAnsi="Times New Roman" w:cs="Times New Roman"/>
          <w:sz w:val="24"/>
          <w:szCs w:val="24"/>
        </w:rPr>
        <w:t>r</w:t>
      </w:r>
      <w:r w:rsidR="0090663F" w:rsidRPr="00750C80">
        <w:rPr>
          <w:rFonts w:ascii="Times New Roman" w:hAnsi="Times New Roman" w:cs="Times New Roman"/>
          <w:sz w:val="24"/>
          <w:szCs w:val="24"/>
        </w:rPr>
        <w:t>a o setor de bens manufaturados. Deste modo, explicitam-se os índices indicados por Balassa (1965) a</w:t>
      </w:r>
      <w:r w:rsidR="00A331D0" w:rsidRPr="00750C80">
        <w:rPr>
          <w:rFonts w:ascii="Times New Roman" w:hAnsi="Times New Roman" w:cs="Times New Roman"/>
          <w:sz w:val="24"/>
          <w:szCs w:val="24"/>
        </w:rPr>
        <w:t xml:space="preserve"> serem aqui adotados:</w:t>
      </w:r>
    </w:p>
    <w:p w14:paraId="77A7FE19" w14:textId="77777777" w:rsidR="003B16D1" w:rsidRPr="00750C80" w:rsidRDefault="003B16D1" w:rsidP="00C978DF">
      <w:pPr>
        <w:spacing w:after="0" w:line="360" w:lineRule="auto"/>
        <w:ind w:firstLine="708"/>
        <w:jc w:val="both"/>
        <w:rPr>
          <w:rFonts w:ascii="Times New Roman" w:hAnsi="Times New Roman" w:cs="Times New Roman"/>
          <w:sz w:val="24"/>
          <w:szCs w:val="24"/>
        </w:rPr>
      </w:pPr>
    </w:p>
    <w:tbl>
      <w:tblPr>
        <w:tblStyle w:val="Tabelacomgrade"/>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55"/>
        <w:gridCol w:w="532"/>
        <w:gridCol w:w="35"/>
      </w:tblGrid>
      <w:tr w:rsidR="00387E47" w:rsidRPr="00750C80" w14:paraId="77A7FE1C" w14:textId="77777777" w:rsidTr="008E579B">
        <w:trPr>
          <w:gridAfter w:val="1"/>
          <w:wAfter w:w="35" w:type="dxa"/>
        </w:trPr>
        <w:tc>
          <w:tcPr>
            <w:tcW w:w="8755" w:type="dxa"/>
            <w:vAlign w:val="center"/>
          </w:tcPr>
          <w:p w14:paraId="77A7FE1A" w14:textId="77777777" w:rsidR="00387E47" w:rsidRPr="00750C80" w:rsidRDefault="00507E9A" w:rsidP="00C978DF">
            <w:pPr>
              <w:spacing w:after="120" w:line="360" w:lineRule="auto"/>
              <w:jc w:val="center"/>
              <w:rPr>
                <w:rFonts w:ascii="Times New Roman" w:eastAsiaTheme="minorEastAsia" w:hAnsi="Times New Roman" w:cs="Times New Roman"/>
                <w:sz w:val="24"/>
                <w:szCs w:val="24"/>
              </w:rPr>
            </w:pPr>
            <m:oMath>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IVCR</m:t>
                  </m:r>
                </m:e>
                <m:sub>
                  <m:r>
                    <w:rPr>
                      <w:rFonts w:ascii="Cambria Math" w:eastAsia="Cambria Math" w:hAnsi="Cambria Math" w:cs="Times New Roman"/>
                      <w:sz w:val="24"/>
                      <w:szCs w:val="24"/>
                    </w:rPr>
                    <m:t xml:space="preserve"> </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br</m:t>
                      </m:r>
                    </m:e>
                    <m:sub>
                      <m:r>
                        <w:rPr>
                          <w:rFonts w:ascii="Cambria Math" w:eastAsia="Cambria Math" w:hAnsi="Cambria Math" w:cs="Times New Roman"/>
                          <w:sz w:val="24"/>
                          <w:szCs w:val="24"/>
                        </w:rPr>
                        <m:t>t</m:t>
                      </m:r>
                    </m:sub>
                  </m:sSub>
                </m:sub>
              </m:sSub>
            </m:oMath>
            <w:r w:rsidR="00387E47" w:rsidRPr="00750C80">
              <w:rPr>
                <w:rFonts w:ascii="Times New Roman" w:hAnsi="Times New Roman" w:cs="Times New Roman"/>
                <w:b/>
                <w:sz w:val="24"/>
                <w:szCs w:val="24"/>
              </w:rPr>
              <w:t xml:space="preserve"> :</w:t>
            </w:r>
            <w:r w:rsidR="00387E47" w:rsidRPr="00750C80">
              <w:rPr>
                <w:rFonts w:ascii="Times New Roman" w:hAnsi="Times New Roman" w:cs="Times New Roman"/>
                <w:sz w:val="24"/>
                <w:szCs w:val="24"/>
              </w:rPr>
              <w:t xml:space="preserve"> </w:t>
            </w:r>
            <m:oMath>
              <m:f>
                <m:fPr>
                  <m:type m:val="lin"/>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alta br</m:t>
                          </m:r>
                        </m:e>
                        <m:sub>
                          <m:r>
                            <w:rPr>
                              <w:rFonts w:ascii="Cambria Math" w:hAnsi="Cambria Math" w:cs="Times New Roman"/>
                              <w:sz w:val="24"/>
                              <w:szCs w:val="24"/>
                            </w:rPr>
                            <m:t>t</m:t>
                          </m:r>
                        </m:sub>
                      </m:sSub>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totais b</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alta i</m:t>
                                  </m:r>
                                </m:e>
                                <m:sub>
                                  <m:r>
                                    <w:rPr>
                                      <w:rFonts w:ascii="Cambria Math" w:hAnsi="Cambria Math" w:cs="Times New Roman"/>
                                      <w:sz w:val="24"/>
                                      <w:szCs w:val="24"/>
                                    </w:rPr>
                                    <m:t>t</m:t>
                                  </m:r>
                                </m:sub>
                              </m:sSub>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totais</m:t>
                              </m:r>
                              <m:sSub>
                                <m:sSubPr>
                                  <m:ctrlPr>
                                    <w:rPr>
                                      <w:rFonts w:ascii="Cambria Math" w:hAnsi="Cambria Math" w:cs="Times New Roman"/>
                                      <w:i/>
                                      <w:sz w:val="24"/>
                                      <w:szCs w:val="24"/>
                                    </w:rPr>
                                  </m:ctrlPr>
                                </m:sSubPr>
                                <m:e>
                                  <m:r>
                                    <w:rPr>
                                      <w:rFonts w:ascii="Cambria Math" w:hAnsi="Cambria Math" w:cs="Times New Roman"/>
                                      <w:sz w:val="24"/>
                                      <w:szCs w:val="24"/>
                                    </w:rPr>
                                    <m:t xml:space="preserve"> i</m:t>
                                  </m:r>
                                </m:e>
                                <m:sub>
                                  <m:r>
                                    <w:rPr>
                                      <w:rFonts w:ascii="Cambria Math" w:hAnsi="Cambria Math" w:cs="Times New Roman"/>
                                      <w:sz w:val="24"/>
                                      <w:szCs w:val="24"/>
                                    </w:rPr>
                                    <m:t>t</m:t>
                                  </m:r>
                                </m:sub>
                              </m:sSub>
                            </m:sub>
                          </m:sSub>
                          <m:r>
                            <w:rPr>
                              <w:rFonts w:ascii="Cambria Math" w:hAnsi="Cambria Math" w:cs="Times New Roman"/>
                              <w:sz w:val="24"/>
                              <w:szCs w:val="24"/>
                            </w:rPr>
                            <m:t>)</m:t>
                          </m:r>
                        </m:den>
                      </m:f>
                    </m:e>
                    <m:sup>
                      <m:r>
                        <w:rPr>
                          <w:rFonts w:ascii="Cambria Math" w:hAnsi="Cambria Math" w:cs="Times New Roman"/>
                          <w:sz w:val="24"/>
                          <w:szCs w:val="24"/>
                        </w:rPr>
                        <m:t>-1</m:t>
                      </m:r>
                    </m:sup>
                  </m:sSup>
                </m:den>
              </m:f>
            </m:oMath>
          </w:p>
        </w:tc>
        <w:tc>
          <w:tcPr>
            <w:tcW w:w="532" w:type="dxa"/>
          </w:tcPr>
          <w:p w14:paraId="77A7FE1B" w14:textId="77777777" w:rsidR="00387E47" w:rsidRPr="00750C80" w:rsidRDefault="001C01B1" w:rsidP="00C978DF">
            <w:pPr>
              <w:spacing w:after="120" w:line="360" w:lineRule="auto"/>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t>(</w:t>
            </w:r>
            <w:r w:rsidR="00931B94" w:rsidRPr="00750C80">
              <w:rPr>
                <w:rFonts w:ascii="Times New Roman" w:eastAsiaTheme="minorEastAsia" w:hAnsi="Times New Roman" w:cs="Times New Roman"/>
                <w:sz w:val="24"/>
                <w:szCs w:val="24"/>
              </w:rPr>
              <w:t>3</w:t>
            </w:r>
            <w:r w:rsidR="00CB1942" w:rsidRPr="00750C80">
              <w:rPr>
                <w:rFonts w:ascii="Times New Roman" w:eastAsiaTheme="minorEastAsia" w:hAnsi="Times New Roman" w:cs="Times New Roman"/>
                <w:sz w:val="24"/>
                <w:szCs w:val="24"/>
              </w:rPr>
              <w:t>)</w:t>
            </w:r>
          </w:p>
        </w:tc>
      </w:tr>
      <w:tr w:rsidR="00CB1942" w:rsidRPr="00750C80" w14:paraId="77A7FE1F" w14:textId="77777777" w:rsidTr="008E579B">
        <w:trPr>
          <w:gridAfter w:val="1"/>
          <w:wAfter w:w="35" w:type="dxa"/>
          <w:trHeight w:val="791"/>
        </w:trPr>
        <w:tc>
          <w:tcPr>
            <w:tcW w:w="8755" w:type="dxa"/>
            <w:vAlign w:val="center"/>
          </w:tcPr>
          <w:p w14:paraId="77A7FE1D" w14:textId="77777777" w:rsidR="00CB1942" w:rsidRPr="00750C80" w:rsidRDefault="00507E9A" w:rsidP="00C978DF">
            <w:pPr>
              <w:spacing w:after="120" w:line="360" w:lineRule="auto"/>
              <w:jc w:val="center"/>
              <w:rPr>
                <w:rFonts w:ascii="Times New Roman" w:eastAsiaTheme="minorEastAsia" w:hAnsi="Times New Roman" w:cs="Times New Roman"/>
                <w:sz w:val="24"/>
                <w:szCs w:val="24"/>
              </w:rPr>
            </w:pPr>
            <m:oMath>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IDCR</m:t>
                  </m:r>
                </m:e>
                <m:sub>
                  <m:r>
                    <w:rPr>
                      <w:rFonts w:ascii="Cambria Math" w:eastAsia="Cambria Math" w:hAnsi="Cambria Math" w:cs="Times New Roman"/>
                      <w:sz w:val="24"/>
                      <w:szCs w:val="24"/>
                    </w:rPr>
                    <m:t xml:space="preserve"> i</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d</m:t>
                      </m:r>
                    </m:e>
                    <m:sub>
                      <m:r>
                        <w:rPr>
                          <w:rFonts w:ascii="Cambria Math" w:eastAsia="Cambria Math" w:hAnsi="Cambria Math" w:cs="Times New Roman"/>
                          <w:sz w:val="24"/>
                          <w:szCs w:val="24"/>
                        </w:rPr>
                        <m:t>t</m:t>
                      </m:r>
                    </m:sub>
                  </m:sSub>
                </m:sub>
              </m:sSub>
              <m:r>
                <m:rPr>
                  <m:sty m:val="bi"/>
                </m:rPr>
                <w:rPr>
                  <w:rFonts w:ascii="Cambria Math" w:eastAsia="Cambria Math" w:hAnsi="Cambria Math" w:cs="Times New Roman"/>
                  <w:sz w:val="24"/>
                  <w:szCs w:val="24"/>
                </w:rPr>
                <m:t>:</m:t>
              </m:r>
            </m:oMath>
            <w:r w:rsidR="00CB1942" w:rsidRPr="00750C80">
              <w:rPr>
                <w:rFonts w:ascii="Times New Roman" w:hAnsi="Times New Roman" w:cs="Times New Roman"/>
                <w:sz w:val="24"/>
                <w:szCs w:val="24"/>
              </w:rPr>
              <w:t xml:space="preserve"> </w:t>
            </w:r>
            <m:oMath>
              <m:f>
                <m:fPr>
                  <m:type m:val="lin"/>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 xml:space="preserve">alta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sub>
                      </m:sSub>
                    </m:sub>
                  </m:sSub>
                </m:num>
                <m:den>
                  <m:sSub>
                    <m:sSubPr>
                      <m:ctrlPr>
                        <w:rPr>
                          <w:rFonts w:ascii="Cambria Math" w:hAnsi="Cambria Math" w:cs="Times New Roman"/>
                          <w:i/>
                          <w:sz w:val="24"/>
                          <w:szCs w:val="24"/>
                        </w:rPr>
                      </m:ctrlPr>
                    </m:sSubPr>
                    <m:e>
                      <m:r>
                        <w:rPr>
                          <w:rFonts w:ascii="Cambria Math" w:hAnsi="Cambria Math" w:cs="Times New Roman"/>
                          <w:sz w:val="24"/>
                          <w:szCs w:val="24"/>
                        </w:rPr>
                        <m:t>M</m:t>
                      </m:r>
                    </m:e>
                    <m:sub>
                      <m:sSub>
                        <m:sSubPr>
                          <m:ctrlPr>
                            <w:rPr>
                              <w:rFonts w:ascii="Cambria Math" w:hAnsi="Cambria Math" w:cs="Times New Roman"/>
                              <w:i/>
                              <w:sz w:val="24"/>
                              <w:szCs w:val="24"/>
                            </w:rPr>
                          </m:ctrlPr>
                        </m:sSubPr>
                        <m:e>
                          <m:r>
                            <w:rPr>
                              <w:rFonts w:ascii="Cambria Math" w:hAnsi="Cambria Math" w:cs="Times New Roman"/>
                              <w:sz w:val="24"/>
                              <w:szCs w:val="24"/>
                            </w:rPr>
                            <m:t xml:space="preserve"> totais i</m:t>
                          </m:r>
                        </m:e>
                        <m:sub>
                          <m:r>
                            <w:rPr>
                              <w:rFonts w:ascii="Cambria Math" w:hAnsi="Cambria Math" w:cs="Times New Roman"/>
                              <w:sz w:val="24"/>
                              <w:szCs w:val="24"/>
                            </w:rPr>
                            <m:t>t</m:t>
                          </m:r>
                        </m:sub>
                      </m:sSub>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alta i</m:t>
                                  </m:r>
                                </m:sub>
                              </m:sSub>
                            </m:e>
                            <m:sub>
                              <m:r>
                                <w:rPr>
                                  <w:rFonts w:ascii="Cambria Math" w:hAnsi="Cambria Math" w:cs="Times New Roman"/>
                                  <w:sz w:val="24"/>
                                  <w:szCs w:val="24"/>
                                </w:rPr>
                                <m:t>t</m:t>
                              </m:r>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totais i</m:t>
                                  </m:r>
                                </m:sub>
                              </m:sSub>
                            </m:e>
                            <m:sub>
                              <m:r>
                                <w:rPr>
                                  <w:rFonts w:ascii="Cambria Math" w:hAnsi="Cambria Math" w:cs="Times New Roman"/>
                                  <w:sz w:val="24"/>
                                  <w:szCs w:val="24"/>
                                </w:rPr>
                                <m:t>t</m:t>
                              </m:r>
                            </m:sub>
                          </m:sSub>
                          <m:r>
                            <w:rPr>
                              <w:rFonts w:ascii="Cambria Math" w:hAnsi="Cambria Math" w:cs="Times New Roman"/>
                              <w:sz w:val="24"/>
                              <w:szCs w:val="24"/>
                            </w:rPr>
                            <m:t>)</m:t>
                          </m:r>
                        </m:den>
                      </m:f>
                    </m:e>
                    <m:sup>
                      <m:r>
                        <w:rPr>
                          <w:rFonts w:ascii="Cambria Math" w:hAnsi="Cambria Math" w:cs="Times New Roman"/>
                          <w:sz w:val="24"/>
                          <w:szCs w:val="24"/>
                        </w:rPr>
                        <m:t>-1</m:t>
                      </m:r>
                    </m:sup>
                  </m:sSup>
                </m:den>
              </m:f>
            </m:oMath>
          </w:p>
        </w:tc>
        <w:tc>
          <w:tcPr>
            <w:tcW w:w="532" w:type="dxa"/>
          </w:tcPr>
          <w:p w14:paraId="77A7FE1E" w14:textId="77777777" w:rsidR="00CB1942" w:rsidRPr="00750C80" w:rsidRDefault="00CB1942" w:rsidP="00C978DF">
            <w:pPr>
              <w:spacing w:after="120" w:line="360" w:lineRule="auto"/>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t>(</w:t>
            </w:r>
            <w:r w:rsidR="00931B94" w:rsidRPr="00750C80">
              <w:rPr>
                <w:rFonts w:ascii="Times New Roman" w:eastAsiaTheme="minorEastAsia" w:hAnsi="Times New Roman" w:cs="Times New Roman"/>
                <w:sz w:val="24"/>
                <w:szCs w:val="24"/>
              </w:rPr>
              <w:t>4</w:t>
            </w:r>
            <w:r w:rsidRPr="00750C80">
              <w:rPr>
                <w:rFonts w:ascii="Times New Roman" w:eastAsiaTheme="minorEastAsia" w:hAnsi="Times New Roman" w:cs="Times New Roman"/>
                <w:sz w:val="24"/>
                <w:szCs w:val="24"/>
              </w:rPr>
              <w:t>)</w:t>
            </w:r>
          </w:p>
        </w:tc>
      </w:tr>
      <w:tr w:rsidR="008E579B" w:rsidRPr="00750C80" w14:paraId="77A7FE23" w14:textId="77777777" w:rsidTr="008E579B">
        <w:trPr>
          <w:gridAfter w:val="1"/>
          <w:wAfter w:w="35" w:type="dxa"/>
          <w:trHeight w:val="470"/>
        </w:trPr>
        <w:tc>
          <w:tcPr>
            <w:tcW w:w="8755" w:type="dxa"/>
          </w:tcPr>
          <w:p w14:paraId="77A7FE20" w14:textId="77777777" w:rsidR="008E579B" w:rsidRPr="00750C80" w:rsidRDefault="00507E9A" w:rsidP="00C978DF">
            <w:pPr>
              <w:spacing w:line="360" w:lineRule="auto"/>
              <w:rPr>
                <w:rFonts w:ascii="Times New Roman" w:eastAsia="Calibri" w:hAnsi="Times New Roman" w:cs="Times New Roman"/>
                <w:sz w:val="24"/>
                <w:szCs w:val="24"/>
              </w:rPr>
            </w:pPr>
            <m:oMath>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ICC</m:t>
                  </m:r>
                </m:e>
                <m:sub>
                  <m:r>
                    <w:rPr>
                      <w:rFonts w:ascii="Cambria Math" w:eastAsia="Cambria Math" w:hAnsi="Cambria Math" w:cs="Times New Roman"/>
                      <w:sz w:val="24"/>
                      <w:szCs w:val="24"/>
                    </w:rPr>
                    <m:t>t</m:t>
                  </m:r>
                </m:sub>
              </m:sSub>
            </m:oMath>
            <w:r w:rsidR="008E579B" w:rsidRPr="00750C80">
              <w:rPr>
                <w:rFonts w:ascii="Times New Roman" w:hAnsi="Times New Roman" w:cs="Times New Roman"/>
                <w:b/>
                <w:sz w:val="24"/>
                <w:szCs w:val="24"/>
              </w:rPr>
              <w:t xml:space="preserve"> :</w:t>
            </w:r>
            <w:r w:rsidR="008E579B" w:rsidRPr="00750C80">
              <w:rPr>
                <w:rFonts w:ascii="Times New Roman" w:hAnsi="Times New Roman" w:cs="Times New Roman"/>
                <w:sz w:val="24"/>
                <w:szCs w:val="24"/>
              </w:rPr>
              <w:t xml:space="preserve"> </w:t>
            </w:r>
            <m:oMath>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IVCR</m:t>
                  </m:r>
                </m:e>
                <m:sub>
                  <m:r>
                    <w:rPr>
                      <w:rFonts w:ascii="Cambria Math" w:eastAsia="Cambria Math" w:hAnsi="Cambria Math" w:cs="Times New Roman"/>
                      <w:sz w:val="24"/>
                      <w:szCs w:val="24"/>
                    </w:rPr>
                    <m:t>t</m:t>
                  </m:r>
                </m:sub>
              </m:sSub>
              <m:r>
                <w:rPr>
                  <w:rFonts w:ascii="Cambria Math" w:eastAsia="Cambria Math" w:hAnsi="Cambria Math" w:cs="Times New Roman"/>
                  <w:sz w:val="24"/>
                  <w:szCs w:val="24"/>
                </w:rPr>
                <m:t>*</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IDCR</m:t>
                  </m:r>
                </m:e>
                <m:sub>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id</m:t>
                      </m:r>
                    </m:e>
                    <m:sub>
                      <m:r>
                        <w:rPr>
                          <w:rFonts w:ascii="Cambria Math" w:eastAsia="Cambria Math" w:hAnsi="Cambria Math" w:cs="Times New Roman"/>
                          <w:sz w:val="24"/>
                          <w:szCs w:val="24"/>
                        </w:rPr>
                        <m:t>t</m:t>
                      </m:r>
                    </m:sub>
                  </m:sSub>
                </m:sub>
              </m:sSub>
            </m:oMath>
            <w:r w:rsidR="008E579B" w:rsidRPr="00750C80">
              <w:rPr>
                <w:rFonts w:ascii="Times New Roman" w:hAnsi="Times New Roman" w:cs="Times New Roman"/>
                <w:b/>
                <w:sz w:val="24"/>
                <w:szCs w:val="24"/>
              </w:rPr>
              <w:t xml:space="preserve">  = </w:t>
            </w:r>
            <m:oMath>
              <m:f>
                <m:fPr>
                  <m:type m:val="lin"/>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alta br</m:t>
                          </m:r>
                        </m:e>
                        <m:sub>
                          <m:r>
                            <w:rPr>
                              <w:rFonts w:ascii="Cambria Math" w:hAnsi="Cambria Math" w:cs="Times New Roman"/>
                              <w:sz w:val="24"/>
                              <w:szCs w:val="24"/>
                            </w:rPr>
                            <m:t>t</m:t>
                          </m:r>
                        </m:sub>
                      </m:sSub>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br</m:t>
                          </m:r>
                        </m:sub>
                      </m:sSub>
                    </m:e>
                    <m:sub>
                      <m:r>
                        <w:rPr>
                          <w:rFonts w:ascii="Cambria Math" w:hAnsi="Cambria Math" w:cs="Times New Roman"/>
                          <w:sz w:val="24"/>
                          <w:szCs w:val="24"/>
                        </w:rPr>
                        <m:t>t</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alta i</m:t>
                                  </m:r>
                                </m:sub>
                              </m:sSub>
                            </m:e>
                            <m:sub>
                              <m:r>
                                <w:rPr>
                                  <w:rFonts w:ascii="Cambria Math" w:hAnsi="Cambria Math" w:cs="Times New Roman"/>
                                  <w:sz w:val="24"/>
                                  <w:szCs w:val="24"/>
                                </w:rPr>
                                <m:t>t</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 xml:space="preserve"> i</m:t>
                                  </m:r>
                                </m:e>
                                <m:sub>
                                  <m:r>
                                    <w:rPr>
                                      <w:rFonts w:ascii="Cambria Math" w:hAnsi="Cambria Math" w:cs="Times New Roman"/>
                                      <w:sz w:val="24"/>
                                      <w:szCs w:val="24"/>
                                    </w:rPr>
                                    <m:t>t</m:t>
                                  </m:r>
                                </m:sub>
                              </m:sSub>
                            </m:sub>
                          </m:sSub>
                          <m:r>
                            <w:rPr>
                              <w:rFonts w:ascii="Cambria Math" w:hAnsi="Cambria Math" w:cs="Times New Roman"/>
                              <w:sz w:val="24"/>
                              <w:szCs w:val="24"/>
                            </w:rPr>
                            <m:t>)</m:t>
                          </m:r>
                        </m:den>
                      </m:f>
                    </m:e>
                    <m:sup>
                      <m:r>
                        <w:rPr>
                          <w:rFonts w:ascii="Cambria Math" w:hAnsi="Cambria Math" w:cs="Times New Roman"/>
                          <w:sz w:val="24"/>
                          <w:szCs w:val="24"/>
                        </w:rPr>
                        <m:t>-1</m:t>
                      </m:r>
                    </m:sup>
                  </m:sSup>
                  <m:r>
                    <w:rPr>
                      <w:rFonts w:ascii="Cambria Math" w:hAnsi="Cambria Math" w:cs="Times New Roman"/>
                      <w:sz w:val="24"/>
                      <w:szCs w:val="24"/>
                    </w:rPr>
                    <m:t>]</m:t>
                  </m:r>
                  <m:f>
                    <m:fPr>
                      <m:type m:val="lin"/>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 xml:space="preserve">alta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sub>
                          </m:sSub>
                        </m:sub>
                      </m:sSub>
                    </m:num>
                    <m:den>
                      <m:sSub>
                        <m:sSubPr>
                          <m:ctrlPr>
                            <w:rPr>
                              <w:rFonts w:ascii="Cambria Math" w:hAnsi="Cambria Math" w:cs="Times New Roman"/>
                              <w:i/>
                              <w:sz w:val="24"/>
                              <w:szCs w:val="24"/>
                            </w:rPr>
                          </m:ctrlPr>
                        </m:sSubPr>
                        <m:e>
                          <m:r>
                            <w:rPr>
                              <w:rFonts w:ascii="Cambria Math" w:hAnsi="Cambria Math" w:cs="Times New Roman"/>
                              <w:sz w:val="24"/>
                              <w:szCs w:val="24"/>
                            </w:rPr>
                            <m:t>M</m:t>
                          </m:r>
                        </m:e>
                        <m:sub>
                          <m:sSub>
                            <m:sSubPr>
                              <m:ctrlPr>
                                <w:rPr>
                                  <w:rFonts w:ascii="Cambria Math" w:hAnsi="Cambria Math" w:cs="Times New Roman"/>
                                  <w:i/>
                                  <w:sz w:val="24"/>
                                  <w:szCs w:val="24"/>
                                </w:rPr>
                              </m:ctrlPr>
                            </m:sSubPr>
                            <m:e>
                              <m:r>
                                <w:rPr>
                                  <w:rFonts w:ascii="Cambria Math" w:hAnsi="Cambria Math" w:cs="Times New Roman"/>
                                  <w:sz w:val="24"/>
                                  <w:szCs w:val="24"/>
                                </w:rPr>
                                <m:t>totais i</m:t>
                              </m:r>
                            </m:e>
                            <m:sub>
                              <m:r>
                                <w:rPr>
                                  <w:rFonts w:ascii="Cambria Math" w:hAnsi="Cambria Math" w:cs="Times New Roman"/>
                                  <w:sz w:val="24"/>
                                  <w:szCs w:val="24"/>
                                </w:rPr>
                                <m:t>t</m:t>
                              </m:r>
                            </m:sub>
                          </m:sSub>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alta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sub>
                                  </m:sSub>
                                </m:sub>
                              </m:sSub>
                            </m:num>
                            <m:den>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totais i</m:t>
                                      </m:r>
                                    </m:sub>
                                  </m:sSub>
                                </m:e>
                                <m:sub>
                                  <m:r>
                                    <w:rPr>
                                      <w:rFonts w:ascii="Cambria Math" w:hAnsi="Cambria Math" w:cs="Times New Roman"/>
                                      <w:sz w:val="24"/>
                                      <w:szCs w:val="24"/>
                                    </w:rPr>
                                    <m:t>t</m:t>
                                  </m:r>
                                </m:sub>
                              </m:sSub>
                              <m:r>
                                <w:rPr>
                                  <w:rFonts w:ascii="Cambria Math" w:hAnsi="Cambria Math" w:cs="Times New Roman"/>
                                  <w:sz w:val="24"/>
                                  <w:szCs w:val="24"/>
                                </w:rPr>
                                <m:t>)</m:t>
                              </m:r>
                            </m:den>
                          </m:f>
                        </m:e>
                        <m:sup>
                          <m:r>
                            <w:rPr>
                              <w:rFonts w:ascii="Cambria Math" w:hAnsi="Cambria Math" w:cs="Times New Roman"/>
                              <w:sz w:val="24"/>
                              <w:szCs w:val="24"/>
                            </w:rPr>
                            <m:t>-1</m:t>
                          </m:r>
                        </m:sup>
                      </m:sSup>
                      <m:r>
                        <w:rPr>
                          <w:rFonts w:ascii="Cambria Math" w:hAnsi="Cambria Math" w:cs="Times New Roman"/>
                          <w:sz w:val="24"/>
                          <w:szCs w:val="24"/>
                        </w:rPr>
                        <m:t>]</m:t>
                      </m:r>
                    </m:den>
                  </m:f>
                </m:den>
              </m:f>
            </m:oMath>
          </w:p>
        </w:tc>
        <w:tc>
          <w:tcPr>
            <w:tcW w:w="532" w:type="dxa"/>
          </w:tcPr>
          <w:p w14:paraId="77A7FE21" w14:textId="77777777" w:rsidR="00B825B5" w:rsidRPr="00750C80" w:rsidRDefault="00B825B5" w:rsidP="00C978DF">
            <w:pPr>
              <w:spacing w:line="360" w:lineRule="auto"/>
              <w:rPr>
                <w:rFonts w:ascii="Times New Roman" w:eastAsia="Calibri" w:hAnsi="Times New Roman" w:cs="Times New Roman"/>
                <w:sz w:val="24"/>
                <w:szCs w:val="24"/>
              </w:rPr>
            </w:pPr>
          </w:p>
          <w:p w14:paraId="77A7FE22" w14:textId="77777777" w:rsidR="008E579B" w:rsidRPr="00750C80" w:rsidRDefault="008E579B" w:rsidP="00C978DF">
            <w:pPr>
              <w:spacing w:line="360" w:lineRule="auto"/>
              <w:rPr>
                <w:rFonts w:ascii="Times New Roman" w:eastAsia="Calibri" w:hAnsi="Times New Roman" w:cs="Times New Roman"/>
                <w:sz w:val="24"/>
                <w:szCs w:val="24"/>
              </w:rPr>
            </w:pPr>
            <w:r w:rsidRPr="00750C80">
              <w:rPr>
                <w:rFonts w:ascii="Times New Roman" w:eastAsia="Calibri" w:hAnsi="Times New Roman" w:cs="Times New Roman"/>
                <w:sz w:val="24"/>
                <w:szCs w:val="24"/>
              </w:rPr>
              <w:t>(5)</w:t>
            </w:r>
          </w:p>
        </w:tc>
      </w:tr>
      <w:tr w:rsidR="008E579B" w:rsidRPr="00750C80" w14:paraId="77A7FE26" w14:textId="77777777" w:rsidTr="008E579B">
        <w:tc>
          <w:tcPr>
            <w:tcW w:w="8755" w:type="dxa"/>
          </w:tcPr>
          <w:p w14:paraId="77A7FE24" w14:textId="77777777" w:rsidR="008E579B" w:rsidRPr="00750C80" w:rsidRDefault="008E579B" w:rsidP="00C978DF">
            <w:pPr>
              <w:spacing w:line="360" w:lineRule="auto"/>
              <w:rPr>
                <w:rFonts w:ascii="Times New Roman" w:eastAsia="Calibri" w:hAnsi="Times New Roman" w:cs="Times New Roman"/>
                <w:sz w:val="24"/>
                <w:szCs w:val="24"/>
              </w:rPr>
            </w:pPr>
          </w:p>
        </w:tc>
        <w:tc>
          <w:tcPr>
            <w:tcW w:w="567" w:type="dxa"/>
            <w:gridSpan w:val="2"/>
          </w:tcPr>
          <w:p w14:paraId="77A7FE25" w14:textId="77777777" w:rsidR="008E579B" w:rsidRPr="00750C80" w:rsidRDefault="008E579B" w:rsidP="00C978DF">
            <w:pPr>
              <w:spacing w:line="360" w:lineRule="auto"/>
              <w:rPr>
                <w:rFonts w:ascii="Times New Roman" w:eastAsia="Calibri" w:hAnsi="Times New Roman" w:cs="Times New Roman"/>
                <w:sz w:val="24"/>
                <w:szCs w:val="24"/>
              </w:rPr>
            </w:pPr>
          </w:p>
        </w:tc>
      </w:tr>
    </w:tbl>
    <w:p w14:paraId="77A7FE27" w14:textId="77777777" w:rsidR="004453B3" w:rsidRPr="00750C80" w:rsidRDefault="00C834EC" w:rsidP="00C978DF">
      <w:pPr>
        <w:spacing w:after="0" w:line="360" w:lineRule="auto"/>
        <w:ind w:firstLine="709"/>
        <w:jc w:val="both"/>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t>Onde,</w:t>
      </w:r>
    </w:p>
    <w:p w14:paraId="77A7FE28" w14:textId="77777777" w:rsidR="00C834EC" w:rsidRPr="00750C80" w:rsidRDefault="00C834EC" w:rsidP="00C978DF">
      <w:pPr>
        <w:spacing w:after="0" w:line="360" w:lineRule="auto"/>
        <w:ind w:firstLine="709"/>
        <w:jc w:val="both"/>
        <w:rPr>
          <w:rFonts w:ascii="Times New Roman" w:eastAsiaTheme="minorEastAsia" w:hAnsi="Times New Roman" w:cs="Times New Roman"/>
          <w:sz w:val="24"/>
          <w:szCs w:val="24"/>
        </w:rPr>
      </w:pPr>
    </w:p>
    <w:p w14:paraId="77A7FE29" w14:textId="77777777" w:rsidR="004453B3" w:rsidRPr="00750C80" w:rsidRDefault="00507E9A" w:rsidP="00C978DF">
      <w:pPr>
        <w:spacing w:after="0" w:line="360" w:lineRule="auto"/>
        <w:ind w:firstLine="709"/>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alta br</m:t>
                </m:r>
              </m:e>
              <m:sub>
                <m:r>
                  <w:rPr>
                    <w:rFonts w:ascii="Cambria Math" w:hAnsi="Cambria Math" w:cs="Times New Roman"/>
                    <w:sz w:val="24"/>
                    <w:szCs w:val="24"/>
                  </w:rPr>
                  <m:t>t</m:t>
                </m:r>
              </m:sub>
            </m:sSub>
          </m:sub>
        </m:sSub>
      </m:oMath>
      <w:r w:rsidR="004453B3" w:rsidRPr="00750C80">
        <w:rPr>
          <w:rFonts w:ascii="Times New Roman" w:eastAsiaTheme="minorEastAsia" w:hAnsi="Times New Roman" w:cs="Times New Roman"/>
          <w:sz w:val="24"/>
          <w:szCs w:val="24"/>
        </w:rPr>
        <w:t xml:space="preserve"> = Exportação de </w:t>
      </w:r>
      <w:r w:rsidR="00DC202E" w:rsidRPr="00750C80">
        <w:rPr>
          <w:rFonts w:ascii="Times New Roman" w:eastAsiaTheme="minorEastAsia" w:hAnsi="Times New Roman" w:cs="Times New Roman"/>
          <w:sz w:val="24"/>
          <w:szCs w:val="24"/>
        </w:rPr>
        <w:t>alta intensidade tecnológica</w:t>
      </w:r>
      <w:r w:rsidR="004453B3" w:rsidRPr="00750C80">
        <w:rPr>
          <w:rFonts w:ascii="Times New Roman" w:eastAsiaTheme="minorEastAsia" w:hAnsi="Times New Roman" w:cs="Times New Roman"/>
          <w:sz w:val="24"/>
          <w:szCs w:val="24"/>
        </w:rPr>
        <w:t xml:space="preserve"> do Brasil no tempo t;</w:t>
      </w:r>
    </w:p>
    <w:p w14:paraId="77A7FE2A" w14:textId="77777777" w:rsidR="004453B3" w:rsidRPr="00750C80" w:rsidRDefault="00507E9A" w:rsidP="00C978DF">
      <w:pPr>
        <w:spacing w:after="0" w:line="360" w:lineRule="auto"/>
        <w:ind w:firstLine="709"/>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totais  br</m:t>
                </m:r>
              </m:e>
              <m:sub>
                <m:r>
                  <w:rPr>
                    <w:rFonts w:ascii="Cambria Math" w:hAnsi="Cambria Math" w:cs="Times New Roman"/>
                    <w:sz w:val="24"/>
                    <w:szCs w:val="24"/>
                  </w:rPr>
                  <m:t>t</m:t>
                </m:r>
              </m:sub>
            </m:sSub>
          </m:sub>
        </m:sSub>
      </m:oMath>
      <w:r w:rsidR="004453B3" w:rsidRPr="00750C80">
        <w:rPr>
          <w:rFonts w:ascii="Times New Roman" w:eastAsiaTheme="minorEastAsia" w:hAnsi="Times New Roman" w:cs="Times New Roman"/>
          <w:sz w:val="24"/>
          <w:szCs w:val="24"/>
        </w:rPr>
        <w:t xml:space="preserve"> = Exportaç</w:t>
      </w:r>
      <w:r w:rsidR="00D54C37" w:rsidRPr="00750C80">
        <w:rPr>
          <w:rFonts w:ascii="Times New Roman" w:eastAsiaTheme="minorEastAsia" w:hAnsi="Times New Roman" w:cs="Times New Roman"/>
          <w:sz w:val="24"/>
          <w:szCs w:val="24"/>
        </w:rPr>
        <w:t>ões totais do Brasil no tempo t;</w:t>
      </w:r>
    </w:p>
    <w:p w14:paraId="77A7FE2B" w14:textId="77777777" w:rsidR="004453B3" w:rsidRPr="00750C80" w:rsidRDefault="00507E9A" w:rsidP="00C978DF">
      <w:pPr>
        <w:spacing w:after="0" w:line="36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alta i</m:t>
                </m:r>
              </m:e>
              <m:sub>
                <m:r>
                  <w:rPr>
                    <w:rFonts w:ascii="Cambria Math" w:hAnsi="Cambria Math" w:cs="Times New Roman"/>
                    <w:sz w:val="24"/>
                    <w:szCs w:val="24"/>
                  </w:rPr>
                  <m:t>t</m:t>
                </m:r>
              </m:sub>
            </m:sSub>
          </m:sub>
        </m:sSub>
      </m:oMath>
      <w:r w:rsidR="004453B3" w:rsidRPr="00750C80">
        <w:rPr>
          <w:rFonts w:ascii="Times New Roman" w:eastAsiaTheme="minorEastAsia" w:hAnsi="Times New Roman" w:cs="Times New Roman"/>
          <w:sz w:val="24"/>
          <w:szCs w:val="24"/>
        </w:rPr>
        <w:t xml:space="preserve"> </w:t>
      </w:r>
      <w:r w:rsidR="004453B3" w:rsidRPr="00750C80">
        <w:rPr>
          <w:rFonts w:ascii="Times New Roman" w:hAnsi="Times New Roman" w:cs="Times New Roman"/>
          <w:sz w:val="24"/>
          <w:szCs w:val="24"/>
        </w:rPr>
        <w:t xml:space="preserve">= Exportações de </w:t>
      </w:r>
      <w:r w:rsidR="00DC202E" w:rsidRPr="00750C80">
        <w:rPr>
          <w:rFonts w:ascii="Times New Roman" w:hAnsi="Times New Roman" w:cs="Times New Roman"/>
          <w:sz w:val="24"/>
          <w:szCs w:val="24"/>
        </w:rPr>
        <w:t>alta intensidade tecnológica</w:t>
      </w:r>
      <w:r w:rsidR="004453B3" w:rsidRPr="00750C80">
        <w:rPr>
          <w:rFonts w:ascii="Times New Roman" w:hAnsi="Times New Roman" w:cs="Times New Roman"/>
          <w:sz w:val="24"/>
          <w:szCs w:val="24"/>
        </w:rPr>
        <w:t xml:space="preserve"> </w:t>
      </w:r>
      <w:r w:rsidR="00D54C37" w:rsidRPr="00750C80">
        <w:rPr>
          <w:rFonts w:ascii="Times New Roman" w:hAnsi="Times New Roman" w:cs="Times New Roman"/>
          <w:sz w:val="24"/>
          <w:szCs w:val="24"/>
        </w:rPr>
        <w:t>da América do Sul</w:t>
      </w:r>
      <w:r w:rsidR="004453B3" w:rsidRPr="00750C80">
        <w:rPr>
          <w:rFonts w:ascii="Times New Roman" w:hAnsi="Times New Roman" w:cs="Times New Roman"/>
          <w:sz w:val="24"/>
          <w:szCs w:val="24"/>
        </w:rPr>
        <w:t xml:space="preserve"> no tempo t;</w:t>
      </w:r>
    </w:p>
    <w:p w14:paraId="77A7FE2C" w14:textId="77777777" w:rsidR="004453B3" w:rsidRPr="00750C80" w:rsidRDefault="00507E9A" w:rsidP="00C978DF">
      <w:pPr>
        <w:spacing w:after="0" w:line="36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sSub>
              <m:sSubPr>
                <m:ctrlPr>
                  <w:rPr>
                    <w:rFonts w:ascii="Cambria Math" w:hAnsi="Cambria Math" w:cs="Times New Roman"/>
                    <w:i/>
                    <w:sz w:val="24"/>
                    <w:szCs w:val="24"/>
                  </w:rPr>
                </m:ctrlPr>
              </m:sSubPr>
              <m:e>
                <m:r>
                  <w:rPr>
                    <w:rFonts w:ascii="Cambria Math" w:hAnsi="Cambria Math" w:cs="Times New Roman"/>
                    <w:sz w:val="24"/>
                    <w:szCs w:val="24"/>
                  </w:rPr>
                  <m:t>totais  i</m:t>
                </m:r>
              </m:e>
              <m:sub>
                <m:r>
                  <w:rPr>
                    <w:rFonts w:ascii="Cambria Math" w:hAnsi="Cambria Math" w:cs="Times New Roman"/>
                    <w:sz w:val="24"/>
                    <w:szCs w:val="24"/>
                  </w:rPr>
                  <m:t>t</m:t>
                </m:r>
              </m:sub>
            </m:sSub>
          </m:sub>
        </m:sSub>
      </m:oMath>
      <w:r w:rsidR="004453B3" w:rsidRPr="00750C80">
        <w:rPr>
          <w:rFonts w:ascii="Times New Roman" w:hAnsi="Times New Roman" w:cs="Times New Roman"/>
          <w:i/>
          <w:sz w:val="24"/>
          <w:szCs w:val="24"/>
        </w:rPr>
        <w:t xml:space="preserve"> = </w:t>
      </w:r>
      <w:r w:rsidR="00D54C37" w:rsidRPr="00750C80">
        <w:rPr>
          <w:rFonts w:ascii="Times New Roman" w:hAnsi="Times New Roman" w:cs="Times New Roman"/>
          <w:sz w:val="24"/>
          <w:szCs w:val="24"/>
        </w:rPr>
        <w:t xml:space="preserve">Exportações totais da América do Sul </w:t>
      </w:r>
      <w:r w:rsidR="004453B3" w:rsidRPr="00750C80">
        <w:rPr>
          <w:rFonts w:ascii="Times New Roman" w:hAnsi="Times New Roman" w:cs="Times New Roman"/>
          <w:sz w:val="24"/>
          <w:szCs w:val="24"/>
        </w:rPr>
        <w:t>no tempo t;</w:t>
      </w:r>
    </w:p>
    <w:p w14:paraId="77A7FE2D" w14:textId="77777777" w:rsidR="00D54C37" w:rsidRPr="00750C80" w:rsidRDefault="00507E9A" w:rsidP="00C978DF">
      <w:pPr>
        <w:spacing w:after="0" w:line="360" w:lineRule="auto"/>
        <w:ind w:firstLine="709"/>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m:t>
            </m:r>
          </m:e>
          <m:sub>
            <m:sSub>
              <m:sSubPr>
                <m:ctrlPr>
                  <w:rPr>
                    <w:rFonts w:ascii="Cambria Math" w:hAnsi="Cambria Math" w:cs="Times New Roman"/>
                    <w:i/>
                    <w:sz w:val="24"/>
                    <w:szCs w:val="24"/>
                  </w:rPr>
                </m:ctrlPr>
              </m:sSubPr>
              <m:e>
                <m:r>
                  <w:rPr>
                    <w:rFonts w:ascii="Cambria Math" w:hAnsi="Cambria Math" w:cs="Times New Roman"/>
                    <w:sz w:val="24"/>
                    <w:szCs w:val="24"/>
                  </w:rPr>
                  <m:t>alta i</m:t>
                </m:r>
              </m:e>
              <m:sub>
                <m:r>
                  <w:rPr>
                    <w:rFonts w:ascii="Cambria Math" w:hAnsi="Cambria Math" w:cs="Times New Roman"/>
                    <w:sz w:val="24"/>
                    <w:szCs w:val="24"/>
                  </w:rPr>
                  <m:t>t</m:t>
                </m:r>
              </m:sub>
            </m:sSub>
          </m:sub>
        </m:sSub>
      </m:oMath>
      <w:r w:rsidR="00D54C37" w:rsidRPr="00750C80">
        <w:rPr>
          <w:rFonts w:ascii="Times New Roman" w:eastAsiaTheme="minorEastAsia" w:hAnsi="Times New Roman" w:cs="Times New Roman"/>
          <w:sz w:val="24"/>
          <w:szCs w:val="24"/>
        </w:rPr>
        <w:t xml:space="preserve"> = Importações de </w:t>
      </w:r>
      <w:r w:rsidR="00DC202E" w:rsidRPr="00750C80">
        <w:rPr>
          <w:rFonts w:ascii="Times New Roman" w:eastAsiaTheme="minorEastAsia" w:hAnsi="Times New Roman" w:cs="Times New Roman"/>
          <w:sz w:val="24"/>
          <w:szCs w:val="24"/>
        </w:rPr>
        <w:t>alta intensidade tecnológica</w:t>
      </w:r>
      <w:r w:rsidR="00D54C37" w:rsidRPr="00750C80">
        <w:rPr>
          <w:rFonts w:ascii="Times New Roman" w:eastAsiaTheme="minorEastAsia" w:hAnsi="Times New Roman" w:cs="Times New Roman"/>
          <w:sz w:val="24"/>
          <w:szCs w:val="24"/>
        </w:rPr>
        <w:t xml:space="preserve"> do país </w:t>
      </w:r>
      <w:r w:rsidR="00DC202E" w:rsidRPr="00750C80">
        <w:rPr>
          <w:rFonts w:ascii="Times New Roman" w:eastAsiaTheme="minorEastAsia" w:hAnsi="Times New Roman" w:cs="Times New Roman"/>
          <w:i/>
          <w:sz w:val="24"/>
          <w:szCs w:val="24"/>
        </w:rPr>
        <w:t>i</w:t>
      </w:r>
      <w:r w:rsidR="00D54C37" w:rsidRPr="00750C80">
        <w:rPr>
          <w:rFonts w:ascii="Times New Roman" w:eastAsiaTheme="minorEastAsia" w:hAnsi="Times New Roman" w:cs="Times New Roman"/>
          <w:sz w:val="24"/>
          <w:szCs w:val="24"/>
        </w:rPr>
        <w:t xml:space="preserve"> no tempo t;</w:t>
      </w:r>
    </w:p>
    <w:p w14:paraId="77A7FE2E" w14:textId="77777777" w:rsidR="00D54C37" w:rsidRPr="00750C80" w:rsidRDefault="00507E9A" w:rsidP="00C978DF">
      <w:pPr>
        <w:spacing w:after="0" w:line="360" w:lineRule="auto"/>
        <w:ind w:firstLine="709"/>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m:t>
            </m:r>
          </m:e>
          <m:sub>
            <m:sSub>
              <m:sSubPr>
                <m:ctrlPr>
                  <w:rPr>
                    <w:rFonts w:ascii="Cambria Math" w:hAnsi="Cambria Math" w:cs="Times New Roman"/>
                    <w:i/>
                    <w:sz w:val="24"/>
                    <w:szCs w:val="24"/>
                  </w:rPr>
                </m:ctrlPr>
              </m:sSubPr>
              <m:e>
                <m:r>
                  <w:rPr>
                    <w:rFonts w:ascii="Cambria Math" w:hAnsi="Cambria Math" w:cs="Times New Roman"/>
                    <w:sz w:val="24"/>
                    <w:szCs w:val="24"/>
                  </w:rPr>
                  <m:t>totais  br</m:t>
                </m:r>
              </m:e>
              <m:sub>
                <m:r>
                  <w:rPr>
                    <w:rFonts w:ascii="Cambria Math" w:hAnsi="Cambria Math" w:cs="Times New Roman"/>
                    <w:sz w:val="24"/>
                    <w:szCs w:val="24"/>
                  </w:rPr>
                  <m:t>t</m:t>
                </m:r>
              </m:sub>
            </m:sSub>
          </m:sub>
        </m:sSub>
      </m:oMath>
      <w:r w:rsidR="00DC202E" w:rsidRPr="00750C80">
        <w:rPr>
          <w:rFonts w:ascii="Times New Roman" w:eastAsiaTheme="minorEastAsia" w:hAnsi="Times New Roman" w:cs="Times New Roman"/>
          <w:sz w:val="24"/>
          <w:szCs w:val="24"/>
        </w:rPr>
        <w:t xml:space="preserve"> = Importações totais do país </w:t>
      </w:r>
      <w:r w:rsidR="00DC202E" w:rsidRPr="00750C80">
        <w:rPr>
          <w:rFonts w:ascii="Times New Roman" w:eastAsiaTheme="minorEastAsia" w:hAnsi="Times New Roman" w:cs="Times New Roman"/>
          <w:i/>
          <w:sz w:val="24"/>
          <w:szCs w:val="24"/>
        </w:rPr>
        <w:t>i</w:t>
      </w:r>
      <w:r w:rsidR="00D54C37" w:rsidRPr="00750C80">
        <w:rPr>
          <w:rFonts w:ascii="Times New Roman" w:eastAsiaTheme="minorEastAsia" w:hAnsi="Times New Roman" w:cs="Times New Roman"/>
          <w:sz w:val="24"/>
          <w:szCs w:val="24"/>
        </w:rPr>
        <w:t xml:space="preserve"> no tempo t.</w:t>
      </w:r>
    </w:p>
    <w:p w14:paraId="77A7FE2F" w14:textId="77777777" w:rsidR="004453B3" w:rsidRPr="00750C80" w:rsidRDefault="004453B3" w:rsidP="00C978DF">
      <w:pPr>
        <w:spacing w:after="0" w:line="360" w:lineRule="auto"/>
        <w:ind w:firstLine="708"/>
        <w:jc w:val="both"/>
        <w:rPr>
          <w:rFonts w:ascii="Times New Roman" w:hAnsi="Times New Roman" w:cs="Times New Roman"/>
          <w:sz w:val="24"/>
          <w:szCs w:val="24"/>
        </w:rPr>
      </w:pPr>
    </w:p>
    <w:p w14:paraId="77A7FE30" w14:textId="77777777" w:rsidR="00302772" w:rsidRPr="00750C80" w:rsidRDefault="00302772"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Por conseguinte, o IVCR indica a relação entre a participação das exportações de um conjunto de bens para o todo das exportações de um país, em relação a participação total de exportações destes bens, no mercado. Por outra via, o IDRC indica a participação de dado conjunto de bens no total das importações de um país, frente o total de bens exportados na região. Em outras, palavras, o IVCR indica a representatividade, potencialidade e imponência de um país em dado setor de bens comercializados em uma região e o IDCR indica a sujeição de um país ao mercado </w:t>
      </w:r>
      <w:r w:rsidR="0057427B" w:rsidRPr="00750C80">
        <w:rPr>
          <w:rFonts w:ascii="Times New Roman" w:hAnsi="Times New Roman" w:cs="Times New Roman"/>
          <w:sz w:val="24"/>
          <w:szCs w:val="24"/>
        </w:rPr>
        <w:t>externo,</w:t>
      </w:r>
      <w:r w:rsidRPr="00750C80">
        <w:rPr>
          <w:rFonts w:ascii="Times New Roman" w:hAnsi="Times New Roman" w:cs="Times New Roman"/>
          <w:sz w:val="24"/>
          <w:szCs w:val="24"/>
        </w:rPr>
        <w:t xml:space="preserve"> dada sua dependência da </w:t>
      </w:r>
      <w:r w:rsidR="0057427B" w:rsidRPr="00750C80">
        <w:rPr>
          <w:rFonts w:ascii="Times New Roman" w:hAnsi="Times New Roman" w:cs="Times New Roman"/>
          <w:sz w:val="24"/>
          <w:szCs w:val="24"/>
        </w:rPr>
        <w:t>importação</w:t>
      </w:r>
      <w:r w:rsidRPr="00750C80">
        <w:rPr>
          <w:rFonts w:ascii="Times New Roman" w:hAnsi="Times New Roman" w:cs="Times New Roman"/>
          <w:sz w:val="24"/>
          <w:szCs w:val="24"/>
        </w:rPr>
        <w:t xml:space="preserve"> de um conjunto de bens em dado ambiente econômico</w:t>
      </w:r>
      <w:r w:rsidR="0057427B" w:rsidRPr="00750C80">
        <w:rPr>
          <w:rFonts w:ascii="Times New Roman" w:hAnsi="Times New Roman" w:cs="Times New Roman"/>
          <w:sz w:val="24"/>
          <w:szCs w:val="24"/>
        </w:rPr>
        <w:t xml:space="preserve"> cujos parceiros são potencialmente exportadores</w:t>
      </w:r>
      <w:r w:rsidRPr="00750C80">
        <w:rPr>
          <w:rFonts w:ascii="Times New Roman" w:hAnsi="Times New Roman" w:cs="Times New Roman"/>
          <w:sz w:val="24"/>
          <w:szCs w:val="24"/>
        </w:rPr>
        <w:t>.</w:t>
      </w:r>
    </w:p>
    <w:p w14:paraId="77A7FE31" w14:textId="77777777" w:rsidR="00CC3006" w:rsidRPr="00750C80" w:rsidRDefault="00CC3006"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O universo amostral adotado para mensuração do índice é o conjunto da América do Sul e a participação relativa do comércio bilateral dos países em análise dentro do subcontinente. Logo, é indica</w:t>
      </w:r>
      <w:r w:rsidR="002461F3" w:rsidRPr="00750C80">
        <w:rPr>
          <w:rFonts w:ascii="Times New Roman" w:hAnsi="Times New Roman" w:cs="Times New Roman"/>
          <w:sz w:val="24"/>
          <w:szCs w:val="24"/>
        </w:rPr>
        <w:t xml:space="preserve">do o </w:t>
      </w:r>
      <w:r w:rsidRPr="00750C80">
        <w:rPr>
          <w:rFonts w:ascii="Times New Roman" w:hAnsi="Times New Roman" w:cs="Times New Roman"/>
          <w:sz w:val="24"/>
          <w:szCs w:val="24"/>
        </w:rPr>
        <w:t xml:space="preserve">IVCR do Brasil para o setor de </w:t>
      </w:r>
      <w:r w:rsidR="001C01B1" w:rsidRPr="00750C80">
        <w:rPr>
          <w:rFonts w:ascii="Times New Roman" w:hAnsi="Times New Roman" w:cs="Times New Roman"/>
          <w:sz w:val="24"/>
          <w:szCs w:val="24"/>
        </w:rPr>
        <w:t>alta intensidade tecnológica</w:t>
      </w:r>
      <w:r w:rsidRPr="00750C80">
        <w:rPr>
          <w:rFonts w:ascii="Times New Roman" w:hAnsi="Times New Roman" w:cs="Times New Roman"/>
          <w:sz w:val="24"/>
          <w:szCs w:val="24"/>
        </w:rPr>
        <w:t xml:space="preserve"> em sua importância sobre o todo da América do Sul e o IDCR dos parceiros bilaterais, buscando percepção de sua sujeição ou dependência de </w:t>
      </w:r>
      <w:r w:rsidR="001C01B1" w:rsidRPr="00750C80">
        <w:rPr>
          <w:rFonts w:ascii="Times New Roman" w:hAnsi="Times New Roman" w:cs="Times New Roman"/>
          <w:sz w:val="24"/>
          <w:szCs w:val="24"/>
        </w:rPr>
        <w:t>alta tecnologia</w:t>
      </w:r>
      <w:r w:rsidRPr="00750C80">
        <w:rPr>
          <w:rFonts w:ascii="Times New Roman" w:hAnsi="Times New Roman" w:cs="Times New Roman"/>
          <w:sz w:val="24"/>
          <w:szCs w:val="24"/>
        </w:rPr>
        <w:t xml:space="preserve"> em um mercado no qual o Brasil se destaca regionalmente.</w:t>
      </w:r>
    </w:p>
    <w:p w14:paraId="77A7FE32" w14:textId="3C0B1120" w:rsidR="00CC3006" w:rsidRPr="00750C80" w:rsidRDefault="00CC3006"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A relação de complementaridade é utilizada em via unilateral no comércio bilateral, ou seja, o ICC é indicado pela relação entre a vantagem comparativa revelada do Brasil no setor e o grau de desvantagem comparativa revelada do parceiro em análise, para o mesmo setor. Não é considerada relação inversa, pois que é interesse no presente estudo a percepção da competitividade e representatividade </w:t>
      </w:r>
      <w:r w:rsidR="005917F8" w:rsidRPr="00750C80">
        <w:rPr>
          <w:rFonts w:ascii="Times New Roman" w:hAnsi="Times New Roman" w:cs="Times New Roman"/>
          <w:sz w:val="24"/>
          <w:szCs w:val="24"/>
        </w:rPr>
        <w:t>do segmento de alta intensidade tecnológica</w:t>
      </w:r>
      <w:r w:rsidRPr="00750C80">
        <w:rPr>
          <w:rFonts w:ascii="Times New Roman" w:hAnsi="Times New Roman" w:cs="Times New Roman"/>
          <w:sz w:val="24"/>
          <w:szCs w:val="24"/>
        </w:rPr>
        <w:t xml:space="preserve"> do Brasil na América do Sul e não a sobreposição dos mercados e</w:t>
      </w:r>
      <w:r w:rsidR="00B12E59" w:rsidRPr="00750C80">
        <w:rPr>
          <w:rFonts w:ascii="Times New Roman" w:hAnsi="Times New Roman" w:cs="Times New Roman"/>
          <w:sz w:val="24"/>
          <w:szCs w:val="24"/>
        </w:rPr>
        <w:t>xportadores dos países vizinhos</w:t>
      </w:r>
      <w:r w:rsidRPr="00750C80">
        <w:rPr>
          <w:rFonts w:ascii="Times New Roman" w:hAnsi="Times New Roman" w:cs="Times New Roman"/>
          <w:sz w:val="24"/>
          <w:szCs w:val="24"/>
        </w:rPr>
        <w:t xml:space="preserve"> sobre sua estrutura de comércio exterior.</w:t>
      </w:r>
    </w:p>
    <w:p w14:paraId="77A7FE33" w14:textId="0D293D94" w:rsidR="00CC3006" w:rsidRPr="00750C80" w:rsidRDefault="00CC300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lastRenderedPageBreak/>
        <w:tab/>
        <w:t>Ademais, o ICC representa a relação de vantagens e desvantagens entre dois países para dado conjunto de bens. Se ICC for maior que 1, existe complementaridade no setor. Por obviedade, quanto mais elevado que 1, maior a complementaridade existente. Alto nível de complementaridade comercial entre duas economias representa potencialidade comercial e discrepância entre suas representatividades no cenário internacional, e assimetrias competitivas, e não o grau de</w:t>
      </w:r>
      <w:r w:rsidR="00B12E59" w:rsidRPr="00750C80">
        <w:rPr>
          <w:rFonts w:ascii="Times New Roman" w:hAnsi="Times New Roman" w:cs="Times New Roman"/>
          <w:sz w:val="24"/>
          <w:szCs w:val="24"/>
        </w:rPr>
        <w:t xml:space="preserve"> interdependência entre estas. </w:t>
      </w:r>
      <w:r w:rsidRPr="00750C80">
        <w:rPr>
          <w:rFonts w:ascii="Times New Roman" w:hAnsi="Times New Roman" w:cs="Times New Roman"/>
          <w:sz w:val="24"/>
          <w:szCs w:val="24"/>
        </w:rPr>
        <w:t xml:space="preserve">Por conseguinte, calcula-se o vetor ICC para as relações bilaterais entre os </w:t>
      </w:r>
      <w:r w:rsidR="001C01B1" w:rsidRPr="00750C80">
        <w:rPr>
          <w:rFonts w:ascii="Times New Roman" w:hAnsi="Times New Roman" w:cs="Times New Roman"/>
          <w:sz w:val="24"/>
          <w:szCs w:val="24"/>
        </w:rPr>
        <w:t>oito</w:t>
      </w:r>
      <w:r w:rsidRPr="00750C80">
        <w:rPr>
          <w:rFonts w:ascii="Times New Roman" w:hAnsi="Times New Roman" w:cs="Times New Roman"/>
          <w:sz w:val="24"/>
          <w:szCs w:val="24"/>
        </w:rPr>
        <w:t xml:space="preserve"> parceiros comerciais do Brasil, na A</w:t>
      </w:r>
      <w:r w:rsidR="001C01B1" w:rsidRPr="00750C80">
        <w:rPr>
          <w:rFonts w:ascii="Times New Roman" w:hAnsi="Times New Roman" w:cs="Times New Roman"/>
          <w:sz w:val="24"/>
          <w:szCs w:val="24"/>
        </w:rPr>
        <w:t>mérica do Sul, entre 1970 e 2010</w:t>
      </w:r>
      <w:r w:rsidRPr="00750C80">
        <w:rPr>
          <w:rFonts w:ascii="Times New Roman" w:hAnsi="Times New Roman" w:cs="Times New Roman"/>
          <w:sz w:val="24"/>
          <w:szCs w:val="24"/>
        </w:rPr>
        <w:t xml:space="preserve">. </w:t>
      </w:r>
    </w:p>
    <w:p w14:paraId="77A7FE34" w14:textId="2F8EF7BF" w:rsidR="00075D6C" w:rsidRPr="00750C80" w:rsidRDefault="00CE497E" w:rsidP="00C978DF">
      <w:pPr>
        <w:tabs>
          <w:tab w:val="left" w:pos="4171"/>
        </w:tabs>
        <w:spacing w:after="0" w:line="360" w:lineRule="auto"/>
        <w:ind w:firstLine="709"/>
        <w:jc w:val="both"/>
        <w:rPr>
          <w:rFonts w:ascii="Times New Roman" w:hAnsi="Times New Roman" w:cs="Times New Roman"/>
          <w:sz w:val="24"/>
          <w:szCs w:val="24"/>
        </w:rPr>
      </w:pPr>
      <w:r w:rsidRPr="00750C80">
        <w:rPr>
          <w:rFonts w:ascii="Times New Roman" w:hAnsi="Times New Roman" w:cs="Times New Roman"/>
          <w:sz w:val="24"/>
          <w:szCs w:val="24"/>
        </w:rPr>
        <w:t>A modelagem tradicional que referencia este trabalho foi desenvolvida por</w:t>
      </w:r>
      <w:r w:rsidR="00603115" w:rsidRPr="00750C80">
        <w:rPr>
          <w:rFonts w:ascii="Times New Roman" w:hAnsi="Times New Roman" w:cs="Times New Roman"/>
          <w:sz w:val="24"/>
          <w:szCs w:val="24"/>
        </w:rPr>
        <w:t xml:space="preserve"> B</w:t>
      </w:r>
      <w:r w:rsidR="00D21A34" w:rsidRPr="00750C80">
        <w:rPr>
          <w:rFonts w:ascii="Times New Roman" w:hAnsi="Times New Roman" w:cs="Times New Roman"/>
          <w:sz w:val="24"/>
          <w:szCs w:val="24"/>
        </w:rPr>
        <w:t>ergstand (1989)</w:t>
      </w:r>
      <w:r w:rsidRPr="00750C80">
        <w:rPr>
          <w:rFonts w:ascii="Times New Roman" w:hAnsi="Times New Roman" w:cs="Times New Roman"/>
          <w:sz w:val="24"/>
          <w:szCs w:val="24"/>
        </w:rPr>
        <w:t>, todavia, considera-se pertinente reiterar a especificidade do estudo aqui desenvolvido. Inexiste na literatura econômica um estudo semelhante que analise as condicionantes da complementaridade comercial para bens de alta tecnologia, com a aplicação de um modelo gravitacional de comércio. A particularidade do presente trabalho exigiu a flexibilização do modelo tradicional de comércio, tendo em vista que não e objetiva perceber o que influencia os fluxos de comércio, sim sua competitividade</w:t>
      </w:r>
      <w:r w:rsidR="00D67B0F" w:rsidRPr="00750C80">
        <w:rPr>
          <w:rFonts w:ascii="Times New Roman" w:hAnsi="Times New Roman" w:cs="Times New Roman"/>
          <w:sz w:val="24"/>
          <w:szCs w:val="24"/>
        </w:rPr>
        <w:t>. Ademais, recorre-se à literatura disponível</w:t>
      </w:r>
      <w:r w:rsidR="00CC481C" w:rsidRPr="00750C80">
        <w:rPr>
          <w:rFonts w:ascii="Times New Roman" w:hAnsi="Times New Roman" w:cs="Times New Roman"/>
          <w:sz w:val="24"/>
          <w:szCs w:val="24"/>
        </w:rPr>
        <w:t xml:space="preserve"> sobre processos de integração econômica e complementaridade comercial, </w:t>
      </w:r>
      <w:r w:rsidR="00D67B0F" w:rsidRPr="00750C80">
        <w:rPr>
          <w:rFonts w:ascii="Times New Roman" w:hAnsi="Times New Roman" w:cs="Times New Roman"/>
          <w:sz w:val="24"/>
          <w:szCs w:val="24"/>
        </w:rPr>
        <w:t>para dispor-se do seguinte modelo</w:t>
      </w:r>
      <w:r w:rsidR="00CC481C" w:rsidRPr="00750C80">
        <w:rPr>
          <w:rFonts w:ascii="Times New Roman" w:hAnsi="Times New Roman" w:cs="Times New Roman"/>
          <w:sz w:val="24"/>
          <w:szCs w:val="24"/>
        </w:rPr>
        <w:t>:</w:t>
      </w:r>
      <w:r w:rsidR="00D21A34" w:rsidRPr="00750C80">
        <w:rPr>
          <w:rFonts w:ascii="Times New Roman" w:hAnsi="Times New Roman" w:cs="Times New Roman"/>
          <w:sz w:val="24"/>
          <w:szCs w:val="24"/>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4"/>
        <w:gridCol w:w="496"/>
      </w:tblGrid>
      <w:tr w:rsidR="00931B94" w:rsidRPr="00750C80" w14:paraId="77A7FE3A" w14:textId="77777777" w:rsidTr="00931B94">
        <w:tc>
          <w:tcPr>
            <w:tcW w:w="9282" w:type="dxa"/>
          </w:tcPr>
          <w:p w14:paraId="77A7FE35" w14:textId="77777777" w:rsidR="00931B94" w:rsidRPr="00750C80" w:rsidRDefault="00931B94" w:rsidP="00C978DF">
            <w:pPr>
              <w:tabs>
                <w:tab w:val="left" w:pos="4171"/>
              </w:tabs>
              <w:spacing w:line="360" w:lineRule="auto"/>
              <w:jc w:val="both"/>
              <w:rPr>
                <w:rFonts w:ascii="Times New Roman" w:eastAsiaTheme="minorEastAsia" w:hAnsi="Times New Roman" w:cs="Times New Roman"/>
                <w:sz w:val="24"/>
                <w:szCs w:val="24"/>
              </w:rPr>
            </w:pPr>
          </w:p>
          <w:p w14:paraId="0E4ACAFC" w14:textId="4C2E018D" w:rsidR="00FE1877" w:rsidRPr="00C978DF" w:rsidRDefault="00507E9A" w:rsidP="00FE1877">
            <w:pPr>
              <w:tabs>
                <w:tab w:val="left" w:pos="4171"/>
              </w:tabs>
              <w:spacing w:line="360" w:lineRule="auto"/>
              <w:jc w:val="both"/>
              <w:rPr>
                <w:rFonts w:ascii="Times New Roman" w:hAnsi="Times New Roman" w:cs="Times New Roman"/>
                <w:sz w:val="24"/>
                <w:szCs w:val="24"/>
              </w:rPr>
            </w:pPr>
            <m:oMath>
              <m:sSub>
                <m:sSubPr>
                  <m:ctrlPr>
                    <w:rPr>
                      <w:rFonts w:ascii="Cambria Math" w:eastAsia="Cambria Math" w:hAnsi="Cambria Math" w:cs="Times New Roman"/>
                      <w:i/>
                      <w:sz w:val="24"/>
                      <w:szCs w:val="24"/>
                    </w:rPr>
                  </m:ctrlPr>
                </m:sSubPr>
                <m:e>
                  <m:r>
                    <m:rPr>
                      <m:sty m:val="p"/>
                    </m:rPr>
                    <w:rPr>
                      <w:rFonts w:ascii="Cambria Math" w:eastAsia="Cambria Math" w:hAnsi="Cambria Math" w:cs="Times New Roman"/>
                      <w:sz w:val="24"/>
                      <w:szCs w:val="24"/>
                    </w:rPr>
                    <m:t>ln⁡</m:t>
                  </m:r>
                  <m:r>
                    <w:rPr>
                      <w:rFonts w:ascii="Cambria Math" w:eastAsia="Cambria Math" w:hAnsi="Cambria Math" w:cs="Times New Roman"/>
                      <w:sz w:val="24"/>
                      <w:szCs w:val="24"/>
                    </w:rPr>
                    <m:t>(ICC</m:t>
                  </m:r>
                </m:e>
                <m:sub>
                  <m:r>
                    <w:rPr>
                      <w:rFonts w:ascii="Cambria Math" w:eastAsia="Cambria Math" w:hAnsi="Cambria Math" w:cs="Times New Roman"/>
                      <w:sz w:val="24"/>
                      <w:szCs w:val="24"/>
                    </w:rPr>
                    <m:t>alta. br_it</m:t>
                  </m:r>
                </m:sub>
              </m:sSub>
              <m:r>
                <w:rPr>
                  <w:rFonts w:ascii="Cambria Math" w:eastAsia="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m:rPr>
                      <m:sty m:val="p"/>
                    </m:rPr>
                    <w:rPr>
                      <w:rFonts w:ascii="Cambria Math" w:hAnsi="Cambria Math" w:cs="Times New Roman"/>
                      <w:sz w:val="24"/>
                      <w:szCs w:val="24"/>
                    </w:rPr>
                    <m:t>ln⁡</m:t>
                  </m:r>
                  <m:r>
                    <w:rPr>
                      <w:rFonts w:ascii="Cambria Math" w:hAnsi="Cambria Math" w:cs="Times New Roman"/>
                      <w:sz w:val="24"/>
                      <w:szCs w:val="24"/>
                    </w:rPr>
                    <m:t>(PIB_Per_capita</m:t>
                  </m:r>
                </m:e>
                <m:sub>
                  <m:r>
                    <w:rPr>
                      <w:rFonts w:ascii="Cambria Math" w:hAnsi="Cambria Math" w:cs="Times New Roman"/>
                      <w:sz w:val="24"/>
                      <w:szCs w:val="24"/>
                    </w:rPr>
                    <m:t>BRt</m:t>
                  </m:r>
                </m:sub>
              </m:sSub>
              <m:r>
                <w:rPr>
                  <w:rFonts w:ascii="Cambria Math" w:hAnsi="Cambria Math" w:cs="Times New Roman"/>
                  <w:sz w:val="24"/>
                  <w:szCs w:val="24"/>
                </w:rPr>
                <m:t>)+</m:t>
              </m:r>
              <m:sSub>
                <m:sSubPr>
                  <m:ctrlPr>
                    <w:rPr>
                      <w:rFonts w:ascii="Cambria Math" w:hAnsi="Cambria Math" w:cs="Times New Roman"/>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m:rPr>
                      <m:sty m:val="p"/>
                    </m:rPr>
                    <w:rPr>
                      <w:rFonts w:ascii="Cambria Math" w:hAnsi="Cambria Math" w:cs="Times New Roman"/>
                      <w:sz w:val="24"/>
                      <w:szCs w:val="24"/>
                    </w:rPr>
                    <m:t>ln⁡</m:t>
                  </m:r>
                  <m:r>
                    <w:rPr>
                      <w:rFonts w:ascii="Cambria Math" w:hAnsi="Cambria Math" w:cs="Times New Roman"/>
                      <w:sz w:val="24"/>
                      <w:szCs w:val="24"/>
                    </w:rPr>
                    <m:t>(PIB_Per_capita</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m:rPr>
                      <m:sty m:val="p"/>
                    </m:rPr>
                    <w:rPr>
                      <w:rFonts w:ascii="Cambria Math" w:hAnsi="Cambria Math" w:cs="Times New Roman"/>
                      <w:sz w:val="24"/>
                      <w:szCs w:val="24"/>
                    </w:rPr>
                    <m:t>ln⁡</m:t>
                  </m:r>
                  <m:r>
                    <w:rPr>
                      <w:rFonts w:ascii="Cambria Math" w:hAnsi="Cambria Math" w:cs="Times New Roman"/>
                      <w:sz w:val="24"/>
                      <w:szCs w:val="24"/>
                    </w:rPr>
                    <m:t>(DISTÂNCIA</m:t>
                  </m:r>
                </m:e>
                <m:sub>
                  <m:r>
                    <w:rPr>
                      <w:rFonts w:ascii="Cambria Math" w:hAnsi="Cambria Math" w:cs="Times New Roman"/>
                      <w:sz w:val="24"/>
                      <w:szCs w:val="24"/>
                    </w:rPr>
                    <m:t xml:space="preserve">br_i </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sSub>
                <m:sSubPr>
                  <m:ctrlPr>
                    <w:rPr>
                      <w:rFonts w:ascii="Cambria Math" w:hAnsi="Cambria Math" w:cs="Times New Roman"/>
                      <w:i/>
                      <w:sz w:val="24"/>
                      <w:szCs w:val="24"/>
                    </w:rPr>
                  </m:ctrlPr>
                </m:sSubPr>
                <m:e>
                  <m:r>
                    <m:rPr>
                      <m:sty m:val="p"/>
                    </m:rPr>
                    <w:rPr>
                      <w:rFonts w:ascii="Cambria Math" w:hAnsi="Cambria Math" w:cs="Times New Roman"/>
                      <w:sz w:val="24"/>
                      <w:szCs w:val="24"/>
                    </w:rPr>
                    <m:t>ln⁡</m:t>
                  </m:r>
                  <m:r>
                    <w:rPr>
                      <w:rFonts w:ascii="Cambria Math" w:hAnsi="Cambria Math" w:cs="Times New Roman"/>
                      <w:sz w:val="24"/>
                      <w:szCs w:val="24"/>
                    </w:rPr>
                    <m:t>(Capital_Fixo</m:t>
                  </m:r>
                </m:e>
                <m:sub>
                  <m:r>
                    <w:rPr>
                      <w:rFonts w:ascii="Cambria Math" w:hAnsi="Cambria Math" w:cs="Times New Roman"/>
                      <w:sz w:val="24"/>
                      <w:szCs w:val="24"/>
                    </w:rPr>
                    <m:t>it</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hAnsi="Cambria Math" w:cs="Times New Roman"/>
                      <w:sz w:val="24"/>
                      <w:szCs w:val="24"/>
                    </w:rPr>
                    <m:t>δ</m:t>
                  </m:r>
                </m:e>
                <m:sub>
                  <m:r>
                    <w:rPr>
                      <w:rFonts w:ascii="Cambria Math" w:eastAsiaTheme="minorEastAsia" w:hAnsi="Cambria Math" w:cs="Times New Roman"/>
                      <w:sz w:val="24"/>
                      <w:szCs w:val="24"/>
                    </w:rPr>
                    <m:t xml:space="preserve">1 </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MERCOSUL</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5</m:t>
                  </m:r>
                </m:sub>
              </m:sSub>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ln⁡</m:t>
                  </m:r>
                  <m:r>
                    <w:rPr>
                      <w:rFonts w:ascii="Cambria Math" w:eastAsiaTheme="minorEastAsia" w:hAnsi="Cambria Math" w:cs="Times New Roman"/>
                      <w:sz w:val="24"/>
                      <w:szCs w:val="24"/>
                    </w:rPr>
                    <m:t>(CÂMBIO</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t</m:t>
                      </m:r>
                    </m:sub>
                  </m:sSub>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it</m:t>
                  </m:r>
                </m:sub>
              </m:sSub>
            </m:oMath>
            <w:r w:rsidR="00FE1877" w:rsidRPr="00C978DF">
              <w:rPr>
                <w:rFonts w:ascii="Times New Roman" w:hAnsi="Times New Roman" w:cs="Times New Roman"/>
                <w:sz w:val="24"/>
                <w:szCs w:val="24"/>
              </w:rPr>
              <w:t xml:space="preserve"> </w:t>
            </w:r>
          </w:p>
          <w:p w14:paraId="77A7FE37" w14:textId="77777777" w:rsidR="00931B94" w:rsidRPr="00750C80" w:rsidRDefault="00931B94" w:rsidP="00C978DF">
            <w:pPr>
              <w:tabs>
                <w:tab w:val="left" w:pos="4171"/>
              </w:tabs>
              <w:spacing w:line="360" w:lineRule="auto"/>
              <w:jc w:val="both"/>
              <w:rPr>
                <w:rFonts w:ascii="Times New Roman" w:hAnsi="Times New Roman" w:cs="Times New Roman"/>
                <w:sz w:val="24"/>
                <w:szCs w:val="24"/>
              </w:rPr>
            </w:pPr>
          </w:p>
        </w:tc>
        <w:tc>
          <w:tcPr>
            <w:tcW w:w="496" w:type="dxa"/>
          </w:tcPr>
          <w:p w14:paraId="77A7FE38" w14:textId="77777777" w:rsidR="00931B94" w:rsidRPr="00750C80" w:rsidRDefault="00931B94" w:rsidP="00C978DF">
            <w:pPr>
              <w:tabs>
                <w:tab w:val="left" w:pos="4171"/>
              </w:tabs>
              <w:spacing w:line="360" w:lineRule="auto"/>
              <w:jc w:val="both"/>
              <w:rPr>
                <w:rFonts w:ascii="Times New Roman" w:hAnsi="Times New Roman" w:cs="Times New Roman"/>
                <w:sz w:val="24"/>
                <w:szCs w:val="24"/>
              </w:rPr>
            </w:pPr>
          </w:p>
          <w:p w14:paraId="77A7FE39" w14:textId="77777777" w:rsidR="00931B94" w:rsidRPr="00750C80" w:rsidRDefault="00931B94" w:rsidP="00C978DF">
            <w:pPr>
              <w:tabs>
                <w:tab w:val="left" w:pos="4171"/>
              </w:tabs>
              <w:spacing w:line="360" w:lineRule="auto"/>
              <w:jc w:val="both"/>
              <w:rPr>
                <w:rFonts w:ascii="Times New Roman" w:hAnsi="Times New Roman" w:cs="Times New Roman"/>
                <w:sz w:val="24"/>
                <w:szCs w:val="24"/>
              </w:rPr>
            </w:pPr>
            <w:r w:rsidRPr="00750C80">
              <w:rPr>
                <w:rFonts w:ascii="Times New Roman" w:hAnsi="Times New Roman" w:cs="Times New Roman"/>
                <w:sz w:val="24"/>
                <w:szCs w:val="24"/>
              </w:rPr>
              <w:t>(6)</w:t>
            </w:r>
          </w:p>
        </w:tc>
      </w:tr>
    </w:tbl>
    <w:p w14:paraId="77A7FE3B" w14:textId="77777777" w:rsidR="001E1F9B" w:rsidRPr="00750C80" w:rsidRDefault="00075D6C" w:rsidP="00C978DF">
      <w:pPr>
        <w:tabs>
          <w:tab w:val="left" w:pos="709"/>
        </w:tabs>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A inexistência de trabalhos semelhantes na literatura, com o intuito de analisar a complementaridade comercial entre</w:t>
      </w:r>
      <w:r w:rsidR="001E1F9B" w:rsidRPr="00750C80">
        <w:rPr>
          <w:rFonts w:ascii="Times New Roman" w:hAnsi="Times New Roman" w:cs="Times New Roman"/>
          <w:sz w:val="24"/>
          <w:szCs w:val="24"/>
        </w:rPr>
        <w:t xml:space="preserve"> países em comércio regional pela utilização do modelo gravitacional, torna desafiante a definição</w:t>
      </w:r>
      <w:r w:rsidR="001674F7" w:rsidRPr="00750C80">
        <w:rPr>
          <w:rFonts w:ascii="Times New Roman" w:hAnsi="Times New Roman" w:cs="Times New Roman"/>
          <w:sz w:val="24"/>
          <w:szCs w:val="24"/>
        </w:rPr>
        <w:t xml:space="preserve"> do modelo e variáveis ideias a serem utilizados. Todavia, a base conceitual e teórica indicada previamente neste trabalho permi</w:t>
      </w:r>
      <w:r w:rsidR="008F411F" w:rsidRPr="00750C80">
        <w:rPr>
          <w:rFonts w:ascii="Times New Roman" w:hAnsi="Times New Roman" w:cs="Times New Roman"/>
          <w:sz w:val="24"/>
          <w:szCs w:val="24"/>
        </w:rPr>
        <w:t xml:space="preserve">te associação direta entre as variáveis independentes acima dispostas e o Índice de Complementaridade Comercial, conforme o modelo aqui trabalhado. </w:t>
      </w:r>
    </w:p>
    <w:p w14:paraId="77A7FE3C" w14:textId="77777777" w:rsidR="00606BEB" w:rsidRPr="00750C80" w:rsidRDefault="00606BEB" w:rsidP="00C978DF">
      <w:pPr>
        <w:tabs>
          <w:tab w:val="left" w:pos="709"/>
        </w:tabs>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Outrossim, embasado em teorias de comércio internacional e modelos teóricos de modelo gravitacional, possibilita-se inferir os sinais esperados pelas variáveis</w:t>
      </w:r>
      <w:r w:rsidR="00B93220" w:rsidRPr="00750C80">
        <w:rPr>
          <w:rFonts w:ascii="Times New Roman" w:hAnsi="Times New Roman" w:cs="Times New Roman"/>
          <w:sz w:val="24"/>
          <w:szCs w:val="24"/>
        </w:rPr>
        <w:t xml:space="preserve">, apesar da singularidade do trabalho aqui apresentado. Detalha-se no Quadro 2 o sinal esperado para as variáveis utilizadas. </w:t>
      </w:r>
    </w:p>
    <w:p w14:paraId="77A7FE3D" w14:textId="77777777" w:rsidR="00B93220" w:rsidRPr="00750C80" w:rsidRDefault="00B93220" w:rsidP="00C978DF">
      <w:pPr>
        <w:tabs>
          <w:tab w:val="left" w:pos="709"/>
        </w:tabs>
        <w:spacing w:after="0" w:line="360" w:lineRule="auto"/>
        <w:jc w:val="both"/>
        <w:rPr>
          <w:rFonts w:ascii="Times New Roman" w:hAnsi="Times New Roman" w:cs="Times New Roman"/>
          <w:sz w:val="24"/>
          <w:szCs w:val="24"/>
        </w:rPr>
      </w:pPr>
    </w:p>
    <w:p w14:paraId="77A7FE3E" w14:textId="550CACA2" w:rsidR="00B93220" w:rsidRDefault="00E62965" w:rsidP="00C978DF">
      <w:pPr>
        <w:tabs>
          <w:tab w:val="left" w:pos="709"/>
        </w:tabs>
        <w:spacing w:after="0" w:line="240" w:lineRule="auto"/>
        <w:jc w:val="both"/>
        <w:rPr>
          <w:rFonts w:ascii="Times New Roman" w:hAnsi="Times New Roman" w:cs="Times New Roman"/>
          <w:b/>
          <w:sz w:val="24"/>
          <w:szCs w:val="24"/>
        </w:rPr>
      </w:pPr>
      <w:r w:rsidRPr="00750C80">
        <w:rPr>
          <w:rFonts w:ascii="Times New Roman" w:hAnsi="Times New Roman" w:cs="Times New Roman"/>
          <w:b/>
          <w:sz w:val="24"/>
          <w:szCs w:val="24"/>
        </w:rPr>
        <w:lastRenderedPageBreak/>
        <w:t>Quadro 3</w:t>
      </w:r>
      <w:r w:rsidR="00B93220" w:rsidRPr="00750C80">
        <w:rPr>
          <w:rFonts w:ascii="Times New Roman" w:hAnsi="Times New Roman" w:cs="Times New Roman"/>
          <w:b/>
          <w:sz w:val="24"/>
          <w:szCs w:val="24"/>
        </w:rPr>
        <w:t xml:space="preserve"> – Relação de variáveis e sinais esperados</w:t>
      </w:r>
    </w:p>
    <w:p w14:paraId="6247A12F" w14:textId="77777777" w:rsidR="00633D7C" w:rsidRPr="00750C80" w:rsidRDefault="00633D7C" w:rsidP="00C978DF">
      <w:pPr>
        <w:tabs>
          <w:tab w:val="left" w:pos="709"/>
        </w:tabs>
        <w:spacing w:after="0" w:line="240" w:lineRule="auto"/>
        <w:jc w:val="both"/>
        <w:rPr>
          <w:rFonts w:ascii="Times New Roman" w:hAnsi="Times New Roman" w:cs="Times New Roman"/>
          <w:b/>
          <w:sz w:val="24"/>
          <w:szCs w:val="24"/>
        </w:rPr>
      </w:pPr>
    </w:p>
    <w:tbl>
      <w:tblPr>
        <w:tblStyle w:val="ListaClara"/>
        <w:tblW w:w="0" w:type="auto"/>
        <w:tblInd w:w="108" w:type="dxa"/>
        <w:tblLook w:val="04A0" w:firstRow="1" w:lastRow="0" w:firstColumn="1" w:lastColumn="0" w:noHBand="0" w:noVBand="1"/>
      </w:tblPr>
      <w:tblGrid>
        <w:gridCol w:w="2951"/>
        <w:gridCol w:w="2764"/>
        <w:gridCol w:w="3227"/>
      </w:tblGrid>
      <w:tr w:rsidR="00E10FE4" w:rsidRPr="00750C80" w14:paraId="197608BF" w14:textId="77777777" w:rsidTr="00633D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Borders>
              <w:top w:val="single" w:sz="8" w:space="0" w:color="000000" w:themeColor="text1"/>
              <w:left w:val="single" w:sz="8" w:space="0" w:color="000000" w:themeColor="text1"/>
              <w:bottom w:val="nil"/>
              <w:right w:val="nil"/>
            </w:tcBorders>
            <w:hideMark/>
          </w:tcPr>
          <w:p w14:paraId="0C6B1AE2" w14:textId="77777777" w:rsidR="00E10FE4" w:rsidRPr="00750C80" w:rsidRDefault="00E10FE4">
            <w:pPr>
              <w:tabs>
                <w:tab w:val="left" w:pos="709"/>
              </w:tabs>
              <w:jc w:val="center"/>
              <w:rPr>
                <w:rFonts w:ascii="Times New Roman" w:hAnsi="Times New Roman" w:cs="Times New Roman"/>
                <w:sz w:val="24"/>
                <w:szCs w:val="24"/>
              </w:rPr>
            </w:pPr>
            <w:r w:rsidRPr="00750C80">
              <w:rPr>
                <w:rFonts w:ascii="Times New Roman" w:hAnsi="Times New Roman" w:cs="Times New Roman"/>
                <w:sz w:val="24"/>
                <w:szCs w:val="24"/>
              </w:rPr>
              <w:t>Variável</w:t>
            </w:r>
          </w:p>
        </w:tc>
        <w:tc>
          <w:tcPr>
            <w:tcW w:w="2805" w:type="dxa"/>
            <w:tcBorders>
              <w:top w:val="single" w:sz="8" w:space="0" w:color="000000" w:themeColor="text1"/>
              <w:left w:val="nil"/>
              <w:bottom w:val="nil"/>
              <w:right w:val="nil"/>
            </w:tcBorders>
            <w:hideMark/>
          </w:tcPr>
          <w:p w14:paraId="03F31650" w14:textId="77777777" w:rsidR="00E10FE4" w:rsidRPr="00750C80" w:rsidRDefault="00E10FE4">
            <w:pPr>
              <w:tabs>
                <w:tab w:val="left" w:pos="709"/>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Sinal Esperado</w:t>
            </w:r>
          </w:p>
        </w:tc>
        <w:tc>
          <w:tcPr>
            <w:tcW w:w="3278" w:type="dxa"/>
            <w:tcBorders>
              <w:top w:val="single" w:sz="8" w:space="0" w:color="000000" w:themeColor="text1"/>
              <w:left w:val="nil"/>
              <w:bottom w:val="nil"/>
              <w:right w:val="single" w:sz="8" w:space="0" w:color="000000" w:themeColor="text1"/>
            </w:tcBorders>
            <w:hideMark/>
          </w:tcPr>
          <w:p w14:paraId="1FABB61C" w14:textId="77777777" w:rsidR="00E10FE4" w:rsidRPr="00750C80" w:rsidRDefault="00E10FE4">
            <w:pPr>
              <w:tabs>
                <w:tab w:val="left" w:pos="709"/>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Base teórica</w:t>
            </w:r>
          </w:p>
        </w:tc>
      </w:tr>
      <w:tr w:rsidR="00E10FE4" w:rsidRPr="00750C80" w14:paraId="7F9E484F" w14:textId="77777777" w:rsidTr="00633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Borders>
              <w:right w:val="nil"/>
            </w:tcBorders>
            <w:hideMark/>
          </w:tcPr>
          <w:p w14:paraId="603A402E" w14:textId="77777777" w:rsidR="00E10FE4" w:rsidRPr="00750C80" w:rsidRDefault="00507E9A">
            <w:pPr>
              <w:tabs>
                <w:tab w:val="left" w:pos="709"/>
              </w:tabs>
              <w:jc w:val="center"/>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bi"/>
                      </m:rPr>
                      <w:rPr>
                        <w:rFonts w:ascii="Cambria Math" w:hAnsi="Cambria Math" w:cs="Times New Roman"/>
                        <w:sz w:val="24"/>
                        <w:szCs w:val="24"/>
                      </w:rPr>
                      <m:t>PIB_Per_capita</m:t>
                    </m:r>
                  </m:e>
                  <m:sub>
                    <m:r>
                      <m:rPr>
                        <m:sty m:val="bi"/>
                      </m:rPr>
                      <w:rPr>
                        <w:rFonts w:ascii="Cambria Math" w:hAnsi="Cambria Math" w:cs="Times New Roman"/>
                        <w:sz w:val="24"/>
                        <w:szCs w:val="24"/>
                      </w:rPr>
                      <m:t>BRt</m:t>
                    </m:r>
                  </m:sub>
                </m:sSub>
              </m:oMath>
            </m:oMathPara>
          </w:p>
        </w:tc>
        <w:tc>
          <w:tcPr>
            <w:tcW w:w="2805" w:type="dxa"/>
            <w:tcBorders>
              <w:left w:val="nil"/>
              <w:right w:val="nil"/>
            </w:tcBorders>
            <w:hideMark/>
          </w:tcPr>
          <w:p w14:paraId="35BD18C7" w14:textId="77777777" w:rsidR="00E10FE4" w:rsidRPr="00750C80" w:rsidRDefault="00E10FE4">
            <w:pPr>
              <w:tabs>
                <w:tab w:val="left" w:pos="70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 )</w:t>
            </w:r>
          </w:p>
        </w:tc>
        <w:tc>
          <w:tcPr>
            <w:tcW w:w="3278" w:type="dxa"/>
            <w:tcBorders>
              <w:left w:val="nil"/>
            </w:tcBorders>
            <w:hideMark/>
          </w:tcPr>
          <w:p w14:paraId="326C4BA2" w14:textId="77777777" w:rsidR="00E10FE4" w:rsidRPr="00750C80" w:rsidRDefault="00E10FE4">
            <w:pPr>
              <w:tabs>
                <w:tab w:val="left" w:pos="70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Bergstrand (1989)</w:t>
            </w:r>
          </w:p>
        </w:tc>
      </w:tr>
      <w:tr w:rsidR="00E10FE4" w:rsidRPr="00750C80" w14:paraId="3849DDBA" w14:textId="77777777" w:rsidTr="00633D7C">
        <w:tc>
          <w:tcPr>
            <w:cnfStyle w:val="001000000000" w:firstRow="0" w:lastRow="0" w:firstColumn="1" w:lastColumn="0" w:oddVBand="0" w:evenVBand="0" w:oddHBand="0" w:evenHBand="0" w:firstRowFirstColumn="0" w:firstRowLastColumn="0" w:lastRowFirstColumn="0" w:lastRowLastColumn="0"/>
            <w:tcW w:w="2967" w:type="dxa"/>
            <w:tcBorders>
              <w:top w:val="nil"/>
              <w:left w:val="single" w:sz="8" w:space="0" w:color="000000" w:themeColor="text1"/>
              <w:bottom w:val="nil"/>
              <w:right w:val="nil"/>
            </w:tcBorders>
            <w:hideMark/>
          </w:tcPr>
          <w:p w14:paraId="76490352" w14:textId="77777777" w:rsidR="00E10FE4" w:rsidRPr="00750C80" w:rsidRDefault="00507E9A">
            <w:pPr>
              <w:tabs>
                <w:tab w:val="left" w:pos="709"/>
              </w:tabs>
              <w:jc w:val="center"/>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bi"/>
                      </m:rPr>
                      <w:rPr>
                        <w:rFonts w:ascii="Cambria Math" w:hAnsi="Cambria Math" w:cs="Times New Roman"/>
                        <w:sz w:val="24"/>
                        <w:szCs w:val="24"/>
                      </w:rPr>
                      <m:t>PIB_Per_capita</m:t>
                    </m:r>
                  </m:e>
                  <m:sub>
                    <m:r>
                      <m:rPr>
                        <m:sty m:val="bi"/>
                      </m:rPr>
                      <w:rPr>
                        <w:rFonts w:ascii="Cambria Math" w:hAnsi="Cambria Math" w:cs="Times New Roman"/>
                        <w:sz w:val="24"/>
                        <w:szCs w:val="24"/>
                      </w:rPr>
                      <m:t>it</m:t>
                    </m:r>
                  </m:sub>
                </m:sSub>
              </m:oMath>
            </m:oMathPara>
          </w:p>
        </w:tc>
        <w:tc>
          <w:tcPr>
            <w:tcW w:w="2805" w:type="dxa"/>
            <w:tcBorders>
              <w:top w:val="nil"/>
              <w:left w:val="nil"/>
              <w:bottom w:val="nil"/>
              <w:right w:val="nil"/>
            </w:tcBorders>
            <w:hideMark/>
          </w:tcPr>
          <w:p w14:paraId="6A114E1B" w14:textId="77777777" w:rsidR="00E10FE4" w:rsidRPr="00750C80" w:rsidRDefault="00E10FE4">
            <w:pPr>
              <w:tabs>
                <w:tab w:val="left" w:pos="709"/>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 )</w:t>
            </w:r>
          </w:p>
        </w:tc>
        <w:tc>
          <w:tcPr>
            <w:tcW w:w="3278" w:type="dxa"/>
            <w:tcBorders>
              <w:top w:val="nil"/>
              <w:left w:val="nil"/>
              <w:bottom w:val="nil"/>
              <w:right w:val="single" w:sz="8" w:space="0" w:color="000000" w:themeColor="text1"/>
            </w:tcBorders>
            <w:hideMark/>
          </w:tcPr>
          <w:p w14:paraId="34EE629C" w14:textId="77777777" w:rsidR="00E10FE4" w:rsidRPr="00750C80" w:rsidRDefault="00E10FE4">
            <w:pPr>
              <w:tabs>
                <w:tab w:val="left" w:pos="709"/>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Prazeres (2006)</w:t>
            </w:r>
          </w:p>
        </w:tc>
      </w:tr>
      <w:tr w:rsidR="00E10FE4" w:rsidRPr="00750C80" w14:paraId="1242FD09" w14:textId="77777777" w:rsidTr="00633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Borders>
              <w:right w:val="nil"/>
            </w:tcBorders>
            <w:hideMark/>
          </w:tcPr>
          <w:p w14:paraId="04CC075C" w14:textId="77777777" w:rsidR="00E10FE4" w:rsidRPr="00750C80" w:rsidRDefault="00E10FE4">
            <w:pPr>
              <w:tabs>
                <w:tab w:val="left" w:pos="709"/>
              </w:tabs>
              <w:jc w:val="center"/>
              <w:rPr>
                <w:rFonts w:ascii="Times New Roman" w:hAnsi="Times New Roman" w:cs="Times New Roman"/>
                <w:i/>
                <w:sz w:val="24"/>
                <w:szCs w:val="24"/>
              </w:rPr>
            </w:pPr>
            <w:r w:rsidRPr="00750C80">
              <w:rPr>
                <w:rFonts w:ascii="Times New Roman" w:hAnsi="Times New Roman" w:cs="Times New Roman"/>
                <w:i/>
                <w:sz w:val="24"/>
                <w:szCs w:val="24"/>
              </w:rPr>
              <w:t>DISTANCIA</w:t>
            </w:r>
          </w:p>
        </w:tc>
        <w:tc>
          <w:tcPr>
            <w:tcW w:w="2805" w:type="dxa"/>
            <w:tcBorders>
              <w:left w:val="nil"/>
              <w:right w:val="nil"/>
            </w:tcBorders>
            <w:hideMark/>
          </w:tcPr>
          <w:p w14:paraId="2242FF48" w14:textId="77777777" w:rsidR="00E10FE4" w:rsidRPr="00750C80" w:rsidRDefault="00E10FE4">
            <w:pPr>
              <w:tabs>
                <w:tab w:val="left" w:pos="70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 )</w:t>
            </w:r>
          </w:p>
        </w:tc>
        <w:tc>
          <w:tcPr>
            <w:tcW w:w="3278" w:type="dxa"/>
            <w:tcBorders>
              <w:left w:val="nil"/>
            </w:tcBorders>
            <w:hideMark/>
          </w:tcPr>
          <w:p w14:paraId="7F484318" w14:textId="77777777" w:rsidR="00E10FE4" w:rsidRPr="00750C80" w:rsidRDefault="00E10FE4">
            <w:pPr>
              <w:tabs>
                <w:tab w:val="left" w:pos="70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Bergstrand (1989)</w:t>
            </w:r>
          </w:p>
        </w:tc>
      </w:tr>
      <w:tr w:rsidR="00E10FE4" w:rsidRPr="00750C80" w14:paraId="198DFC5A" w14:textId="77777777" w:rsidTr="00633D7C">
        <w:tc>
          <w:tcPr>
            <w:cnfStyle w:val="001000000000" w:firstRow="0" w:lastRow="0" w:firstColumn="1" w:lastColumn="0" w:oddVBand="0" w:evenVBand="0" w:oddHBand="0" w:evenHBand="0" w:firstRowFirstColumn="0" w:firstRowLastColumn="0" w:lastRowFirstColumn="0" w:lastRowLastColumn="0"/>
            <w:tcW w:w="2967" w:type="dxa"/>
            <w:tcBorders>
              <w:top w:val="nil"/>
              <w:left w:val="single" w:sz="8" w:space="0" w:color="000000" w:themeColor="text1"/>
              <w:bottom w:val="nil"/>
              <w:right w:val="nil"/>
            </w:tcBorders>
            <w:hideMark/>
          </w:tcPr>
          <w:p w14:paraId="2EF20BED" w14:textId="40ABE68A" w:rsidR="00E10FE4" w:rsidRPr="00750C80" w:rsidRDefault="00507E9A">
            <w:pPr>
              <w:tabs>
                <w:tab w:val="left" w:pos="709"/>
              </w:tabs>
              <w:jc w:val="center"/>
              <w:rPr>
                <w:rFonts w:ascii="Times New Roman" w:hAnsi="Times New Roman" w:cs="Times New Roman"/>
                <w:b w:val="0"/>
                <w:i/>
                <w:sz w:val="20"/>
                <w:szCs w:val="20"/>
              </w:rPr>
            </w:pPr>
            <m:oMathPara>
              <m:oMath>
                <m:sSub>
                  <m:sSubPr>
                    <m:ctrlPr>
                      <w:rPr>
                        <w:rFonts w:ascii="Cambria Math" w:hAnsi="Cambria Math" w:cs="Times New Roman"/>
                        <w:i/>
                      </w:rPr>
                    </m:ctrlPr>
                  </m:sSubPr>
                  <m:e>
                    <m:r>
                      <m:rPr>
                        <m:sty m:val="bi"/>
                      </m:rPr>
                      <w:rPr>
                        <w:rFonts w:ascii="Cambria Math" w:hAnsi="Cambria Math" w:cs="Times New Roman"/>
                        <w:sz w:val="20"/>
                        <w:szCs w:val="20"/>
                      </w:rPr>
                      <m:t>Capital_Fixo</m:t>
                    </m:r>
                    <m:r>
                      <m:rPr>
                        <m:sty m:val="bi"/>
                      </m:rPr>
                      <w:rPr>
                        <w:rStyle w:val="Refdenotaderodap"/>
                        <w:rFonts w:ascii="Cambria Math" w:hAnsi="Cambria Math" w:cs="Times New Roman"/>
                        <w:i/>
                        <w:sz w:val="20"/>
                        <w:szCs w:val="20"/>
                      </w:rPr>
                      <w:footnoteReference w:id="9"/>
                    </m:r>
                  </m:e>
                  <m:sub>
                    <m:r>
                      <m:rPr>
                        <m:sty m:val="bi"/>
                      </m:rPr>
                      <w:rPr>
                        <w:rFonts w:ascii="Cambria Math" w:hAnsi="Cambria Math" w:cs="Times New Roman"/>
                        <w:sz w:val="20"/>
                        <w:szCs w:val="20"/>
                      </w:rPr>
                      <m:t>it</m:t>
                    </m:r>
                  </m:sub>
                </m:sSub>
              </m:oMath>
            </m:oMathPara>
          </w:p>
        </w:tc>
        <w:tc>
          <w:tcPr>
            <w:tcW w:w="2805" w:type="dxa"/>
            <w:tcBorders>
              <w:top w:val="nil"/>
              <w:left w:val="nil"/>
              <w:bottom w:val="nil"/>
              <w:right w:val="nil"/>
            </w:tcBorders>
            <w:hideMark/>
          </w:tcPr>
          <w:p w14:paraId="16C04BC8" w14:textId="77777777" w:rsidR="00E10FE4" w:rsidRPr="00750C80" w:rsidRDefault="00E10FE4">
            <w:pPr>
              <w:tabs>
                <w:tab w:val="left" w:pos="709"/>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 )</w:t>
            </w:r>
          </w:p>
        </w:tc>
        <w:tc>
          <w:tcPr>
            <w:tcW w:w="3278" w:type="dxa"/>
            <w:tcBorders>
              <w:top w:val="nil"/>
              <w:left w:val="nil"/>
              <w:bottom w:val="nil"/>
              <w:right w:val="single" w:sz="8" w:space="0" w:color="000000" w:themeColor="text1"/>
            </w:tcBorders>
            <w:hideMark/>
          </w:tcPr>
          <w:p w14:paraId="6A27F279" w14:textId="5852454F" w:rsidR="00E10FE4" w:rsidRPr="00750C80" w:rsidRDefault="00CE497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Vizentini (2007)</w:t>
            </w:r>
          </w:p>
        </w:tc>
      </w:tr>
      <w:tr w:rsidR="00E10FE4" w:rsidRPr="00750C80" w14:paraId="1F44F80E" w14:textId="77777777" w:rsidTr="00633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Borders>
              <w:right w:val="nil"/>
            </w:tcBorders>
            <w:hideMark/>
          </w:tcPr>
          <w:p w14:paraId="7716CDDA" w14:textId="77777777" w:rsidR="00E10FE4" w:rsidRPr="00750C80" w:rsidRDefault="00507E9A">
            <w:pPr>
              <w:tabs>
                <w:tab w:val="left" w:pos="709"/>
              </w:tabs>
              <w:jc w:val="center"/>
              <w:rPr>
                <w:rFonts w:ascii="Times New Roman" w:hAnsi="Times New Roman" w:cs="Times New Roman"/>
                <w:b w:val="0"/>
                <w:sz w:val="24"/>
                <w:szCs w:val="24"/>
              </w:rPr>
            </w:pPr>
            <m:oMathPara>
              <m:oMath>
                <m:sSub>
                  <m:sSubPr>
                    <m:ctrlPr>
                      <w:rPr>
                        <w:rFonts w:ascii="Cambria Math" w:eastAsiaTheme="minorEastAsia" w:hAnsi="Cambria Math" w:cs="Times New Roman"/>
                        <w:i/>
                        <w:sz w:val="24"/>
                        <w:szCs w:val="24"/>
                      </w:rPr>
                    </m:ctrlPr>
                  </m:sSubPr>
                  <m:e>
                    <m:r>
                      <m:rPr>
                        <m:sty m:val="bi"/>
                      </m:rPr>
                      <w:rPr>
                        <w:rFonts w:ascii="Cambria Math" w:eastAsiaTheme="minorEastAsia" w:hAnsi="Cambria Math" w:cs="Times New Roman"/>
                        <w:sz w:val="24"/>
                        <w:szCs w:val="24"/>
                      </w:rPr>
                      <m:t>MERCOSUL</m:t>
                    </m:r>
                  </m:e>
                  <m:sub>
                    <m:r>
                      <m:rPr>
                        <m:sty m:val="bi"/>
                      </m:rPr>
                      <w:rPr>
                        <w:rFonts w:ascii="Cambria Math" w:eastAsiaTheme="minorEastAsia" w:hAnsi="Cambria Math" w:cs="Times New Roman"/>
                        <w:sz w:val="24"/>
                        <w:szCs w:val="24"/>
                      </w:rPr>
                      <m:t>i</m:t>
                    </m:r>
                  </m:sub>
                </m:sSub>
              </m:oMath>
            </m:oMathPara>
          </w:p>
        </w:tc>
        <w:tc>
          <w:tcPr>
            <w:tcW w:w="2805" w:type="dxa"/>
            <w:tcBorders>
              <w:left w:val="nil"/>
              <w:right w:val="nil"/>
            </w:tcBorders>
            <w:hideMark/>
          </w:tcPr>
          <w:p w14:paraId="40E41723" w14:textId="77777777" w:rsidR="00E10FE4" w:rsidRPr="00750C80" w:rsidRDefault="00E10FE4">
            <w:pPr>
              <w:tabs>
                <w:tab w:val="left" w:pos="70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xml:space="preserve">( + ) </w:t>
            </w:r>
          </w:p>
        </w:tc>
        <w:tc>
          <w:tcPr>
            <w:tcW w:w="3278" w:type="dxa"/>
            <w:tcBorders>
              <w:left w:val="nil"/>
            </w:tcBorders>
            <w:hideMark/>
          </w:tcPr>
          <w:p w14:paraId="095865C5" w14:textId="4E226B10" w:rsidR="00E10FE4" w:rsidRPr="00750C80" w:rsidRDefault="00D26C4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xml:space="preserve">Porto (2002); </w:t>
            </w:r>
            <w:r w:rsidR="00E10FE4" w:rsidRPr="00750C80">
              <w:rPr>
                <w:rFonts w:ascii="Times New Roman" w:hAnsi="Times New Roman" w:cs="Times New Roman"/>
                <w:sz w:val="24"/>
                <w:szCs w:val="24"/>
              </w:rPr>
              <w:t>Castilho (2012)</w:t>
            </w:r>
          </w:p>
        </w:tc>
      </w:tr>
      <w:tr w:rsidR="00E10FE4" w:rsidRPr="00750C80" w14:paraId="081F20AF" w14:textId="77777777" w:rsidTr="00633D7C">
        <w:tc>
          <w:tcPr>
            <w:cnfStyle w:val="001000000000" w:firstRow="0" w:lastRow="0" w:firstColumn="1" w:lastColumn="0" w:oddVBand="0" w:evenVBand="0" w:oddHBand="0" w:evenHBand="0" w:firstRowFirstColumn="0" w:firstRowLastColumn="0" w:lastRowFirstColumn="0" w:lastRowLastColumn="0"/>
            <w:tcW w:w="2967" w:type="dxa"/>
            <w:tcBorders>
              <w:top w:val="nil"/>
              <w:left w:val="single" w:sz="8" w:space="0" w:color="000000" w:themeColor="text1"/>
              <w:bottom w:val="single" w:sz="8" w:space="0" w:color="000000" w:themeColor="text1"/>
              <w:right w:val="nil"/>
            </w:tcBorders>
            <w:hideMark/>
          </w:tcPr>
          <w:p w14:paraId="33ED017C" w14:textId="77777777" w:rsidR="00E10FE4" w:rsidRPr="00750C80" w:rsidRDefault="00507E9A">
            <w:pPr>
              <w:tabs>
                <w:tab w:val="left" w:pos="709"/>
              </w:tabs>
              <w:jc w:val="center"/>
              <w:rPr>
                <w:rFonts w:ascii="Times New Roman" w:hAnsi="Times New Roman" w:cs="Times New Roman"/>
                <w:b w:val="0"/>
                <w:sz w:val="24"/>
                <w:szCs w:val="24"/>
              </w:rPr>
            </w:pPr>
            <m:oMathPara>
              <m:oMath>
                <m:sSub>
                  <m:sSubPr>
                    <m:ctrlPr>
                      <w:rPr>
                        <w:rFonts w:ascii="Cambria Math" w:eastAsiaTheme="minorEastAsia" w:hAnsi="Cambria Math" w:cs="Times New Roman"/>
                        <w:i/>
                        <w:sz w:val="24"/>
                        <w:szCs w:val="24"/>
                      </w:rPr>
                    </m:ctrlPr>
                  </m:sSubPr>
                  <m:e>
                    <m:r>
                      <m:rPr>
                        <m:sty m:val="bi"/>
                      </m:rPr>
                      <w:rPr>
                        <w:rFonts w:ascii="Cambria Math" w:eastAsiaTheme="minorEastAsia" w:hAnsi="Cambria Math" w:cs="Times New Roman"/>
                        <w:sz w:val="24"/>
                        <w:szCs w:val="24"/>
                      </w:rPr>
                      <m:t>CAMBIO</m:t>
                    </m:r>
                  </m:e>
                  <m:sub>
                    <m:sSub>
                      <m:sSubPr>
                        <m:ctrlPr>
                          <w:rPr>
                            <w:rFonts w:ascii="Cambria Math" w:eastAsiaTheme="minorEastAsia" w:hAnsi="Cambria Math" w:cs="Times New Roman"/>
                            <w:i/>
                            <w:sz w:val="24"/>
                            <w:szCs w:val="24"/>
                          </w:rPr>
                        </m:ctrlPr>
                      </m:sSubPr>
                      <m:e>
                        <m:r>
                          <m:rPr>
                            <m:sty m:val="bi"/>
                          </m:rPr>
                          <w:rPr>
                            <w:rFonts w:ascii="Cambria Math" w:eastAsiaTheme="minorEastAsia" w:hAnsi="Cambria Math" w:cs="Times New Roman"/>
                            <w:sz w:val="24"/>
                            <w:szCs w:val="24"/>
                          </w:rPr>
                          <m:t>i</m:t>
                        </m:r>
                      </m:e>
                      <m:sub>
                        <m:r>
                          <m:rPr>
                            <m:sty m:val="bi"/>
                          </m:rPr>
                          <w:rPr>
                            <w:rFonts w:ascii="Cambria Math" w:eastAsiaTheme="minorEastAsia" w:hAnsi="Cambria Math" w:cs="Times New Roman"/>
                            <w:sz w:val="24"/>
                            <w:szCs w:val="24"/>
                          </w:rPr>
                          <m:t>t</m:t>
                        </m:r>
                      </m:sub>
                    </m:sSub>
                  </m:sub>
                </m:sSub>
              </m:oMath>
            </m:oMathPara>
          </w:p>
        </w:tc>
        <w:tc>
          <w:tcPr>
            <w:tcW w:w="2805" w:type="dxa"/>
            <w:tcBorders>
              <w:top w:val="nil"/>
              <w:left w:val="nil"/>
              <w:bottom w:val="single" w:sz="8" w:space="0" w:color="000000" w:themeColor="text1"/>
              <w:right w:val="nil"/>
            </w:tcBorders>
            <w:hideMark/>
          </w:tcPr>
          <w:p w14:paraId="265EC811" w14:textId="77777777" w:rsidR="00E10FE4" w:rsidRPr="00750C80" w:rsidRDefault="00E10FE4">
            <w:pPr>
              <w:tabs>
                <w:tab w:val="left" w:pos="709"/>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 - )</w:t>
            </w:r>
          </w:p>
        </w:tc>
        <w:tc>
          <w:tcPr>
            <w:tcW w:w="3278" w:type="dxa"/>
            <w:tcBorders>
              <w:top w:val="nil"/>
              <w:left w:val="nil"/>
              <w:bottom w:val="single" w:sz="8" w:space="0" w:color="000000" w:themeColor="text1"/>
              <w:right w:val="single" w:sz="8" w:space="0" w:color="000000" w:themeColor="text1"/>
            </w:tcBorders>
            <w:hideMark/>
          </w:tcPr>
          <w:p w14:paraId="1D2DFBBC" w14:textId="77777777" w:rsidR="00E10FE4" w:rsidRPr="00750C80" w:rsidRDefault="00E10FE4">
            <w:pPr>
              <w:tabs>
                <w:tab w:val="left" w:pos="709"/>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0C80">
              <w:rPr>
                <w:rFonts w:ascii="Times New Roman" w:hAnsi="Times New Roman" w:cs="Times New Roman"/>
                <w:sz w:val="24"/>
                <w:szCs w:val="24"/>
              </w:rPr>
              <w:t>-</w:t>
            </w:r>
          </w:p>
        </w:tc>
      </w:tr>
    </w:tbl>
    <w:p w14:paraId="5DC113E4" w14:textId="77777777" w:rsidR="00633D7C" w:rsidRDefault="00633D7C" w:rsidP="00C978DF">
      <w:pPr>
        <w:tabs>
          <w:tab w:val="left" w:pos="709"/>
        </w:tabs>
        <w:spacing w:after="0" w:line="240" w:lineRule="auto"/>
        <w:jc w:val="both"/>
        <w:rPr>
          <w:rFonts w:ascii="Times New Roman" w:hAnsi="Times New Roman" w:cs="Times New Roman"/>
          <w:sz w:val="20"/>
          <w:szCs w:val="20"/>
        </w:rPr>
      </w:pPr>
    </w:p>
    <w:p w14:paraId="77A7FE5F" w14:textId="17EF98AE" w:rsidR="00B93220" w:rsidRPr="00750C80" w:rsidRDefault="006B0BAD" w:rsidP="00C978DF">
      <w:pPr>
        <w:tabs>
          <w:tab w:val="left" w:pos="709"/>
        </w:tabs>
        <w:spacing w:after="0" w:line="240" w:lineRule="auto"/>
        <w:jc w:val="both"/>
        <w:rPr>
          <w:rFonts w:ascii="Times New Roman" w:hAnsi="Times New Roman" w:cs="Times New Roman"/>
          <w:sz w:val="20"/>
          <w:szCs w:val="20"/>
        </w:rPr>
      </w:pPr>
      <w:r w:rsidRPr="00750C80">
        <w:rPr>
          <w:rFonts w:ascii="Times New Roman" w:hAnsi="Times New Roman" w:cs="Times New Roman"/>
          <w:sz w:val="20"/>
          <w:szCs w:val="20"/>
        </w:rPr>
        <w:t>Fonte: Elaboração própria</w:t>
      </w:r>
      <w:r w:rsidR="00C978DF" w:rsidRPr="00750C80">
        <w:rPr>
          <w:rFonts w:ascii="Times New Roman" w:hAnsi="Times New Roman" w:cs="Times New Roman"/>
          <w:sz w:val="20"/>
          <w:szCs w:val="20"/>
        </w:rPr>
        <w:t>.</w:t>
      </w:r>
    </w:p>
    <w:p w14:paraId="77A7FE60" w14:textId="77777777" w:rsidR="006B0BAD" w:rsidRPr="00750C80" w:rsidRDefault="006B0BAD" w:rsidP="00C978DF">
      <w:pPr>
        <w:tabs>
          <w:tab w:val="left" w:pos="709"/>
        </w:tabs>
        <w:spacing w:after="0" w:line="360" w:lineRule="auto"/>
        <w:jc w:val="both"/>
        <w:rPr>
          <w:rFonts w:ascii="Times New Roman" w:hAnsi="Times New Roman" w:cs="Times New Roman"/>
          <w:sz w:val="24"/>
          <w:szCs w:val="24"/>
        </w:rPr>
      </w:pPr>
    </w:p>
    <w:p w14:paraId="77A7FE61" w14:textId="77777777" w:rsidR="00ED066F" w:rsidRPr="00750C80" w:rsidRDefault="0045554D" w:rsidP="00C978DF">
      <w:pPr>
        <w:tabs>
          <w:tab w:val="left" w:pos="709"/>
        </w:tabs>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Conforme Bergstrand (1989) a renda</w:t>
      </w:r>
      <w:r w:rsidR="0057427B" w:rsidRPr="00750C80">
        <w:rPr>
          <w:rFonts w:ascii="Times New Roman" w:hAnsi="Times New Roman" w:cs="Times New Roman"/>
          <w:sz w:val="24"/>
          <w:szCs w:val="24"/>
        </w:rPr>
        <w:t xml:space="preserve">, indicada pelo PIB </w:t>
      </w:r>
      <w:r w:rsidR="0057427B" w:rsidRPr="00750C80">
        <w:rPr>
          <w:rFonts w:ascii="Times New Roman" w:hAnsi="Times New Roman" w:cs="Times New Roman"/>
          <w:i/>
          <w:sz w:val="24"/>
          <w:szCs w:val="24"/>
        </w:rPr>
        <w:t>per capita</w:t>
      </w:r>
      <w:r w:rsidR="0057427B" w:rsidRPr="00750C80">
        <w:rPr>
          <w:rFonts w:ascii="Times New Roman" w:hAnsi="Times New Roman" w:cs="Times New Roman"/>
          <w:sz w:val="24"/>
          <w:szCs w:val="24"/>
        </w:rPr>
        <w:t xml:space="preserve"> do Brasil e pelo PIB </w:t>
      </w:r>
      <w:r w:rsidR="0057427B" w:rsidRPr="00750C80">
        <w:rPr>
          <w:rFonts w:ascii="Times New Roman" w:hAnsi="Times New Roman" w:cs="Times New Roman"/>
          <w:i/>
          <w:sz w:val="24"/>
          <w:szCs w:val="24"/>
        </w:rPr>
        <w:t>per capita</w:t>
      </w:r>
      <w:r w:rsidR="0057427B" w:rsidRPr="00750C80">
        <w:rPr>
          <w:rFonts w:ascii="Times New Roman" w:hAnsi="Times New Roman" w:cs="Times New Roman"/>
          <w:sz w:val="24"/>
          <w:szCs w:val="24"/>
        </w:rPr>
        <w:t xml:space="preserve"> do país parceiro,</w:t>
      </w:r>
      <w:r w:rsidRPr="00750C80">
        <w:rPr>
          <w:rFonts w:ascii="Times New Roman" w:hAnsi="Times New Roman" w:cs="Times New Roman"/>
          <w:sz w:val="24"/>
          <w:szCs w:val="24"/>
        </w:rPr>
        <w:t xml:space="preserve"> é variável de atração no modelo gravitacional de comércio, afetando positivamente o fluxo comercial entre dois países. No modelo aqui elaborado, em adaptação, admite-se que a elevação da renda do Brasil acarrete maior capacidade de exportações e inserção regional no setor de alta tecnologia, o que reitera a proposta teórica de Bergstrand</w:t>
      </w:r>
      <w:r w:rsidR="0057427B" w:rsidRPr="00750C80">
        <w:rPr>
          <w:rFonts w:ascii="Times New Roman" w:hAnsi="Times New Roman" w:cs="Times New Roman"/>
          <w:sz w:val="24"/>
          <w:szCs w:val="24"/>
        </w:rPr>
        <w:t xml:space="preserve"> (1989)</w:t>
      </w:r>
      <w:r w:rsidRPr="00750C80">
        <w:rPr>
          <w:rFonts w:ascii="Times New Roman" w:hAnsi="Times New Roman" w:cs="Times New Roman"/>
          <w:sz w:val="24"/>
          <w:szCs w:val="24"/>
        </w:rPr>
        <w:t>. Baseado em Prazeres (2006) a elevação da renda dos países parceiros regionais do Brasil impulsiona a demanda por produtos manufaturados brasileiros, o que impacta direta e positivamente sobre a competitividade e complementaridade comercial do Brasil em bens de alta tecnologia.</w:t>
      </w:r>
    </w:p>
    <w:p w14:paraId="77A7FE62" w14:textId="2E9AB987" w:rsidR="00241134" w:rsidRPr="00750C80" w:rsidRDefault="00241134" w:rsidP="00C978DF">
      <w:pPr>
        <w:tabs>
          <w:tab w:val="left" w:pos="709"/>
        </w:tabs>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A distância limita o fluxo comercial e consequente capacidade de ganhos de comércio do Brasil, devendo, pois, apresentar sinal negativo em relação à complementaridade. Referente à </w:t>
      </w:r>
      <w:r w:rsidR="008B1900">
        <w:rPr>
          <w:rFonts w:ascii="Times New Roman" w:hAnsi="Times New Roman" w:cs="Times New Roman"/>
          <w:i/>
          <w:sz w:val="24"/>
          <w:szCs w:val="24"/>
        </w:rPr>
        <w:t>d</w:t>
      </w:r>
      <w:r w:rsidRPr="00750C80">
        <w:rPr>
          <w:rFonts w:ascii="Times New Roman" w:hAnsi="Times New Roman" w:cs="Times New Roman"/>
          <w:i/>
          <w:sz w:val="24"/>
          <w:szCs w:val="24"/>
        </w:rPr>
        <w:t>ummy</w:t>
      </w:r>
      <w:r w:rsidRPr="00750C80">
        <w:rPr>
          <w:rFonts w:ascii="Times New Roman" w:hAnsi="Times New Roman" w:cs="Times New Roman"/>
          <w:sz w:val="24"/>
          <w:szCs w:val="24"/>
        </w:rPr>
        <w:t xml:space="preserve"> MERCOSUL reitera-se a perspectiva de Castilho (2012) quanto ao padrão de comércio diferenciado regional e internacionalmente, do Brasil, de tal modo que a integração regional reafirma a competitividade do país em setores de alta intensidade tecnológica, de modo a afetar positivamente a complementaridade comercial do país.</w:t>
      </w:r>
    </w:p>
    <w:p w14:paraId="472670F1" w14:textId="40CD823B" w:rsidR="00916127" w:rsidRPr="00750C80" w:rsidRDefault="00916127" w:rsidP="00C978DF">
      <w:pPr>
        <w:tabs>
          <w:tab w:val="left" w:pos="709"/>
        </w:tabs>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Espera-se que a vari</w:t>
      </w:r>
      <w:r w:rsidR="008668FF" w:rsidRPr="00750C80">
        <w:rPr>
          <w:rFonts w:ascii="Times New Roman" w:hAnsi="Times New Roman" w:cs="Times New Roman"/>
          <w:sz w:val="24"/>
          <w:szCs w:val="24"/>
        </w:rPr>
        <w:t>ável “Capital Fix</w:t>
      </w:r>
      <w:r w:rsidRPr="00750C80">
        <w:rPr>
          <w:rFonts w:ascii="Times New Roman" w:hAnsi="Times New Roman" w:cs="Times New Roman"/>
          <w:sz w:val="24"/>
          <w:szCs w:val="24"/>
        </w:rPr>
        <w:t>o</w:t>
      </w:r>
      <w:r w:rsidR="008668FF" w:rsidRPr="00750C80">
        <w:rPr>
          <w:rFonts w:ascii="Times New Roman" w:hAnsi="Times New Roman" w:cs="Times New Roman"/>
          <w:sz w:val="24"/>
          <w:szCs w:val="24"/>
        </w:rPr>
        <w:t>”</w:t>
      </w:r>
      <w:r w:rsidRPr="00750C80">
        <w:rPr>
          <w:rFonts w:ascii="Times New Roman" w:hAnsi="Times New Roman" w:cs="Times New Roman"/>
          <w:sz w:val="24"/>
          <w:szCs w:val="24"/>
        </w:rPr>
        <w:t xml:space="preserve"> apresente sinal positivo, tendo em vista que representa a variação relativa dos investimentos brasileiros em relação ao volume de investimentos do país parceiro, em consequente implicação sobre a competitividade comercial, conforme as teorias tradicionais de comércio internacional. Quanto maior a relação, mais se ampliam as assimetrias entre as estruturas industriais do Brasil frente os parceiros vizinhos, implicando elevação da complementaridade comercial para setores de alta intensidade </w:t>
      </w:r>
      <w:r w:rsidRPr="00750C80">
        <w:rPr>
          <w:rFonts w:ascii="Times New Roman" w:hAnsi="Times New Roman" w:cs="Times New Roman"/>
          <w:sz w:val="24"/>
          <w:szCs w:val="24"/>
        </w:rPr>
        <w:lastRenderedPageBreak/>
        <w:t>tecnológica. Já para o câmbio se espera o sinal negativo, posto que a apreciação cambial eleva os preços dos produtos exportados, tornando-os menos competitivos.</w:t>
      </w:r>
    </w:p>
    <w:p w14:paraId="77A7FE64" w14:textId="77777777" w:rsidR="00C958E1" w:rsidRPr="00750C80" w:rsidRDefault="00C958E1" w:rsidP="00C978DF">
      <w:pPr>
        <w:tabs>
          <w:tab w:val="left" w:pos="709"/>
        </w:tabs>
        <w:spacing w:after="0" w:line="360" w:lineRule="auto"/>
        <w:jc w:val="both"/>
        <w:rPr>
          <w:rFonts w:ascii="Times New Roman" w:hAnsi="Times New Roman" w:cs="Times New Roman"/>
          <w:sz w:val="24"/>
          <w:szCs w:val="24"/>
        </w:rPr>
      </w:pPr>
    </w:p>
    <w:p w14:paraId="77A7FE65" w14:textId="31E07DC6" w:rsidR="00370B40" w:rsidRPr="004F1586" w:rsidRDefault="00B02AF2" w:rsidP="00C978DF">
      <w:pPr>
        <w:spacing w:after="0" w:line="360" w:lineRule="auto"/>
        <w:jc w:val="both"/>
        <w:rPr>
          <w:rFonts w:ascii="Times New Roman" w:hAnsi="Times New Roman" w:cs="Times New Roman"/>
          <w:b/>
          <w:sz w:val="24"/>
          <w:szCs w:val="24"/>
        </w:rPr>
      </w:pPr>
      <w:r w:rsidRPr="004F1586">
        <w:rPr>
          <w:rFonts w:ascii="Times New Roman" w:hAnsi="Times New Roman" w:cs="Times New Roman"/>
          <w:b/>
          <w:sz w:val="24"/>
          <w:szCs w:val="24"/>
        </w:rPr>
        <w:t xml:space="preserve">5. Procedimentos </w:t>
      </w:r>
      <w:r w:rsidR="005D0F05" w:rsidRPr="004F1586">
        <w:rPr>
          <w:rFonts w:ascii="Times New Roman" w:hAnsi="Times New Roman" w:cs="Times New Roman"/>
          <w:b/>
          <w:sz w:val="24"/>
          <w:szCs w:val="24"/>
        </w:rPr>
        <w:t>econométricos</w:t>
      </w:r>
    </w:p>
    <w:p w14:paraId="77A7FE66" w14:textId="77777777" w:rsidR="00785A84" w:rsidRPr="00750C80" w:rsidRDefault="00785A84" w:rsidP="00C978DF">
      <w:pPr>
        <w:spacing w:after="0" w:line="360" w:lineRule="auto"/>
        <w:jc w:val="both"/>
        <w:rPr>
          <w:rFonts w:ascii="Times New Roman" w:hAnsi="Times New Roman" w:cs="Times New Roman"/>
          <w:sz w:val="24"/>
          <w:szCs w:val="24"/>
        </w:rPr>
      </w:pPr>
    </w:p>
    <w:p w14:paraId="77A7FE67" w14:textId="77777777" w:rsidR="002B72EC" w:rsidRPr="00750C80" w:rsidRDefault="003020C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Utiliza</w:t>
      </w:r>
      <w:r w:rsidR="00370B40" w:rsidRPr="00750C80">
        <w:rPr>
          <w:rFonts w:ascii="Times New Roman" w:hAnsi="Times New Roman" w:cs="Times New Roman"/>
          <w:sz w:val="24"/>
          <w:szCs w:val="24"/>
        </w:rPr>
        <w:t>-se a metodologia</w:t>
      </w:r>
      <w:r w:rsidR="00C10519" w:rsidRPr="00750C80">
        <w:rPr>
          <w:rFonts w:ascii="Times New Roman" w:hAnsi="Times New Roman" w:cs="Times New Roman"/>
          <w:sz w:val="24"/>
          <w:szCs w:val="24"/>
        </w:rPr>
        <w:t xml:space="preserve"> de trabalho de dados em painel para perceber o efeito das variáveis independentes sobre a complementaridade comercial no setor de manufaturados entre o Brasil e seus parceiros comerciais na A</w:t>
      </w:r>
      <w:r w:rsidR="006B0BAD" w:rsidRPr="00750C80">
        <w:rPr>
          <w:rFonts w:ascii="Times New Roman" w:hAnsi="Times New Roman" w:cs="Times New Roman"/>
          <w:sz w:val="24"/>
          <w:szCs w:val="24"/>
        </w:rPr>
        <w:t>mérica do Sul, entre 1970 e 2010</w:t>
      </w:r>
      <w:r w:rsidR="00C10519" w:rsidRPr="00750C80">
        <w:rPr>
          <w:rFonts w:ascii="Times New Roman" w:hAnsi="Times New Roman" w:cs="Times New Roman"/>
          <w:sz w:val="24"/>
          <w:szCs w:val="24"/>
        </w:rPr>
        <w:t xml:space="preserve">. </w:t>
      </w:r>
    </w:p>
    <w:p w14:paraId="77A7FE68" w14:textId="77777777" w:rsidR="00370B40" w:rsidRPr="00750C80" w:rsidRDefault="003020C7"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Adota</w:t>
      </w:r>
      <w:r w:rsidR="00C10519" w:rsidRPr="00750C80">
        <w:rPr>
          <w:rFonts w:ascii="Times New Roman" w:hAnsi="Times New Roman" w:cs="Times New Roman"/>
          <w:sz w:val="24"/>
          <w:szCs w:val="24"/>
        </w:rPr>
        <w:t>-se tal méto</w:t>
      </w:r>
      <w:r w:rsidR="002C057B" w:rsidRPr="00750C80">
        <w:rPr>
          <w:rFonts w:ascii="Times New Roman" w:hAnsi="Times New Roman" w:cs="Times New Roman"/>
          <w:sz w:val="24"/>
          <w:szCs w:val="24"/>
        </w:rPr>
        <w:t>do porque, em consonância com Wooldridge (2010), o método de dados em painel permite a análise de uma série de variáveis sobre um dado grupo de indivíduos ao longo do tempo. Difere do método por agrupamento independente de cortes transversais, pois que não extrai informações de indivíduos aleatórios em dado segmento de tempo, porém do mesmo grupo de indivíduos, permitindo comparação entre sua evolução e a dinâmica do</w:t>
      </w:r>
      <w:r w:rsidR="009B11EC" w:rsidRPr="00750C80">
        <w:rPr>
          <w:rFonts w:ascii="Times New Roman" w:hAnsi="Times New Roman" w:cs="Times New Roman"/>
          <w:sz w:val="24"/>
          <w:szCs w:val="24"/>
        </w:rPr>
        <w:t>s</w:t>
      </w:r>
      <w:r w:rsidR="002C057B" w:rsidRPr="00750C80">
        <w:rPr>
          <w:rFonts w:ascii="Times New Roman" w:hAnsi="Times New Roman" w:cs="Times New Roman"/>
          <w:sz w:val="24"/>
          <w:szCs w:val="24"/>
        </w:rPr>
        <w:t xml:space="preserve"> efeitos das variáveis independentes sobre seu comportamento</w:t>
      </w:r>
      <w:r w:rsidR="009B11EC" w:rsidRPr="00750C80">
        <w:rPr>
          <w:rFonts w:ascii="Times New Roman" w:hAnsi="Times New Roman" w:cs="Times New Roman"/>
          <w:sz w:val="24"/>
          <w:szCs w:val="24"/>
        </w:rPr>
        <w:t xml:space="preserve"> idiossincrático</w:t>
      </w:r>
      <w:r w:rsidR="002C057B" w:rsidRPr="00750C80">
        <w:rPr>
          <w:rFonts w:ascii="Times New Roman" w:hAnsi="Times New Roman" w:cs="Times New Roman"/>
          <w:sz w:val="24"/>
          <w:szCs w:val="24"/>
        </w:rPr>
        <w:t>, na série de tempo trabalhada.</w:t>
      </w:r>
    </w:p>
    <w:p w14:paraId="77A7FE69" w14:textId="6AD7379E" w:rsidR="00C10519" w:rsidRPr="00750C80" w:rsidRDefault="00311E3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Gujarati e Porter (2011) ressaltam a importância da utilização de dados em p</w:t>
      </w:r>
      <w:r w:rsidR="00B12E59" w:rsidRPr="00750C80">
        <w:rPr>
          <w:rFonts w:ascii="Times New Roman" w:hAnsi="Times New Roman" w:cs="Times New Roman"/>
          <w:sz w:val="24"/>
          <w:szCs w:val="24"/>
        </w:rPr>
        <w:t>ainel pois este</w:t>
      </w:r>
      <w:r w:rsidRPr="00750C80">
        <w:rPr>
          <w:rFonts w:ascii="Times New Roman" w:hAnsi="Times New Roman" w:cs="Times New Roman"/>
          <w:sz w:val="24"/>
          <w:szCs w:val="24"/>
        </w:rPr>
        <w:t xml:space="preserve"> </w:t>
      </w:r>
      <w:r w:rsidR="00DF0F7A" w:rsidRPr="00750C80">
        <w:rPr>
          <w:rFonts w:ascii="Times New Roman" w:hAnsi="Times New Roman" w:cs="Times New Roman"/>
          <w:sz w:val="24"/>
          <w:szCs w:val="24"/>
        </w:rPr>
        <w:t>fornece controle da</w:t>
      </w:r>
      <w:r w:rsidRPr="00750C80">
        <w:rPr>
          <w:rFonts w:ascii="Times New Roman" w:hAnsi="Times New Roman" w:cs="Times New Roman"/>
          <w:sz w:val="24"/>
          <w:szCs w:val="24"/>
        </w:rPr>
        <w:t xml:space="preserve"> heterogeneidade com características próprias a cada sujeito</w:t>
      </w:r>
      <w:r w:rsidR="00B12E59" w:rsidRPr="00750C80">
        <w:rPr>
          <w:rFonts w:ascii="Times New Roman" w:hAnsi="Times New Roman" w:cs="Times New Roman"/>
          <w:sz w:val="24"/>
          <w:szCs w:val="24"/>
        </w:rPr>
        <w:t>, ao possibilitar análise da evolução dos indivíduos ao longo do tempo</w:t>
      </w:r>
      <w:r w:rsidRPr="00750C80">
        <w:rPr>
          <w:rFonts w:ascii="Times New Roman" w:hAnsi="Times New Roman" w:cs="Times New Roman"/>
          <w:sz w:val="24"/>
          <w:szCs w:val="24"/>
        </w:rPr>
        <w:t>. Por outro lado, permite apreciação dinâmica do compor</w:t>
      </w:r>
      <w:r w:rsidR="00B12E59" w:rsidRPr="00750C80">
        <w:rPr>
          <w:rFonts w:ascii="Times New Roman" w:hAnsi="Times New Roman" w:cs="Times New Roman"/>
          <w:sz w:val="24"/>
          <w:szCs w:val="24"/>
        </w:rPr>
        <w:t>tamento dos indivíduos ao passo que garante</w:t>
      </w:r>
      <w:r w:rsidRPr="00750C80">
        <w:rPr>
          <w:rFonts w:ascii="Times New Roman" w:hAnsi="Times New Roman" w:cs="Times New Roman"/>
          <w:sz w:val="24"/>
          <w:szCs w:val="24"/>
        </w:rPr>
        <w:t xml:space="preserve"> deduções</w:t>
      </w:r>
      <w:r w:rsidR="009B11EC" w:rsidRPr="00750C80">
        <w:rPr>
          <w:rFonts w:ascii="Times New Roman" w:hAnsi="Times New Roman" w:cs="Times New Roman"/>
          <w:sz w:val="24"/>
          <w:szCs w:val="24"/>
        </w:rPr>
        <w:t xml:space="preserve"> menos</w:t>
      </w:r>
      <w:r w:rsidRPr="00750C80">
        <w:rPr>
          <w:rFonts w:ascii="Times New Roman" w:hAnsi="Times New Roman" w:cs="Times New Roman"/>
          <w:sz w:val="24"/>
          <w:szCs w:val="24"/>
        </w:rPr>
        <w:t xml:space="preserve"> limitadas</w:t>
      </w:r>
      <w:r w:rsidR="009B11EC" w:rsidRPr="00750C80">
        <w:rPr>
          <w:rFonts w:ascii="Times New Roman" w:hAnsi="Times New Roman" w:cs="Times New Roman"/>
          <w:sz w:val="24"/>
          <w:szCs w:val="24"/>
        </w:rPr>
        <w:t xml:space="preserve"> que</w:t>
      </w:r>
      <w:r w:rsidRPr="00750C80">
        <w:rPr>
          <w:rFonts w:ascii="Times New Roman" w:hAnsi="Times New Roman" w:cs="Times New Roman"/>
          <w:sz w:val="24"/>
          <w:szCs w:val="24"/>
        </w:rPr>
        <w:t xml:space="preserve"> em estudos </w:t>
      </w:r>
      <w:r w:rsidR="00B12E59" w:rsidRPr="00750C80">
        <w:rPr>
          <w:rFonts w:ascii="Times New Roman" w:hAnsi="Times New Roman" w:cs="Times New Roman"/>
          <w:sz w:val="24"/>
          <w:szCs w:val="24"/>
        </w:rPr>
        <w:t xml:space="preserve">simplesmente </w:t>
      </w:r>
      <w:r w:rsidRPr="00750C80">
        <w:rPr>
          <w:rFonts w:ascii="Times New Roman" w:hAnsi="Times New Roman" w:cs="Times New Roman"/>
          <w:sz w:val="24"/>
          <w:szCs w:val="24"/>
        </w:rPr>
        <w:t>com séries temporais ou cortes transversais. Ademais, tornam viáveis compreensões mais complexas como em referência a complementaridade comercial aqui disposta, com reduzido viés ao considerar o agregado dos comportamentos característicos individuais.</w:t>
      </w:r>
    </w:p>
    <w:p w14:paraId="77A7FE6A" w14:textId="77777777" w:rsidR="00DF0F7A" w:rsidRPr="00750C80" w:rsidRDefault="00DF0F7A"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Conforme Baltagi (2005) a utilização de dados em painel fornece mais informações e com mais graus de liberdade, e menos colinearidade, permitindo melhor ajustamento. São, pois, preferíveis para estudo comparativo do efeito de dado conjunto de variáveis sobre o mesmo conjunto de indivíduos, em dada série</w:t>
      </w:r>
      <w:r w:rsidR="003020C7" w:rsidRPr="00750C80">
        <w:rPr>
          <w:rFonts w:ascii="Times New Roman" w:hAnsi="Times New Roman" w:cs="Times New Roman"/>
          <w:sz w:val="24"/>
          <w:szCs w:val="24"/>
        </w:rPr>
        <w:t xml:space="preserve"> de tempo. Desta forma, utiliza-se</w:t>
      </w:r>
      <w:r w:rsidRPr="00750C80">
        <w:rPr>
          <w:rFonts w:ascii="Times New Roman" w:hAnsi="Times New Roman" w:cs="Times New Roman"/>
          <w:sz w:val="24"/>
          <w:szCs w:val="24"/>
        </w:rPr>
        <w:t xml:space="preserve"> esta metodologia no presente trabalho por sua capacidade de compreender e congruência sobre as características específicas do comércio bilateral entre o Brasil e seus parceiros na América do Sul e na percepção da evolução da complementaridade como elemento complexo e dinâmico ao longo do tempo.</w:t>
      </w:r>
    </w:p>
    <w:p w14:paraId="77A7FE6B" w14:textId="77777777" w:rsidR="00DF0F7A" w:rsidRPr="00750C80" w:rsidRDefault="000F1C1F" w:rsidP="00C978DF">
      <w:pPr>
        <w:spacing w:after="0" w:line="360" w:lineRule="auto"/>
        <w:jc w:val="both"/>
        <w:rPr>
          <w:rFonts w:ascii="Times New Roman" w:eastAsiaTheme="minorEastAsia" w:hAnsi="Times New Roman" w:cs="Times New Roman"/>
          <w:sz w:val="24"/>
          <w:szCs w:val="24"/>
        </w:rPr>
      </w:pPr>
      <w:r w:rsidRPr="00750C80">
        <w:rPr>
          <w:rFonts w:ascii="Times New Roman" w:hAnsi="Times New Roman" w:cs="Times New Roman"/>
          <w:sz w:val="24"/>
          <w:szCs w:val="24"/>
        </w:rPr>
        <w:tab/>
        <w:t xml:space="preserve">Em conformidade com Greene (2002), o modelo com dados em painel pode ser </w:t>
      </w:r>
      <w:r w:rsidRPr="00750C80">
        <w:rPr>
          <w:rFonts w:ascii="Times New Roman" w:hAnsi="Times New Roman" w:cs="Times New Roman"/>
          <w:i/>
          <w:sz w:val="24"/>
          <w:szCs w:val="24"/>
        </w:rPr>
        <w:t xml:space="preserve">pooled, </w:t>
      </w:r>
      <w:r w:rsidRPr="00750C80">
        <w:rPr>
          <w:rFonts w:ascii="Times New Roman" w:hAnsi="Times New Roman" w:cs="Times New Roman"/>
          <w:sz w:val="24"/>
          <w:szCs w:val="24"/>
        </w:rPr>
        <w:t>efeitos fixos ou efeitos aleatórios, dentre outros. Para o autor,</w:t>
      </w:r>
      <w:r w:rsidR="004D1747" w:rsidRPr="00750C80">
        <w:rPr>
          <w:rFonts w:ascii="Times New Roman" w:hAnsi="Times New Roman" w:cs="Times New Roman"/>
          <w:sz w:val="24"/>
          <w:szCs w:val="24"/>
        </w:rPr>
        <w:t xml:space="preserve"> regressão </w:t>
      </w:r>
      <w:r w:rsidR="004D1747" w:rsidRPr="00750C80">
        <w:rPr>
          <w:rFonts w:ascii="Times New Roman" w:hAnsi="Times New Roman" w:cs="Times New Roman"/>
          <w:i/>
          <w:sz w:val="24"/>
          <w:szCs w:val="24"/>
        </w:rPr>
        <w:t>pooled</w:t>
      </w:r>
      <w:r w:rsidR="004D1747" w:rsidRPr="00750C80">
        <w:rPr>
          <w:rFonts w:ascii="Times New Roman" w:hAnsi="Times New Roman" w:cs="Times New Roman"/>
          <w:sz w:val="24"/>
          <w:szCs w:val="24"/>
        </w:rPr>
        <w:t xml:space="preserve"> ocorre quando há apenas um intercepto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sidR="004D1747" w:rsidRPr="00750C80">
        <w:rPr>
          <w:rFonts w:ascii="Times New Roman" w:hAnsi="Times New Roman" w:cs="Times New Roman"/>
          <w:sz w:val="24"/>
          <w:szCs w:val="24"/>
        </w:rPr>
        <w:t xml:space="preserve"> para todos os sujeitos analisados, de modo a variar tão somente os </w:t>
      </w:r>
      <w:r w:rsidR="004D1747" w:rsidRPr="00750C80">
        <w:rPr>
          <w:rFonts w:ascii="Times New Roman" w:hAnsi="Times New Roman" w:cs="Times New Roman"/>
          <w:sz w:val="24"/>
          <w:szCs w:val="24"/>
        </w:rPr>
        <w:lastRenderedPageBreak/>
        <w:t>parâmetros de inclinação</w:t>
      </w:r>
      <w:r w:rsidR="004D1747" w:rsidRPr="00750C80">
        <w:rPr>
          <w:rFonts w:ascii="Times New Roman" w:eastAsiaTheme="minorEastAsia" w:hAnsi="Times New Roman" w:cs="Times New Roman"/>
          <w:sz w:val="24"/>
          <w:szCs w:val="24"/>
        </w:rPr>
        <w:t xml:space="preserve">, provendo estimadores consistentes e eficientes. Entende-se a regressão por efeitos fixos quando há uma constante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oMath>
      <w:r w:rsidR="004D1747" w:rsidRPr="00750C80">
        <w:rPr>
          <w:rFonts w:ascii="Times New Roman" w:eastAsiaTheme="minorEastAsia" w:hAnsi="Times New Roman" w:cs="Times New Roman"/>
          <w:sz w:val="24"/>
          <w:szCs w:val="24"/>
        </w:rPr>
        <w:t xml:space="preserve"> para cada indivíduo ao longo do tempo. Fixo refere-se a este intercepto não variar ao longo do tempo, o que não indica se é estocástico ou não. Já regressão por efeitos aleatórios trabalha com indivíduos aleatórios na amostra, com o erro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oMath>
      <w:r w:rsidR="004D1747" w:rsidRPr="00750C80">
        <w:rPr>
          <w:rFonts w:ascii="Times New Roman" w:eastAsiaTheme="minorEastAsia" w:hAnsi="Times New Roman" w:cs="Times New Roman"/>
          <w:sz w:val="24"/>
          <w:szCs w:val="24"/>
        </w:rPr>
        <w:t xml:space="preserve"> sendo uma variável aleatória para cada ind</w:t>
      </w:r>
      <w:r w:rsidR="00810114" w:rsidRPr="00750C80">
        <w:rPr>
          <w:rFonts w:ascii="Times New Roman" w:eastAsiaTheme="minorEastAsia" w:hAnsi="Times New Roman" w:cs="Times New Roman"/>
          <w:sz w:val="24"/>
          <w:szCs w:val="24"/>
        </w:rPr>
        <w:t>iv</w:t>
      </w:r>
      <w:r w:rsidR="004D1747" w:rsidRPr="00750C80">
        <w:rPr>
          <w:rFonts w:ascii="Times New Roman" w:eastAsiaTheme="minorEastAsia" w:hAnsi="Times New Roman" w:cs="Times New Roman"/>
          <w:sz w:val="24"/>
          <w:szCs w:val="24"/>
        </w:rPr>
        <w:t>íduo.</w:t>
      </w:r>
    </w:p>
    <w:p w14:paraId="77A7FE6C" w14:textId="02B1662B" w:rsidR="00810114" w:rsidRPr="00750C80" w:rsidRDefault="00810114" w:rsidP="00C978DF">
      <w:pPr>
        <w:spacing w:after="0" w:line="360" w:lineRule="auto"/>
        <w:jc w:val="both"/>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tab/>
        <w:t xml:space="preserve">Será utilizado o Teste de </w:t>
      </w:r>
      <w:r w:rsidR="008553C5" w:rsidRPr="00750C80">
        <w:rPr>
          <w:rFonts w:ascii="Times New Roman" w:eastAsiaTheme="minorEastAsia" w:hAnsi="Times New Roman" w:cs="Times New Roman"/>
          <w:sz w:val="24"/>
          <w:szCs w:val="24"/>
        </w:rPr>
        <w:t>Mundlak</w:t>
      </w:r>
      <w:r w:rsidR="00B44734" w:rsidRPr="00750C80">
        <w:rPr>
          <w:rFonts w:ascii="Times New Roman" w:eastAsiaTheme="minorEastAsia" w:hAnsi="Times New Roman" w:cs="Times New Roman"/>
          <w:sz w:val="24"/>
          <w:szCs w:val="24"/>
        </w:rPr>
        <w:t xml:space="preserve"> (1978)</w:t>
      </w:r>
      <w:r w:rsidRPr="00750C80">
        <w:rPr>
          <w:rFonts w:ascii="Times New Roman" w:eastAsiaTheme="minorEastAsia" w:hAnsi="Times New Roman" w:cs="Times New Roman"/>
          <w:sz w:val="24"/>
          <w:szCs w:val="24"/>
        </w:rPr>
        <w:t xml:space="preserve"> para testar qual a viabilidade entre efeitos fixos ou aleatórios, de modo a saber qual o mais indicado neste trabalho. Também será o Teste de Chow para averiguar qual o mais indicado entre regressão </w:t>
      </w:r>
      <w:r w:rsidRPr="00750C80">
        <w:rPr>
          <w:rFonts w:ascii="Times New Roman" w:eastAsiaTheme="minorEastAsia" w:hAnsi="Times New Roman" w:cs="Times New Roman"/>
          <w:i/>
          <w:sz w:val="24"/>
          <w:szCs w:val="24"/>
        </w:rPr>
        <w:t>pooled</w:t>
      </w:r>
      <w:r w:rsidRPr="00750C80">
        <w:rPr>
          <w:rFonts w:ascii="Times New Roman" w:eastAsiaTheme="minorEastAsia" w:hAnsi="Times New Roman" w:cs="Times New Roman"/>
          <w:sz w:val="24"/>
          <w:szCs w:val="24"/>
        </w:rPr>
        <w:t xml:space="preserve"> e efeitos </w:t>
      </w:r>
      <w:r w:rsidR="00C64DF9" w:rsidRPr="00750C80">
        <w:rPr>
          <w:rFonts w:ascii="Times New Roman" w:eastAsiaTheme="minorEastAsia" w:hAnsi="Times New Roman" w:cs="Times New Roman"/>
          <w:sz w:val="24"/>
          <w:szCs w:val="24"/>
        </w:rPr>
        <w:t xml:space="preserve">fixos </w:t>
      </w:r>
      <w:r w:rsidRPr="00750C80">
        <w:rPr>
          <w:rFonts w:ascii="Times New Roman" w:eastAsiaTheme="minorEastAsia" w:hAnsi="Times New Roman" w:cs="Times New Roman"/>
          <w:sz w:val="24"/>
          <w:szCs w:val="24"/>
        </w:rPr>
        <w:t>para o melhor tratamento entre as heterogeneidades individuais. Ademais, Teste Breusch-Pagan</w:t>
      </w:r>
      <w:r w:rsidR="00B44734" w:rsidRPr="00750C80">
        <w:rPr>
          <w:rFonts w:ascii="Times New Roman" w:eastAsiaTheme="minorEastAsia" w:hAnsi="Times New Roman" w:cs="Times New Roman"/>
          <w:sz w:val="24"/>
          <w:szCs w:val="24"/>
        </w:rPr>
        <w:t xml:space="preserve"> (1980)</w:t>
      </w:r>
      <w:r w:rsidRPr="00750C80">
        <w:rPr>
          <w:rFonts w:ascii="Times New Roman" w:eastAsiaTheme="minorEastAsia" w:hAnsi="Times New Roman" w:cs="Times New Roman"/>
          <w:sz w:val="24"/>
          <w:szCs w:val="24"/>
        </w:rPr>
        <w:t xml:space="preserve"> será utilizado para testar entre regressão </w:t>
      </w:r>
      <w:r w:rsidRPr="00750C80">
        <w:rPr>
          <w:rFonts w:ascii="Times New Roman" w:eastAsiaTheme="minorEastAsia" w:hAnsi="Times New Roman" w:cs="Times New Roman"/>
          <w:i/>
          <w:sz w:val="24"/>
          <w:szCs w:val="24"/>
        </w:rPr>
        <w:t>pooled</w:t>
      </w:r>
      <w:r w:rsidRPr="00750C80">
        <w:rPr>
          <w:rFonts w:ascii="Times New Roman" w:eastAsiaTheme="minorEastAsia" w:hAnsi="Times New Roman" w:cs="Times New Roman"/>
          <w:sz w:val="24"/>
          <w:szCs w:val="24"/>
        </w:rPr>
        <w:t xml:space="preserve"> e efeito aleatório.</w:t>
      </w:r>
    </w:p>
    <w:p w14:paraId="77A7FE6D" w14:textId="77777777" w:rsidR="005156C1" w:rsidRPr="00750C80" w:rsidRDefault="00C64DF9" w:rsidP="00C978DF">
      <w:pPr>
        <w:spacing w:after="0" w:line="360" w:lineRule="auto"/>
        <w:jc w:val="both"/>
        <w:rPr>
          <w:rFonts w:ascii="Times New Roman" w:eastAsiaTheme="minorEastAsia" w:hAnsi="Times New Roman" w:cs="Times New Roman"/>
          <w:sz w:val="24"/>
          <w:szCs w:val="24"/>
        </w:rPr>
      </w:pPr>
      <w:r w:rsidRPr="00750C80">
        <w:rPr>
          <w:rFonts w:ascii="Times New Roman" w:eastAsiaTheme="minorEastAsia" w:hAnsi="Times New Roman" w:cs="Times New Roman"/>
          <w:sz w:val="24"/>
          <w:szCs w:val="24"/>
        </w:rPr>
        <w:tab/>
        <w:t>Para testar se há problema de heterocedasticidade, utiliza-se o Teste de Wald, cuja hipótese nula indica que o modelo é homocedástico. Para testar correlação serial</w:t>
      </w:r>
      <w:r w:rsidR="00E86C34" w:rsidRPr="00750C80">
        <w:rPr>
          <w:rFonts w:ascii="Times New Roman" w:eastAsiaTheme="minorEastAsia" w:hAnsi="Times New Roman" w:cs="Times New Roman"/>
          <w:sz w:val="24"/>
          <w:szCs w:val="24"/>
        </w:rPr>
        <w:t xml:space="preserve">, utiliza-se o teste de Wooldridge (2002) o qual testa a hipótese nula de modelo que não possui correlação serial nos resíduos. Por sua vez, para testar correlação contemporânea, utiliza-se o teste de Pesaran (2004) que apresenta como hipótese nula a independência dos </w:t>
      </w:r>
      <w:r w:rsidR="00E86C34" w:rsidRPr="00750C80">
        <w:rPr>
          <w:rFonts w:ascii="Times New Roman" w:eastAsiaTheme="minorEastAsia" w:hAnsi="Times New Roman" w:cs="Times New Roman"/>
          <w:i/>
          <w:sz w:val="24"/>
          <w:szCs w:val="24"/>
        </w:rPr>
        <w:t>Cross Section</w:t>
      </w:r>
      <w:r w:rsidR="00E86C34" w:rsidRPr="00750C80">
        <w:rPr>
          <w:rFonts w:ascii="Times New Roman" w:eastAsiaTheme="minorEastAsia" w:hAnsi="Times New Roman" w:cs="Times New Roman"/>
          <w:sz w:val="24"/>
          <w:szCs w:val="24"/>
        </w:rPr>
        <w:t>.</w:t>
      </w:r>
    </w:p>
    <w:p w14:paraId="77A7FE6E" w14:textId="77777777" w:rsidR="005917F8" w:rsidRPr="00750C80" w:rsidRDefault="005917F8" w:rsidP="00C978DF">
      <w:pPr>
        <w:spacing w:after="0" w:line="360" w:lineRule="auto"/>
        <w:jc w:val="both"/>
        <w:rPr>
          <w:rFonts w:ascii="Times New Roman" w:hAnsi="Times New Roman" w:cs="Times New Roman"/>
          <w:sz w:val="24"/>
          <w:szCs w:val="24"/>
        </w:rPr>
      </w:pPr>
    </w:p>
    <w:p w14:paraId="77A7FE6F" w14:textId="14FF634B" w:rsidR="00E82EEE" w:rsidRPr="004F1586" w:rsidRDefault="00B02AF2" w:rsidP="00C978DF">
      <w:pPr>
        <w:spacing w:after="0" w:line="360" w:lineRule="auto"/>
        <w:jc w:val="both"/>
        <w:rPr>
          <w:rFonts w:ascii="Times New Roman" w:hAnsi="Times New Roman" w:cs="Times New Roman"/>
          <w:b/>
          <w:sz w:val="24"/>
          <w:szCs w:val="24"/>
        </w:rPr>
      </w:pPr>
      <w:r w:rsidRPr="004F1586">
        <w:rPr>
          <w:rFonts w:ascii="Times New Roman" w:hAnsi="Times New Roman" w:cs="Times New Roman"/>
          <w:b/>
          <w:sz w:val="24"/>
          <w:szCs w:val="24"/>
        </w:rPr>
        <w:t xml:space="preserve">6. Análise </w:t>
      </w:r>
      <w:r w:rsidR="005D0F05" w:rsidRPr="004F1586">
        <w:rPr>
          <w:rFonts w:ascii="Times New Roman" w:hAnsi="Times New Roman" w:cs="Times New Roman"/>
          <w:b/>
          <w:sz w:val="24"/>
          <w:szCs w:val="24"/>
        </w:rPr>
        <w:t>de resultados</w:t>
      </w:r>
    </w:p>
    <w:p w14:paraId="77A7FE70" w14:textId="77777777" w:rsidR="00ED066F" w:rsidRPr="00750C80" w:rsidRDefault="00ED066F" w:rsidP="00C978DF">
      <w:pPr>
        <w:spacing w:after="0" w:line="360" w:lineRule="auto"/>
        <w:jc w:val="both"/>
        <w:rPr>
          <w:rFonts w:ascii="Times New Roman" w:hAnsi="Times New Roman" w:cs="Times New Roman"/>
          <w:sz w:val="24"/>
          <w:szCs w:val="24"/>
        </w:rPr>
      </w:pPr>
    </w:p>
    <w:p w14:paraId="77A7FE71" w14:textId="0CF56B7D" w:rsidR="00785A84" w:rsidRPr="00750C80" w:rsidRDefault="00B02AF2"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6</w:t>
      </w:r>
      <w:r w:rsidR="00785A84" w:rsidRPr="00750C80">
        <w:rPr>
          <w:rFonts w:ascii="Times New Roman" w:hAnsi="Times New Roman" w:cs="Times New Roman"/>
          <w:sz w:val="24"/>
          <w:szCs w:val="24"/>
        </w:rPr>
        <w:t xml:space="preserve">.1 Análise do </w:t>
      </w:r>
      <w:r w:rsidR="005D0F05" w:rsidRPr="00750C80">
        <w:rPr>
          <w:rFonts w:ascii="Times New Roman" w:hAnsi="Times New Roman" w:cs="Times New Roman"/>
          <w:sz w:val="24"/>
          <w:szCs w:val="24"/>
        </w:rPr>
        <w:t>índice de complementaridade comercial</w:t>
      </w:r>
    </w:p>
    <w:p w14:paraId="77A7FE72" w14:textId="77777777" w:rsidR="00ED066F" w:rsidRPr="00750C80" w:rsidRDefault="00ED066F" w:rsidP="00C978DF">
      <w:pPr>
        <w:spacing w:after="0" w:line="360" w:lineRule="auto"/>
        <w:jc w:val="both"/>
        <w:rPr>
          <w:rFonts w:ascii="Times New Roman" w:hAnsi="Times New Roman" w:cs="Times New Roman"/>
          <w:sz w:val="24"/>
          <w:szCs w:val="24"/>
        </w:rPr>
      </w:pPr>
    </w:p>
    <w:p w14:paraId="77A7FE73" w14:textId="77777777" w:rsidR="00571ACD" w:rsidRPr="00750C80" w:rsidRDefault="00571ACD"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A análise inicial dos resultados sugere percepção da evolução da complementaridade comercial no comércio bilateral de </w:t>
      </w:r>
      <w:r w:rsidR="005F79DE" w:rsidRPr="00750C80">
        <w:rPr>
          <w:rFonts w:ascii="Times New Roman" w:hAnsi="Times New Roman" w:cs="Times New Roman"/>
          <w:sz w:val="24"/>
          <w:szCs w:val="24"/>
        </w:rPr>
        <w:t>bens de alta intensidade tecnológica</w:t>
      </w:r>
      <w:r w:rsidRPr="00750C80">
        <w:rPr>
          <w:rFonts w:ascii="Times New Roman" w:hAnsi="Times New Roman" w:cs="Times New Roman"/>
          <w:sz w:val="24"/>
          <w:szCs w:val="24"/>
        </w:rPr>
        <w:t xml:space="preserve"> do Brasil, na Amé</w:t>
      </w:r>
      <w:r w:rsidR="005F79DE" w:rsidRPr="00750C80">
        <w:rPr>
          <w:rFonts w:ascii="Times New Roman" w:hAnsi="Times New Roman" w:cs="Times New Roman"/>
          <w:sz w:val="24"/>
          <w:szCs w:val="24"/>
        </w:rPr>
        <w:t>rica do Sul, entre 1970 e 2010</w:t>
      </w:r>
      <w:r w:rsidRPr="00750C80">
        <w:rPr>
          <w:rFonts w:ascii="Times New Roman" w:hAnsi="Times New Roman" w:cs="Times New Roman"/>
          <w:sz w:val="24"/>
          <w:szCs w:val="24"/>
        </w:rPr>
        <w:t xml:space="preserve">. Os valores expostos estão em logaritmo, em decorrência da simplificação expositiva e clareza na distinção do comportamento dos parceiros comerciais. O Gráfico </w:t>
      </w:r>
      <w:r w:rsidR="00ED066F" w:rsidRPr="00750C80">
        <w:rPr>
          <w:rFonts w:ascii="Times New Roman" w:hAnsi="Times New Roman" w:cs="Times New Roman"/>
          <w:sz w:val="24"/>
          <w:szCs w:val="24"/>
        </w:rPr>
        <w:t>4</w:t>
      </w:r>
      <w:r w:rsidRPr="00750C80">
        <w:rPr>
          <w:rFonts w:ascii="Times New Roman" w:hAnsi="Times New Roman" w:cs="Times New Roman"/>
          <w:sz w:val="24"/>
          <w:szCs w:val="24"/>
        </w:rPr>
        <w:t xml:space="preserve"> dispõe a evolução do </w:t>
      </w:r>
      <w:r w:rsidR="00F24235" w:rsidRPr="00750C80">
        <w:rPr>
          <w:rFonts w:ascii="Times New Roman" w:hAnsi="Times New Roman" w:cs="Times New Roman"/>
          <w:sz w:val="24"/>
          <w:szCs w:val="24"/>
        </w:rPr>
        <w:t>ICC, como se segue:</w:t>
      </w:r>
    </w:p>
    <w:p w14:paraId="77A7FE74" w14:textId="77777777" w:rsidR="00B94232" w:rsidRDefault="00B94232" w:rsidP="00C978DF">
      <w:pPr>
        <w:spacing w:after="0" w:line="360" w:lineRule="auto"/>
        <w:jc w:val="both"/>
        <w:rPr>
          <w:rFonts w:ascii="Times New Roman" w:hAnsi="Times New Roman" w:cs="Times New Roman"/>
          <w:sz w:val="24"/>
          <w:szCs w:val="24"/>
        </w:rPr>
      </w:pPr>
    </w:p>
    <w:p w14:paraId="0CDFC349" w14:textId="77777777" w:rsidR="00446162" w:rsidRDefault="00446162" w:rsidP="00C978DF">
      <w:pPr>
        <w:spacing w:after="0" w:line="360" w:lineRule="auto"/>
        <w:jc w:val="both"/>
        <w:rPr>
          <w:rFonts w:ascii="Times New Roman" w:hAnsi="Times New Roman" w:cs="Times New Roman"/>
          <w:sz w:val="24"/>
          <w:szCs w:val="24"/>
        </w:rPr>
      </w:pPr>
    </w:p>
    <w:p w14:paraId="7F5385DB" w14:textId="77777777" w:rsidR="00446162" w:rsidRDefault="00446162" w:rsidP="00C978DF">
      <w:pPr>
        <w:spacing w:after="0" w:line="360" w:lineRule="auto"/>
        <w:jc w:val="both"/>
        <w:rPr>
          <w:rFonts w:ascii="Times New Roman" w:hAnsi="Times New Roman" w:cs="Times New Roman"/>
          <w:sz w:val="24"/>
          <w:szCs w:val="24"/>
        </w:rPr>
      </w:pPr>
    </w:p>
    <w:p w14:paraId="4243278E" w14:textId="77777777" w:rsidR="00446162" w:rsidRDefault="00446162" w:rsidP="00C978DF">
      <w:pPr>
        <w:spacing w:after="0" w:line="360" w:lineRule="auto"/>
        <w:jc w:val="both"/>
        <w:rPr>
          <w:rFonts w:ascii="Times New Roman" w:hAnsi="Times New Roman" w:cs="Times New Roman"/>
          <w:sz w:val="24"/>
          <w:szCs w:val="24"/>
        </w:rPr>
      </w:pPr>
    </w:p>
    <w:p w14:paraId="25515C50" w14:textId="77777777" w:rsidR="00446162" w:rsidRDefault="00446162" w:rsidP="00C978DF">
      <w:pPr>
        <w:spacing w:after="0" w:line="360" w:lineRule="auto"/>
        <w:jc w:val="both"/>
        <w:rPr>
          <w:rFonts w:ascii="Times New Roman" w:hAnsi="Times New Roman" w:cs="Times New Roman"/>
          <w:sz w:val="24"/>
          <w:szCs w:val="24"/>
        </w:rPr>
      </w:pPr>
    </w:p>
    <w:p w14:paraId="3D4F27DA" w14:textId="77777777" w:rsidR="00446162" w:rsidRDefault="00446162" w:rsidP="00C978DF">
      <w:pPr>
        <w:spacing w:after="0" w:line="360" w:lineRule="auto"/>
        <w:jc w:val="both"/>
        <w:rPr>
          <w:rFonts w:ascii="Times New Roman" w:hAnsi="Times New Roman" w:cs="Times New Roman"/>
          <w:sz w:val="24"/>
          <w:szCs w:val="24"/>
        </w:rPr>
      </w:pPr>
    </w:p>
    <w:p w14:paraId="20B8B847" w14:textId="77777777" w:rsidR="00446162" w:rsidRDefault="00446162" w:rsidP="00C978DF">
      <w:pPr>
        <w:spacing w:after="0" w:line="360" w:lineRule="auto"/>
        <w:jc w:val="both"/>
        <w:rPr>
          <w:rFonts w:ascii="Times New Roman" w:hAnsi="Times New Roman" w:cs="Times New Roman"/>
          <w:sz w:val="24"/>
          <w:szCs w:val="24"/>
        </w:rPr>
      </w:pPr>
    </w:p>
    <w:p w14:paraId="69824CB7" w14:textId="77777777" w:rsidR="00446162" w:rsidRDefault="00446162" w:rsidP="00C978DF">
      <w:pPr>
        <w:spacing w:after="0" w:line="360" w:lineRule="auto"/>
        <w:jc w:val="both"/>
        <w:rPr>
          <w:rFonts w:ascii="Times New Roman" w:hAnsi="Times New Roman" w:cs="Times New Roman"/>
          <w:sz w:val="24"/>
          <w:szCs w:val="24"/>
        </w:rPr>
      </w:pPr>
    </w:p>
    <w:p w14:paraId="46C5E8EA" w14:textId="77777777" w:rsidR="00446162" w:rsidRPr="00750C80" w:rsidRDefault="00446162" w:rsidP="00C978DF">
      <w:pPr>
        <w:spacing w:after="0" w:line="360" w:lineRule="auto"/>
        <w:jc w:val="both"/>
        <w:rPr>
          <w:rFonts w:ascii="Times New Roman" w:hAnsi="Times New Roman" w:cs="Times New Roman"/>
          <w:sz w:val="24"/>
          <w:szCs w:val="24"/>
        </w:rPr>
      </w:pPr>
    </w:p>
    <w:p w14:paraId="77A7FE75" w14:textId="7DB02693" w:rsidR="005F79DE" w:rsidRDefault="00785A84" w:rsidP="00C978DF">
      <w:pPr>
        <w:spacing w:after="0" w:line="240" w:lineRule="auto"/>
        <w:jc w:val="both"/>
        <w:rPr>
          <w:rFonts w:ascii="Times New Roman" w:hAnsi="Times New Roman" w:cs="Times New Roman"/>
          <w:b/>
          <w:sz w:val="24"/>
          <w:szCs w:val="24"/>
        </w:rPr>
      </w:pPr>
      <w:r w:rsidRPr="00750C80">
        <w:rPr>
          <w:rFonts w:ascii="Times New Roman" w:hAnsi="Times New Roman" w:cs="Times New Roman"/>
          <w:b/>
          <w:sz w:val="24"/>
          <w:szCs w:val="24"/>
        </w:rPr>
        <w:lastRenderedPageBreak/>
        <w:t xml:space="preserve">Gráfico </w:t>
      </w:r>
      <w:r w:rsidR="00ED066F" w:rsidRPr="00750C80">
        <w:rPr>
          <w:rFonts w:ascii="Times New Roman" w:hAnsi="Times New Roman" w:cs="Times New Roman"/>
          <w:b/>
          <w:sz w:val="24"/>
          <w:szCs w:val="24"/>
        </w:rPr>
        <w:t>4</w:t>
      </w:r>
      <w:r w:rsidRPr="00750C80">
        <w:rPr>
          <w:rFonts w:ascii="Times New Roman" w:hAnsi="Times New Roman" w:cs="Times New Roman"/>
          <w:b/>
          <w:sz w:val="24"/>
          <w:szCs w:val="24"/>
        </w:rPr>
        <w:t xml:space="preserve"> – </w:t>
      </w:r>
      <w:r w:rsidR="00633D7C">
        <w:rPr>
          <w:rFonts w:ascii="Times New Roman" w:hAnsi="Times New Roman" w:cs="Times New Roman"/>
          <w:b/>
          <w:sz w:val="24"/>
          <w:szCs w:val="24"/>
        </w:rPr>
        <w:t>ICC</w:t>
      </w:r>
      <w:r w:rsidR="00633D7C" w:rsidRPr="00C978DF">
        <w:rPr>
          <w:rFonts w:ascii="Times New Roman" w:hAnsi="Times New Roman" w:cs="Times New Roman"/>
          <w:b/>
          <w:sz w:val="24"/>
          <w:szCs w:val="24"/>
        </w:rPr>
        <w:t xml:space="preserve"> do brasil na américa do </w:t>
      </w:r>
      <w:r w:rsidR="00633D7C">
        <w:rPr>
          <w:rFonts w:ascii="Times New Roman" w:hAnsi="Times New Roman" w:cs="Times New Roman"/>
          <w:b/>
          <w:sz w:val="24"/>
          <w:szCs w:val="24"/>
        </w:rPr>
        <w:t>S</w:t>
      </w:r>
      <w:r w:rsidR="00633D7C" w:rsidRPr="00C978DF">
        <w:rPr>
          <w:rFonts w:ascii="Times New Roman" w:hAnsi="Times New Roman" w:cs="Times New Roman"/>
          <w:b/>
          <w:sz w:val="24"/>
          <w:szCs w:val="24"/>
        </w:rPr>
        <w:t>ul – bens de alta intensidade tecnológica</w:t>
      </w:r>
    </w:p>
    <w:p w14:paraId="707B1A1D" w14:textId="77777777" w:rsidR="00446162" w:rsidRPr="00750C80" w:rsidRDefault="00446162" w:rsidP="00C978DF">
      <w:pPr>
        <w:spacing w:after="0" w:line="240" w:lineRule="auto"/>
        <w:jc w:val="both"/>
        <w:rPr>
          <w:rFonts w:ascii="Times New Roman" w:hAnsi="Times New Roman" w:cs="Times New Roman"/>
          <w:b/>
          <w:sz w:val="24"/>
          <w:szCs w:val="24"/>
        </w:rPr>
      </w:pPr>
    </w:p>
    <w:tbl>
      <w:tblPr>
        <w:tblStyle w:val="Tabelacomgrade"/>
        <w:tblW w:w="9248" w:type="dxa"/>
        <w:tblInd w:w="70" w:type="dxa"/>
        <w:tblCellMar>
          <w:left w:w="70" w:type="dxa"/>
          <w:right w:w="70" w:type="dxa"/>
        </w:tblCellMar>
        <w:tblLook w:val="04A0" w:firstRow="1" w:lastRow="0" w:firstColumn="1" w:lastColumn="0" w:noHBand="0" w:noVBand="1"/>
      </w:tblPr>
      <w:tblGrid>
        <w:gridCol w:w="9248"/>
      </w:tblGrid>
      <w:tr w:rsidR="005F79DE" w:rsidRPr="00750C80" w14:paraId="77A7FE77" w14:textId="77777777" w:rsidTr="00633D7C">
        <w:trPr>
          <w:trHeight w:val="4715"/>
        </w:trPr>
        <w:tc>
          <w:tcPr>
            <w:tcW w:w="9248" w:type="dxa"/>
          </w:tcPr>
          <w:p w14:paraId="77A7FE76" w14:textId="77777777" w:rsidR="005F79DE" w:rsidRPr="00750C80" w:rsidRDefault="005F79DE" w:rsidP="00C978DF">
            <w:pPr>
              <w:spacing w:line="360" w:lineRule="auto"/>
              <w:jc w:val="both"/>
              <w:rPr>
                <w:rFonts w:ascii="Times New Roman" w:hAnsi="Times New Roman" w:cs="Times New Roman"/>
                <w:sz w:val="24"/>
                <w:szCs w:val="24"/>
              </w:rPr>
            </w:pPr>
            <w:r w:rsidRPr="00750C80">
              <w:rPr>
                <w:rFonts w:ascii="Times New Roman" w:hAnsi="Times New Roman" w:cs="Times New Roman"/>
                <w:noProof/>
                <w:sz w:val="24"/>
                <w:szCs w:val="24"/>
                <w:lang w:eastAsia="pt-BR"/>
              </w:rPr>
              <w:drawing>
                <wp:inline distT="0" distB="0" distL="0" distR="0" wp14:anchorId="77A7FF2A" wp14:editId="7D1D223C">
                  <wp:extent cx="5772150" cy="2753030"/>
                  <wp:effectExtent l="0" t="0" r="0" b="0"/>
                  <wp:docPr id="4" name="Gráfico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31C5E065" w14:textId="77777777" w:rsidR="00633D7C" w:rsidRDefault="00633D7C" w:rsidP="00C978DF">
      <w:pPr>
        <w:spacing w:after="0" w:line="240" w:lineRule="auto"/>
        <w:jc w:val="both"/>
        <w:rPr>
          <w:rFonts w:ascii="Times New Roman" w:hAnsi="Times New Roman" w:cs="Times New Roman"/>
          <w:sz w:val="20"/>
          <w:szCs w:val="20"/>
        </w:rPr>
      </w:pPr>
    </w:p>
    <w:p w14:paraId="77A7FE78" w14:textId="614BBE06" w:rsidR="00785A84" w:rsidRPr="00750C80" w:rsidRDefault="00785A84" w:rsidP="00C978DF">
      <w:pPr>
        <w:spacing w:after="0" w:line="240" w:lineRule="auto"/>
        <w:jc w:val="both"/>
        <w:rPr>
          <w:rFonts w:ascii="Times New Roman" w:hAnsi="Times New Roman" w:cs="Times New Roman"/>
          <w:sz w:val="20"/>
          <w:szCs w:val="20"/>
        </w:rPr>
      </w:pPr>
      <w:r w:rsidRPr="00750C80">
        <w:rPr>
          <w:rFonts w:ascii="Times New Roman" w:hAnsi="Times New Roman" w:cs="Times New Roman"/>
          <w:sz w:val="20"/>
          <w:szCs w:val="20"/>
        </w:rPr>
        <w:t xml:space="preserve">Fonte: Elaboração Própria com base em dados disponíveis em </w:t>
      </w:r>
      <w:r w:rsidR="005F79DE" w:rsidRPr="00750C80">
        <w:rPr>
          <w:rFonts w:ascii="Times New Roman" w:hAnsi="Times New Roman" w:cs="Times New Roman"/>
          <w:sz w:val="20"/>
          <w:szCs w:val="20"/>
        </w:rPr>
        <w:t>CEPAL</w:t>
      </w:r>
      <w:r w:rsidRPr="00750C80">
        <w:rPr>
          <w:rFonts w:ascii="Times New Roman" w:hAnsi="Times New Roman" w:cs="Times New Roman"/>
          <w:sz w:val="20"/>
          <w:szCs w:val="20"/>
        </w:rPr>
        <w:t xml:space="preserve"> (2016). </w:t>
      </w:r>
    </w:p>
    <w:p w14:paraId="77A7FE79" w14:textId="77777777" w:rsidR="00937DAD" w:rsidRPr="00750C80" w:rsidRDefault="00937DAD" w:rsidP="00C978DF">
      <w:pPr>
        <w:spacing w:after="0" w:line="360" w:lineRule="auto"/>
        <w:jc w:val="both"/>
        <w:rPr>
          <w:rFonts w:ascii="Times New Roman" w:hAnsi="Times New Roman" w:cs="Times New Roman"/>
          <w:sz w:val="24"/>
          <w:szCs w:val="24"/>
        </w:rPr>
      </w:pPr>
    </w:p>
    <w:p w14:paraId="77A7FE7A" w14:textId="77777777" w:rsidR="00785A84" w:rsidRPr="00750C80" w:rsidRDefault="00937DAD"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r w:rsidR="002539C1" w:rsidRPr="00750C80">
        <w:rPr>
          <w:rFonts w:ascii="Times New Roman" w:hAnsi="Times New Roman" w:cs="Times New Roman"/>
          <w:sz w:val="24"/>
          <w:szCs w:val="24"/>
        </w:rPr>
        <w:t xml:space="preserve">A definição da existência de complementaridade comercial para períodos onde ICC seja maior que 1, permite afirmação da alta complementaridade entre o Brasil e seus parceiros comerciais sul-americanos no mercado de bens de alta intensidade tecnológica, de forma persistente ao longo da série. </w:t>
      </w:r>
      <w:r w:rsidR="000D2D19" w:rsidRPr="00750C80">
        <w:rPr>
          <w:rFonts w:ascii="Times New Roman" w:hAnsi="Times New Roman" w:cs="Times New Roman"/>
          <w:sz w:val="24"/>
          <w:szCs w:val="24"/>
        </w:rPr>
        <w:t xml:space="preserve">Destacam-se Chile e Colômbia pela baixa complementaridade apresentada e Equador, pela manutenção de taxas elevadas, apesar de oscilantes. </w:t>
      </w:r>
    </w:p>
    <w:p w14:paraId="77A7FE7B" w14:textId="77777777" w:rsidR="000D2D19" w:rsidRPr="00750C80" w:rsidRDefault="000D2D19"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Em 1976 o ICC entre Brasil e Equador superou 6,54 e, apesar do declínio, atingiu a marca de 2,89 em 2010. Por sua vez, com o Uruguai, parceiro estratégico regional, não verificou-se variação significativa no índice, registrando 1,65 em 1970 e 1,57 em 2010, o que assinala manutenção estável da competitividade no setor de alta tecnologia com o vizinho, em contrapartida à diminuição de competitividade e perda relativa de espaços no mercado equatoriano de bens de alta intensidade tecnológica.</w:t>
      </w:r>
    </w:p>
    <w:p w14:paraId="77A7FE7C" w14:textId="310D8B6E" w:rsidR="000D2D19" w:rsidRPr="00750C80" w:rsidRDefault="000D2D19"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Não é nítida variação de padrão ao longo da série. Todavia, ressalta</w:t>
      </w:r>
      <w:r w:rsidR="00B12E59" w:rsidRPr="00750C80">
        <w:rPr>
          <w:rFonts w:ascii="Times New Roman" w:hAnsi="Times New Roman" w:cs="Times New Roman"/>
          <w:sz w:val="24"/>
          <w:szCs w:val="24"/>
        </w:rPr>
        <w:t>m</w:t>
      </w:r>
      <w:r w:rsidRPr="00750C80">
        <w:rPr>
          <w:rFonts w:ascii="Times New Roman" w:hAnsi="Times New Roman" w:cs="Times New Roman"/>
          <w:sz w:val="24"/>
          <w:szCs w:val="24"/>
        </w:rPr>
        <w:t>-se</w:t>
      </w:r>
      <w:r w:rsidR="00B12E59" w:rsidRPr="00750C80">
        <w:rPr>
          <w:rFonts w:ascii="Times New Roman" w:hAnsi="Times New Roman" w:cs="Times New Roman"/>
          <w:sz w:val="24"/>
          <w:szCs w:val="24"/>
        </w:rPr>
        <w:t xml:space="preserve"> valores extremos do ICC</w:t>
      </w:r>
      <w:r w:rsidRPr="00750C80">
        <w:rPr>
          <w:rFonts w:ascii="Times New Roman" w:hAnsi="Times New Roman" w:cs="Times New Roman"/>
          <w:sz w:val="24"/>
          <w:szCs w:val="24"/>
        </w:rPr>
        <w:t xml:space="preserve"> nos primeiros vinte anos analisados, a exemplo do supracitado frente ao Equador e o valor de 0, com a Bolívia, em 1973, ano em que o país não realizou importações de bens de alta intensidade tecnológica advindos da América do Sul. Posteriormente à 1992 verifica-se comportamento tendendo à uniformização entre os 8 países acima expostos.</w:t>
      </w:r>
    </w:p>
    <w:p w14:paraId="77A7FE7D" w14:textId="363FF54C" w:rsidR="00207200" w:rsidRPr="00750C80" w:rsidRDefault="000D2D19"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r w:rsidR="008668FF" w:rsidRPr="00750C80">
        <w:rPr>
          <w:rFonts w:ascii="Times New Roman" w:hAnsi="Times New Roman" w:cs="Times New Roman"/>
          <w:sz w:val="24"/>
          <w:szCs w:val="24"/>
        </w:rPr>
        <w:t>A</w:t>
      </w:r>
      <w:r w:rsidRPr="00750C80">
        <w:rPr>
          <w:rFonts w:ascii="Times New Roman" w:hAnsi="Times New Roman" w:cs="Times New Roman"/>
          <w:sz w:val="24"/>
          <w:szCs w:val="24"/>
        </w:rPr>
        <w:t xml:space="preserve"> seguir, apresentam-se os resultados da regressão em painel com vistas à oferecer subsídios à interpretação sobre os condicionantes da complementaridade comercial para o setor </w:t>
      </w:r>
      <w:r w:rsidRPr="00750C80">
        <w:rPr>
          <w:rFonts w:ascii="Times New Roman" w:hAnsi="Times New Roman" w:cs="Times New Roman"/>
          <w:sz w:val="24"/>
          <w:szCs w:val="24"/>
        </w:rPr>
        <w:lastRenderedPageBreak/>
        <w:t>de bens de alta intensidade tecnológica entre o Brasil e a América do Sul ao longo das quatro décadas em análise.</w:t>
      </w:r>
    </w:p>
    <w:p w14:paraId="77A7FE7E" w14:textId="77777777" w:rsidR="005917F8" w:rsidRPr="00750C80" w:rsidRDefault="005917F8" w:rsidP="00C978DF">
      <w:pPr>
        <w:spacing w:after="0" w:line="360" w:lineRule="auto"/>
        <w:jc w:val="both"/>
        <w:rPr>
          <w:rFonts w:ascii="Times New Roman" w:hAnsi="Times New Roman" w:cs="Times New Roman"/>
          <w:sz w:val="24"/>
          <w:szCs w:val="24"/>
        </w:rPr>
      </w:pPr>
    </w:p>
    <w:p w14:paraId="77A7FE7F" w14:textId="4EB66AE5" w:rsidR="00785A84" w:rsidRPr="00750C80" w:rsidRDefault="00B02AF2"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6</w:t>
      </w:r>
      <w:r w:rsidR="00785A84" w:rsidRPr="00750C80">
        <w:rPr>
          <w:rFonts w:ascii="Times New Roman" w:hAnsi="Times New Roman" w:cs="Times New Roman"/>
          <w:sz w:val="24"/>
          <w:szCs w:val="24"/>
        </w:rPr>
        <w:t xml:space="preserve">.2 Análise </w:t>
      </w:r>
      <w:r w:rsidR="005D0F05" w:rsidRPr="00750C80">
        <w:rPr>
          <w:rFonts w:ascii="Times New Roman" w:hAnsi="Times New Roman" w:cs="Times New Roman"/>
          <w:sz w:val="24"/>
          <w:szCs w:val="24"/>
        </w:rPr>
        <w:t>dos resultados econométricos</w:t>
      </w:r>
    </w:p>
    <w:p w14:paraId="77A7FE80" w14:textId="77777777" w:rsidR="00B1696E" w:rsidRPr="00750C80" w:rsidRDefault="00B1696E" w:rsidP="00C978DF">
      <w:pPr>
        <w:spacing w:after="0" w:line="360" w:lineRule="auto"/>
        <w:jc w:val="both"/>
        <w:rPr>
          <w:rFonts w:ascii="Times New Roman" w:hAnsi="Times New Roman" w:cs="Times New Roman"/>
          <w:sz w:val="24"/>
          <w:szCs w:val="24"/>
        </w:rPr>
      </w:pPr>
    </w:p>
    <w:p w14:paraId="77A7FE81" w14:textId="77777777" w:rsidR="00B1696E" w:rsidRPr="00750C80" w:rsidRDefault="00B1696E"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r w:rsidR="00671563" w:rsidRPr="00750C80">
        <w:rPr>
          <w:rFonts w:ascii="Times New Roman" w:hAnsi="Times New Roman" w:cs="Times New Roman"/>
          <w:sz w:val="24"/>
          <w:szCs w:val="24"/>
        </w:rPr>
        <w:t xml:space="preserve">Para a seleção do modelo que melhor ajustou a reta de regressão utilizou-se os testes recomendados pela literatura econômica referente aos dados em painel, conforme discutido na seção anterior. </w:t>
      </w:r>
      <w:r w:rsidRPr="00750C80">
        <w:rPr>
          <w:rFonts w:ascii="Times New Roman" w:hAnsi="Times New Roman" w:cs="Times New Roman"/>
          <w:sz w:val="24"/>
          <w:szCs w:val="24"/>
        </w:rPr>
        <w:t>Pretende-se apresentar as estatísticas dos testes de hipóteses necessários pra modelagem em dados em painel previamente à estimação do modelo econométrico. Segue a Tabela 1 com a estatística e p-valor dos testes aqui realizados.</w:t>
      </w:r>
    </w:p>
    <w:p w14:paraId="77A7FE82" w14:textId="77777777" w:rsidR="00B1696E" w:rsidRPr="00750C80" w:rsidRDefault="00B1696E" w:rsidP="00C978DF">
      <w:pPr>
        <w:spacing w:after="0" w:line="360" w:lineRule="auto"/>
        <w:jc w:val="both"/>
        <w:rPr>
          <w:rFonts w:ascii="Times New Roman" w:hAnsi="Times New Roman" w:cs="Times New Roman"/>
          <w:sz w:val="24"/>
          <w:szCs w:val="24"/>
        </w:rPr>
      </w:pPr>
    </w:p>
    <w:p w14:paraId="77A7FE83" w14:textId="0AC46D55" w:rsidR="00671563" w:rsidRDefault="00B1696E" w:rsidP="00B70827">
      <w:pPr>
        <w:spacing w:after="0" w:line="240" w:lineRule="auto"/>
        <w:jc w:val="both"/>
        <w:rPr>
          <w:rFonts w:ascii="Times New Roman" w:hAnsi="Times New Roman" w:cs="Times New Roman"/>
          <w:b/>
          <w:sz w:val="24"/>
          <w:szCs w:val="24"/>
        </w:rPr>
      </w:pPr>
      <w:r w:rsidRPr="00750C80">
        <w:rPr>
          <w:rFonts w:ascii="Times New Roman" w:hAnsi="Times New Roman" w:cs="Times New Roman"/>
          <w:b/>
          <w:sz w:val="24"/>
          <w:szCs w:val="24"/>
        </w:rPr>
        <w:t xml:space="preserve">Tabela 1 – Estatísticas </w:t>
      </w:r>
      <w:r w:rsidR="00633D7C" w:rsidRPr="00750C80">
        <w:rPr>
          <w:rFonts w:ascii="Times New Roman" w:hAnsi="Times New Roman" w:cs="Times New Roman"/>
          <w:b/>
          <w:sz w:val="24"/>
          <w:szCs w:val="24"/>
        </w:rPr>
        <w:t>dos testes de hipótese de dados em painel</w:t>
      </w:r>
    </w:p>
    <w:p w14:paraId="2CA30BFB" w14:textId="77777777" w:rsidR="00633D7C" w:rsidRPr="00750C80" w:rsidRDefault="00633D7C" w:rsidP="00B70827">
      <w:pPr>
        <w:spacing w:after="0" w:line="240" w:lineRule="auto"/>
        <w:jc w:val="both"/>
        <w:rPr>
          <w:rFonts w:ascii="Times New Roman" w:hAnsi="Times New Roman" w:cs="Times New Roman"/>
          <w:b/>
          <w:sz w:val="24"/>
          <w:szCs w:val="24"/>
        </w:rPr>
      </w:pPr>
    </w:p>
    <w:tbl>
      <w:tblPr>
        <w:tblStyle w:val="Tabelacomgrade"/>
        <w:tblW w:w="9072" w:type="dxa"/>
        <w:tblInd w:w="108" w:type="dxa"/>
        <w:tblLook w:val="04A0" w:firstRow="1" w:lastRow="0" w:firstColumn="1" w:lastColumn="0" w:noHBand="0" w:noVBand="1"/>
      </w:tblPr>
      <w:tblGrid>
        <w:gridCol w:w="2037"/>
        <w:gridCol w:w="5759"/>
        <w:gridCol w:w="1276"/>
      </w:tblGrid>
      <w:tr w:rsidR="00B1696E" w:rsidRPr="00750C80" w14:paraId="77A7FE87" w14:textId="77777777" w:rsidTr="00633D7C">
        <w:tc>
          <w:tcPr>
            <w:tcW w:w="2037" w:type="dxa"/>
            <w:tcBorders>
              <w:top w:val="single" w:sz="4" w:space="0" w:color="auto"/>
              <w:left w:val="nil"/>
              <w:bottom w:val="single" w:sz="4" w:space="0" w:color="auto"/>
              <w:right w:val="nil"/>
            </w:tcBorders>
          </w:tcPr>
          <w:p w14:paraId="77A7FE84" w14:textId="77777777" w:rsidR="00B1696E" w:rsidRPr="00750C80" w:rsidRDefault="00B1696E" w:rsidP="00C978DF">
            <w:pPr>
              <w:jc w:val="center"/>
              <w:rPr>
                <w:rFonts w:ascii="Times New Roman" w:hAnsi="Times New Roman" w:cs="Times New Roman"/>
                <w:b/>
                <w:sz w:val="24"/>
                <w:szCs w:val="24"/>
              </w:rPr>
            </w:pPr>
            <w:r w:rsidRPr="00750C80">
              <w:rPr>
                <w:rFonts w:ascii="Times New Roman" w:hAnsi="Times New Roman" w:cs="Times New Roman"/>
                <w:b/>
                <w:sz w:val="24"/>
                <w:szCs w:val="24"/>
              </w:rPr>
              <w:t>Teste</w:t>
            </w:r>
          </w:p>
        </w:tc>
        <w:tc>
          <w:tcPr>
            <w:tcW w:w="5759" w:type="dxa"/>
            <w:tcBorders>
              <w:top w:val="single" w:sz="4" w:space="0" w:color="auto"/>
              <w:left w:val="nil"/>
              <w:bottom w:val="single" w:sz="4" w:space="0" w:color="auto"/>
              <w:right w:val="nil"/>
            </w:tcBorders>
          </w:tcPr>
          <w:p w14:paraId="77A7FE85" w14:textId="77777777" w:rsidR="00B1696E" w:rsidRPr="00750C80" w:rsidRDefault="00B1696E" w:rsidP="00C978DF">
            <w:pPr>
              <w:jc w:val="center"/>
              <w:rPr>
                <w:rFonts w:ascii="Times New Roman" w:hAnsi="Times New Roman" w:cs="Times New Roman"/>
                <w:b/>
                <w:sz w:val="24"/>
                <w:szCs w:val="24"/>
              </w:rPr>
            </w:pPr>
            <w:r w:rsidRPr="00750C80">
              <w:rPr>
                <w:rFonts w:ascii="Times New Roman" w:hAnsi="Times New Roman" w:cs="Times New Roman"/>
                <w:b/>
                <w:sz w:val="24"/>
                <w:szCs w:val="24"/>
              </w:rPr>
              <w:t>Tipo de diagnóstico</w:t>
            </w:r>
          </w:p>
        </w:tc>
        <w:tc>
          <w:tcPr>
            <w:tcW w:w="1276" w:type="dxa"/>
            <w:tcBorders>
              <w:top w:val="single" w:sz="4" w:space="0" w:color="auto"/>
              <w:left w:val="nil"/>
              <w:bottom w:val="single" w:sz="4" w:space="0" w:color="auto"/>
              <w:right w:val="nil"/>
            </w:tcBorders>
          </w:tcPr>
          <w:p w14:paraId="77A7FE86" w14:textId="77777777" w:rsidR="00B1696E" w:rsidRPr="00750C80" w:rsidRDefault="00B1696E" w:rsidP="00C978DF">
            <w:pPr>
              <w:jc w:val="center"/>
              <w:rPr>
                <w:rFonts w:ascii="Times New Roman" w:hAnsi="Times New Roman" w:cs="Times New Roman"/>
                <w:b/>
                <w:sz w:val="24"/>
                <w:szCs w:val="24"/>
              </w:rPr>
            </w:pPr>
            <w:r w:rsidRPr="00750C80">
              <w:rPr>
                <w:rFonts w:ascii="Times New Roman" w:hAnsi="Times New Roman" w:cs="Times New Roman"/>
                <w:b/>
                <w:sz w:val="24"/>
                <w:szCs w:val="24"/>
              </w:rPr>
              <w:t>p-valor</w:t>
            </w:r>
          </w:p>
        </w:tc>
      </w:tr>
      <w:tr w:rsidR="00B1696E" w:rsidRPr="00750C80" w14:paraId="77A7FE8B" w14:textId="77777777" w:rsidTr="00633D7C">
        <w:tc>
          <w:tcPr>
            <w:tcW w:w="2037" w:type="dxa"/>
            <w:tcBorders>
              <w:top w:val="single" w:sz="4" w:space="0" w:color="auto"/>
              <w:left w:val="nil"/>
              <w:bottom w:val="nil"/>
              <w:right w:val="nil"/>
            </w:tcBorders>
          </w:tcPr>
          <w:p w14:paraId="77A7FE88"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b/>
                <w:sz w:val="24"/>
                <w:szCs w:val="24"/>
              </w:rPr>
              <w:t>Chow</w:t>
            </w:r>
          </w:p>
        </w:tc>
        <w:tc>
          <w:tcPr>
            <w:tcW w:w="5759" w:type="dxa"/>
            <w:tcBorders>
              <w:top w:val="single" w:sz="4" w:space="0" w:color="auto"/>
              <w:left w:val="nil"/>
              <w:bottom w:val="nil"/>
              <w:right w:val="nil"/>
            </w:tcBorders>
          </w:tcPr>
          <w:p w14:paraId="77A7FE89"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Testar eficiência entre modelo Pooled e Efeitos Fixos</w:t>
            </w:r>
          </w:p>
        </w:tc>
        <w:tc>
          <w:tcPr>
            <w:tcW w:w="1276" w:type="dxa"/>
            <w:tcBorders>
              <w:top w:val="single" w:sz="4" w:space="0" w:color="auto"/>
              <w:left w:val="nil"/>
              <w:bottom w:val="nil"/>
              <w:right w:val="nil"/>
            </w:tcBorders>
          </w:tcPr>
          <w:p w14:paraId="77A7FE8A"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0,000</w:t>
            </w:r>
          </w:p>
        </w:tc>
      </w:tr>
      <w:tr w:rsidR="00B1696E" w:rsidRPr="00750C80" w14:paraId="77A7FE8F" w14:textId="77777777" w:rsidTr="00633D7C">
        <w:tc>
          <w:tcPr>
            <w:tcW w:w="2037" w:type="dxa"/>
            <w:tcBorders>
              <w:top w:val="nil"/>
              <w:left w:val="nil"/>
              <w:bottom w:val="nil"/>
              <w:right w:val="nil"/>
            </w:tcBorders>
          </w:tcPr>
          <w:p w14:paraId="77A7FE8C" w14:textId="4A3766BF" w:rsidR="00B1696E" w:rsidRPr="00750C80" w:rsidRDefault="00B1696E" w:rsidP="00C978DF">
            <w:pPr>
              <w:jc w:val="center"/>
              <w:rPr>
                <w:rFonts w:ascii="Times New Roman" w:hAnsi="Times New Roman" w:cs="Times New Roman"/>
                <w:b/>
                <w:sz w:val="24"/>
                <w:szCs w:val="24"/>
              </w:rPr>
            </w:pPr>
            <w:r w:rsidRPr="00750C80">
              <w:rPr>
                <w:rFonts w:ascii="Times New Roman" w:hAnsi="Times New Roman" w:cs="Times New Roman"/>
                <w:b/>
                <w:sz w:val="24"/>
                <w:szCs w:val="24"/>
              </w:rPr>
              <w:t>Breusch-Pagan</w:t>
            </w:r>
            <w:r w:rsidR="0045760B" w:rsidRPr="00750C80">
              <w:rPr>
                <w:rFonts w:ascii="Times New Roman" w:hAnsi="Times New Roman" w:cs="Times New Roman"/>
                <w:b/>
                <w:sz w:val="24"/>
                <w:szCs w:val="24"/>
              </w:rPr>
              <w:t xml:space="preserve"> (1980)</w:t>
            </w:r>
          </w:p>
        </w:tc>
        <w:tc>
          <w:tcPr>
            <w:tcW w:w="5759" w:type="dxa"/>
            <w:tcBorders>
              <w:top w:val="nil"/>
              <w:left w:val="nil"/>
              <w:bottom w:val="nil"/>
              <w:right w:val="nil"/>
            </w:tcBorders>
          </w:tcPr>
          <w:p w14:paraId="77A7FE8D"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Testar a eficiência entre modelo Pooled e Efeitos Aleatórios</w:t>
            </w:r>
          </w:p>
        </w:tc>
        <w:tc>
          <w:tcPr>
            <w:tcW w:w="1276" w:type="dxa"/>
            <w:tcBorders>
              <w:top w:val="nil"/>
              <w:left w:val="nil"/>
              <w:bottom w:val="nil"/>
              <w:right w:val="nil"/>
            </w:tcBorders>
          </w:tcPr>
          <w:p w14:paraId="77A7FE8E"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0,000</w:t>
            </w:r>
          </w:p>
        </w:tc>
      </w:tr>
      <w:tr w:rsidR="00B1696E" w:rsidRPr="00750C80" w14:paraId="77A7FE93" w14:textId="77777777" w:rsidTr="00633D7C">
        <w:tc>
          <w:tcPr>
            <w:tcW w:w="2037" w:type="dxa"/>
            <w:tcBorders>
              <w:top w:val="nil"/>
              <w:left w:val="nil"/>
              <w:bottom w:val="nil"/>
              <w:right w:val="nil"/>
            </w:tcBorders>
          </w:tcPr>
          <w:p w14:paraId="77A7FE90" w14:textId="4A6D9251"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b/>
                <w:sz w:val="24"/>
                <w:szCs w:val="24"/>
              </w:rPr>
              <w:t>Mundlak</w:t>
            </w:r>
            <w:r w:rsidR="0045760B" w:rsidRPr="00750C80">
              <w:rPr>
                <w:rFonts w:ascii="Times New Roman" w:hAnsi="Times New Roman" w:cs="Times New Roman"/>
                <w:b/>
                <w:sz w:val="24"/>
                <w:szCs w:val="24"/>
              </w:rPr>
              <w:t xml:space="preserve"> (1978)</w:t>
            </w:r>
          </w:p>
        </w:tc>
        <w:tc>
          <w:tcPr>
            <w:tcW w:w="5759" w:type="dxa"/>
            <w:tcBorders>
              <w:top w:val="nil"/>
              <w:left w:val="nil"/>
              <w:bottom w:val="nil"/>
              <w:right w:val="nil"/>
            </w:tcBorders>
          </w:tcPr>
          <w:p w14:paraId="77A7FE91"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Testar eficiência entre modelo de Efeitos Aleatórios e Efeitos Fixos</w:t>
            </w:r>
          </w:p>
        </w:tc>
        <w:tc>
          <w:tcPr>
            <w:tcW w:w="1276" w:type="dxa"/>
            <w:tcBorders>
              <w:top w:val="nil"/>
              <w:left w:val="nil"/>
              <w:bottom w:val="nil"/>
              <w:right w:val="nil"/>
            </w:tcBorders>
          </w:tcPr>
          <w:p w14:paraId="77A7FE92"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0,000</w:t>
            </w:r>
          </w:p>
        </w:tc>
      </w:tr>
      <w:tr w:rsidR="00B1696E" w:rsidRPr="00750C80" w14:paraId="77A7FE97" w14:textId="77777777" w:rsidTr="00633D7C">
        <w:tc>
          <w:tcPr>
            <w:tcW w:w="2037" w:type="dxa"/>
            <w:tcBorders>
              <w:top w:val="nil"/>
              <w:left w:val="nil"/>
              <w:bottom w:val="nil"/>
              <w:right w:val="nil"/>
            </w:tcBorders>
          </w:tcPr>
          <w:p w14:paraId="77A7FE94"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b/>
                <w:sz w:val="24"/>
                <w:szCs w:val="24"/>
              </w:rPr>
              <w:t>Wooldridge (2002)</w:t>
            </w:r>
          </w:p>
        </w:tc>
        <w:tc>
          <w:tcPr>
            <w:tcW w:w="5759" w:type="dxa"/>
            <w:tcBorders>
              <w:top w:val="nil"/>
              <w:left w:val="nil"/>
              <w:bottom w:val="nil"/>
              <w:right w:val="nil"/>
            </w:tcBorders>
          </w:tcPr>
          <w:p w14:paraId="77A7FE95"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Autocorrelação em Painel</w:t>
            </w:r>
          </w:p>
        </w:tc>
        <w:tc>
          <w:tcPr>
            <w:tcW w:w="1276" w:type="dxa"/>
            <w:tcBorders>
              <w:top w:val="nil"/>
              <w:left w:val="nil"/>
              <w:bottom w:val="nil"/>
              <w:right w:val="nil"/>
            </w:tcBorders>
          </w:tcPr>
          <w:p w14:paraId="77A7FE96"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0,002</w:t>
            </w:r>
          </w:p>
        </w:tc>
      </w:tr>
      <w:tr w:rsidR="00B1696E" w:rsidRPr="00750C80" w14:paraId="77A7FE9B" w14:textId="77777777" w:rsidTr="00633D7C">
        <w:tc>
          <w:tcPr>
            <w:tcW w:w="2037" w:type="dxa"/>
            <w:tcBorders>
              <w:top w:val="nil"/>
              <w:left w:val="nil"/>
              <w:bottom w:val="nil"/>
              <w:right w:val="nil"/>
            </w:tcBorders>
          </w:tcPr>
          <w:p w14:paraId="77A7FE98"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b/>
                <w:sz w:val="24"/>
                <w:szCs w:val="24"/>
              </w:rPr>
              <w:t>Pesaran (2004)</w:t>
            </w:r>
          </w:p>
        </w:tc>
        <w:tc>
          <w:tcPr>
            <w:tcW w:w="5759" w:type="dxa"/>
            <w:tcBorders>
              <w:top w:val="nil"/>
              <w:left w:val="nil"/>
              <w:bottom w:val="nil"/>
              <w:right w:val="nil"/>
            </w:tcBorders>
          </w:tcPr>
          <w:p w14:paraId="77A7FE99"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Correlação Contemporânea (EF)</w:t>
            </w:r>
          </w:p>
        </w:tc>
        <w:tc>
          <w:tcPr>
            <w:tcW w:w="1276" w:type="dxa"/>
            <w:tcBorders>
              <w:top w:val="nil"/>
              <w:left w:val="nil"/>
              <w:bottom w:val="nil"/>
              <w:right w:val="nil"/>
            </w:tcBorders>
          </w:tcPr>
          <w:p w14:paraId="77A7FE9A"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0,059</w:t>
            </w:r>
          </w:p>
        </w:tc>
      </w:tr>
      <w:tr w:rsidR="00B1696E" w:rsidRPr="00750C80" w14:paraId="77A7FE9F" w14:textId="77777777" w:rsidTr="00633D7C">
        <w:tc>
          <w:tcPr>
            <w:tcW w:w="2037" w:type="dxa"/>
            <w:tcBorders>
              <w:top w:val="nil"/>
              <w:left w:val="nil"/>
              <w:bottom w:val="single" w:sz="4" w:space="0" w:color="auto"/>
              <w:right w:val="nil"/>
            </w:tcBorders>
          </w:tcPr>
          <w:p w14:paraId="77A7FE9C"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b/>
                <w:sz w:val="24"/>
                <w:szCs w:val="24"/>
              </w:rPr>
              <w:t>Wald</w:t>
            </w:r>
          </w:p>
        </w:tc>
        <w:tc>
          <w:tcPr>
            <w:tcW w:w="5759" w:type="dxa"/>
            <w:tcBorders>
              <w:top w:val="nil"/>
              <w:left w:val="nil"/>
              <w:bottom w:val="single" w:sz="4" w:space="0" w:color="auto"/>
              <w:right w:val="nil"/>
            </w:tcBorders>
          </w:tcPr>
          <w:p w14:paraId="77A7FE9D"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Heterocedasticidade</w:t>
            </w:r>
          </w:p>
        </w:tc>
        <w:tc>
          <w:tcPr>
            <w:tcW w:w="1276" w:type="dxa"/>
            <w:tcBorders>
              <w:top w:val="nil"/>
              <w:left w:val="nil"/>
              <w:bottom w:val="single" w:sz="4" w:space="0" w:color="auto"/>
              <w:right w:val="nil"/>
            </w:tcBorders>
          </w:tcPr>
          <w:p w14:paraId="77A7FE9E" w14:textId="77777777" w:rsidR="00B1696E" w:rsidRPr="00750C80" w:rsidRDefault="00B1696E" w:rsidP="00C978DF">
            <w:pPr>
              <w:jc w:val="center"/>
              <w:rPr>
                <w:rFonts w:ascii="Times New Roman" w:hAnsi="Times New Roman" w:cs="Times New Roman"/>
                <w:sz w:val="24"/>
                <w:szCs w:val="24"/>
              </w:rPr>
            </w:pPr>
            <w:r w:rsidRPr="00750C80">
              <w:rPr>
                <w:rFonts w:ascii="Times New Roman" w:hAnsi="Times New Roman" w:cs="Times New Roman"/>
                <w:sz w:val="24"/>
                <w:szCs w:val="24"/>
              </w:rPr>
              <w:t>0,000</w:t>
            </w:r>
          </w:p>
        </w:tc>
      </w:tr>
    </w:tbl>
    <w:p w14:paraId="258B341B" w14:textId="77777777" w:rsidR="00633D7C" w:rsidRDefault="00633D7C" w:rsidP="00C978DF">
      <w:pPr>
        <w:spacing w:after="0" w:line="360" w:lineRule="auto"/>
        <w:jc w:val="both"/>
        <w:rPr>
          <w:rFonts w:ascii="Times New Roman" w:hAnsi="Times New Roman" w:cs="Times New Roman"/>
          <w:sz w:val="20"/>
          <w:szCs w:val="20"/>
        </w:rPr>
      </w:pPr>
    </w:p>
    <w:p w14:paraId="77A7FEA0" w14:textId="53F628E1" w:rsidR="00B1696E" w:rsidRPr="00750C80" w:rsidRDefault="00B1696E" w:rsidP="00C978DF">
      <w:pPr>
        <w:spacing w:after="0" w:line="360" w:lineRule="auto"/>
        <w:jc w:val="both"/>
        <w:rPr>
          <w:rFonts w:ascii="Times New Roman" w:hAnsi="Times New Roman" w:cs="Times New Roman"/>
          <w:sz w:val="20"/>
          <w:szCs w:val="20"/>
        </w:rPr>
      </w:pPr>
      <w:r w:rsidRPr="00750C80">
        <w:rPr>
          <w:rFonts w:ascii="Times New Roman" w:hAnsi="Times New Roman" w:cs="Times New Roman"/>
          <w:sz w:val="20"/>
          <w:szCs w:val="20"/>
        </w:rPr>
        <w:t>Fonte: Elaboração Própria</w:t>
      </w:r>
      <w:r w:rsidR="00B70827" w:rsidRPr="00750C80">
        <w:rPr>
          <w:rFonts w:ascii="Times New Roman" w:hAnsi="Times New Roman" w:cs="Times New Roman"/>
          <w:sz w:val="20"/>
          <w:szCs w:val="20"/>
        </w:rPr>
        <w:t>.</w:t>
      </w:r>
    </w:p>
    <w:p w14:paraId="77A7FEA1" w14:textId="77777777" w:rsidR="00B1696E" w:rsidRPr="00750C80" w:rsidRDefault="00B1696E" w:rsidP="00C978DF">
      <w:pPr>
        <w:spacing w:after="0" w:line="360" w:lineRule="auto"/>
        <w:jc w:val="both"/>
        <w:rPr>
          <w:rFonts w:ascii="Times New Roman" w:hAnsi="Times New Roman" w:cs="Times New Roman"/>
          <w:sz w:val="24"/>
          <w:szCs w:val="24"/>
        </w:rPr>
      </w:pPr>
    </w:p>
    <w:p w14:paraId="77A7FEA2" w14:textId="77777777" w:rsidR="00397DD6" w:rsidRPr="00750C80" w:rsidRDefault="00671563"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A Tabela 1 que indica a</w:t>
      </w:r>
      <w:r w:rsidR="0010158E" w:rsidRPr="00750C80">
        <w:rPr>
          <w:rFonts w:ascii="Times New Roman" w:hAnsi="Times New Roman" w:cs="Times New Roman"/>
          <w:sz w:val="24"/>
          <w:szCs w:val="24"/>
        </w:rPr>
        <w:t xml:space="preserve"> decisão sobre melhor adequação do modelo </w:t>
      </w:r>
      <w:r w:rsidR="0010158E" w:rsidRPr="00750C80">
        <w:rPr>
          <w:rFonts w:ascii="Times New Roman" w:hAnsi="Times New Roman" w:cs="Times New Roman"/>
          <w:i/>
          <w:sz w:val="24"/>
          <w:szCs w:val="24"/>
        </w:rPr>
        <w:t>pooled</w:t>
      </w:r>
      <w:r w:rsidR="0010158E" w:rsidRPr="00750C80">
        <w:rPr>
          <w:rFonts w:ascii="Times New Roman" w:hAnsi="Times New Roman" w:cs="Times New Roman"/>
          <w:sz w:val="24"/>
          <w:szCs w:val="24"/>
        </w:rPr>
        <w:t xml:space="preserve"> ou por efeitos fixos foi tomada pelo Teste Chow, o qual indicou </w:t>
      </w:r>
      <w:r w:rsidR="0010158E" w:rsidRPr="00750C80">
        <w:rPr>
          <w:rFonts w:ascii="Times New Roman" w:hAnsi="Times New Roman" w:cs="Times New Roman"/>
          <w:i/>
          <w:sz w:val="24"/>
          <w:szCs w:val="24"/>
        </w:rPr>
        <w:t>p</w:t>
      </w:r>
      <w:r w:rsidR="0010158E" w:rsidRPr="00750C80">
        <w:rPr>
          <w:rFonts w:ascii="Times New Roman" w:hAnsi="Times New Roman" w:cs="Times New Roman"/>
          <w:sz w:val="24"/>
          <w:szCs w:val="24"/>
        </w:rPr>
        <w:t xml:space="preserve">-valor 0,000. Implica-se, pois, rejeição da hipótese nula da melhor adequação do modelo </w:t>
      </w:r>
      <w:r w:rsidR="0010158E" w:rsidRPr="00750C80">
        <w:rPr>
          <w:rFonts w:ascii="Times New Roman" w:hAnsi="Times New Roman" w:cs="Times New Roman"/>
          <w:i/>
          <w:sz w:val="24"/>
          <w:szCs w:val="24"/>
        </w:rPr>
        <w:t>pooled</w:t>
      </w:r>
      <w:r w:rsidR="0010158E" w:rsidRPr="00750C80">
        <w:rPr>
          <w:rFonts w:ascii="Times New Roman" w:hAnsi="Times New Roman" w:cs="Times New Roman"/>
          <w:sz w:val="24"/>
          <w:szCs w:val="24"/>
        </w:rPr>
        <w:t xml:space="preserve">, com significância de 1%. </w:t>
      </w:r>
    </w:p>
    <w:p w14:paraId="77A7FEA3" w14:textId="4655493D" w:rsidR="00777C20" w:rsidRPr="00750C80" w:rsidRDefault="0010158E"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Na comparação de eficiência entre </w:t>
      </w:r>
      <w:r w:rsidRPr="00750C80">
        <w:rPr>
          <w:rFonts w:ascii="Times New Roman" w:hAnsi="Times New Roman" w:cs="Times New Roman"/>
          <w:i/>
          <w:sz w:val="24"/>
          <w:szCs w:val="24"/>
        </w:rPr>
        <w:t>pooled</w:t>
      </w:r>
      <w:r w:rsidRPr="00750C80">
        <w:rPr>
          <w:rFonts w:ascii="Times New Roman" w:hAnsi="Times New Roman" w:cs="Times New Roman"/>
          <w:sz w:val="24"/>
          <w:szCs w:val="24"/>
        </w:rPr>
        <w:t xml:space="preserve"> ou efeitos aleatórios, foi </w:t>
      </w:r>
      <w:r w:rsidR="00B44734" w:rsidRPr="00750C80">
        <w:rPr>
          <w:rFonts w:ascii="Times New Roman" w:hAnsi="Times New Roman" w:cs="Times New Roman"/>
          <w:sz w:val="24"/>
          <w:szCs w:val="24"/>
        </w:rPr>
        <w:t xml:space="preserve">realizado </w:t>
      </w:r>
      <w:r w:rsidRPr="00750C80">
        <w:rPr>
          <w:rFonts w:ascii="Times New Roman" w:hAnsi="Times New Roman" w:cs="Times New Roman"/>
          <w:sz w:val="24"/>
          <w:szCs w:val="24"/>
        </w:rPr>
        <w:t xml:space="preserve">o Teste Breusch-Pagan, o </w:t>
      </w:r>
      <w:r w:rsidRPr="00750C80">
        <w:rPr>
          <w:rFonts w:ascii="Times New Roman" w:hAnsi="Times New Roman" w:cs="Times New Roman"/>
          <w:i/>
          <w:sz w:val="24"/>
          <w:szCs w:val="24"/>
        </w:rPr>
        <w:t>p</w:t>
      </w:r>
      <w:r w:rsidRPr="00750C80">
        <w:rPr>
          <w:rFonts w:ascii="Times New Roman" w:hAnsi="Times New Roman" w:cs="Times New Roman"/>
          <w:sz w:val="24"/>
          <w:szCs w:val="24"/>
        </w:rPr>
        <w:t xml:space="preserve">-valor foi de 0,000. De tal modo, rejeita-se a hipótese nula de que </w:t>
      </w:r>
      <w:r w:rsidRPr="00750C80">
        <w:rPr>
          <w:rFonts w:ascii="Times New Roman" w:hAnsi="Times New Roman" w:cs="Times New Roman"/>
          <w:i/>
          <w:sz w:val="24"/>
          <w:szCs w:val="24"/>
        </w:rPr>
        <w:t>pooled</w:t>
      </w:r>
      <w:r w:rsidRPr="00750C80">
        <w:rPr>
          <w:rFonts w:ascii="Times New Roman" w:hAnsi="Times New Roman" w:cs="Times New Roman"/>
          <w:sz w:val="24"/>
          <w:szCs w:val="24"/>
        </w:rPr>
        <w:t xml:space="preserve"> é mais eficiente </w:t>
      </w:r>
      <w:r w:rsidR="00B44734" w:rsidRPr="00750C80">
        <w:rPr>
          <w:rFonts w:ascii="Times New Roman" w:hAnsi="Times New Roman" w:cs="Times New Roman"/>
          <w:sz w:val="24"/>
          <w:szCs w:val="24"/>
        </w:rPr>
        <w:t xml:space="preserve">do </w:t>
      </w:r>
      <w:r w:rsidRPr="00750C80">
        <w:rPr>
          <w:rFonts w:ascii="Times New Roman" w:hAnsi="Times New Roman" w:cs="Times New Roman"/>
          <w:sz w:val="24"/>
          <w:szCs w:val="24"/>
        </w:rPr>
        <w:t>que</w:t>
      </w:r>
      <w:r w:rsidR="00B44734" w:rsidRPr="00750C80">
        <w:rPr>
          <w:rFonts w:ascii="Times New Roman" w:hAnsi="Times New Roman" w:cs="Times New Roman"/>
          <w:sz w:val="24"/>
          <w:szCs w:val="24"/>
        </w:rPr>
        <w:t xml:space="preserve"> o modelo com</w:t>
      </w:r>
      <w:r w:rsidRPr="00750C80">
        <w:rPr>
          <w:rFonts w:ascii="Times New Roman" w:hAnsi="Times New Roman" w:cs="Times New Roman"/>
          <w:sz w:val="24"/>
          <w:szCs w:val="24"/>
        </w:rPr>
        <w:t xml:space="preserve"> efeitos aleatórios, com nível de significância de 1%. Por conseguinte, foi o utilizado o Teste de Mundlak para definir a melhor escolha sobre eficiência do modelo por efeitos fixos ou aleatórios. O </w:t>
      </w:r>
      <w:r w:rsidRPr="00750C80">
        <w:rPr>
          <w:rFonts w:ascii="Times New Roman" w:hAnsi="Times New Roman" w:cs="Times New Roman"/>
          <w:i/>
          <w:sz w:val="24"/>
          <w:szCs w:val="24"/>
        </w:rPr>
        <w:t>p</w:t>
      </w:r>
      <w:r w:rsidR="005A102C" w:rsidRPr="00750C80">
        <w:rPr>
          <w:rFonts w:ascii="Times New Roman" w:hAnsi="Times New Roman" w:cs="Times New Roman"/>
          <w:sz w:val="24"/>
          <w:szCs w:val="24"/>
        </w:rPr>
        <w:t>-valor</w:t>
      </w:r>
      <w:r w:rsidRPr="00750C80">
        <w:rPr>
          <w:rFonts w:ascii="Times New Roman" w:hAnsi="Times New Roman" w:cs="Times New Roman"/>
          <w:sz w:val="24"/>
          <w:szCs w:val="24"/>
        </w:rPr>
        <w:t xml:space="preserve"> 0,000 a nível de 1% de sign</w:t>
      </w:r>
      <w:r w:rsidR="00B44734" w:rsidRPr="00750C80">
        <w:rPr>
          <w:rFonts w:ascii="Times New Roman" w:hAnsi="Times New Roman" w:cs="Times New Roman"/>
          <w:sz w:val="24"/>
          <w:szCs w:val="24"/>
        </w:rPr>
        <w:t>ificância</w:t>
      </w:r>
      <w:r w:rsidRPr="00750C80">
        <w:rPr>
          <w:rFonts w:ascii="Times New Roman" w:hAnsi="Times New Roman" w:cs="Times New Roman"/>
          <w:sz w:val="24"/>
          <w:szCs w:val="24"/>
        </w:rPr>
        <w:t xml:space="preserve"> levou a rejeitar a hipótese nula do modelo por efeitos aleatórios ser o mais indicado para a regressão, indicando, então, o efeito fixo.</w:t>
      </w:r>
    </w:p>
    <w:p w14:paraId="77A7FEA4" w14:textId="0207576B" w:rsidR="005917F8" w:rsidRDefault="00916E17"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Em relação à verificação de correlação serial, recorreu-se ao Teste Wooldridge</w:t>
      </w:r>
      <w:r w:rsidR="002539C1" w:rsidRPr="00750C80">
        <w:rPr>
          <w:rFonts w:ascii="Times New Roman" w:hAnsi="Times New Roman" w:cs="Times New Roman"/>
          <w:sz w:val="24"/>
          <w:szCs w:val="24"/>
        </w:rPr>
        <w:t xml:space="preserve"> (2002)</w:t>
      </w:r>
      <w:r w:rsidR="00633D7C">
        <w:rPr>
          <w:rFonts w:ascii="Times New Roman" w:hAnsi="Times New Roman" w:cs="Times New Roman"/>
          <w:sz w:val="24"/>
          <w:szCs w:val="24"/>
        </w:rPr>
        <w:t xml:space="preserve"> o qual indicou p-valor de 0,</w:t>
      </w:r>
      <w:r w:rsidRPr="00750C80">
        <w:rPr>
          <w:rFonts w:ascii="Times New Roman" w:hAnsi="Times New Roman" w:cs="Times New Roman"/>
          <w:sz w:val="24"/>
          <w:szCs w:val="24"/>
        </w:rPr>
        <w:t>00</w:t>
      </w:r>
      <w:r w:rsidR="00671563" w:rsidRPr="00750C80">
        <w:rPr>
          <w:rFonts w:ascii="Times New Roman" w:hAnsi="Times New Roman" w:cs="Times New Roman"/>
          <w:sz w:val="24"/>
          <w:szCs w:val="24"/>
        </w:rPr>
        <w:t>2</w:t>
      </w:r>
      <w:r w:rsidRPr="00750C80">
        <w:rPr>
          <w:rFonts w:ascii="Times New Roman" w:hAnsi="Times New Roman" w:cs="Times New Roman"/>
          <w:sz w:val="24"/>
          <w:szCs w:val="24"/>
        </w:rPr>
        <w:t xml:space="preserve"> o que implica evidência estatística para rejeição da hipótese </w:t>
      </w:r>
      <w:r w:rsidRPr="00750C80">
        <w:rPr>
          <w:rFonts w:ascii="Times New Roman" w:hAnsi="Times New Roman" w:cs="Times New Roman"/>
          <w:sz w:val="24"/>
          <w:szCs w:val="24"/>
        </w:rPr>
        <w:lastRenderedPageBreak/>
        <w:t>nula de não autocorrelação. A realização do Teste Wald sustenta a afirmação de não existência de heterocedasticidade de grupo no pain</w:t>
      </w:r>
      <w:r w:rsidR="00DF11E5" w:rsidRPr="00750C80">
        <w:rPr>
          <w:rFonts w:ascii="Times New Roman" w:hAnsi="Times New Roman" w:cs="Times New Roman"/>
          <w:sz w:val="24"/>
          <w:szCs w:val="24"/>
        </w:rPr>
        <w:t xml:space="preserve">el, </w:t>
      </w:r>
      <w:r w:rsidR="0057427B" w:rsidRPr="00750C80">
        <w:rPr>
          <w:rFonts w:ascii="Times New Roman" w:hAnsi="Times New Roman" w:cs="Times New Roman"/>
          <w:sz w:val="24"/>
          <w:szCs w:val="24"/>
        </w:rPr>
        <w:t>não sendo</w:t>
      </w:r>
      <w:r w:rsidR="00DF11E5" w:rsidRPr="00750C80">
        <w:rPr>
          <w:rFonts w:ascii="Times New Roman" w:hAnsi="Times New Roman" w:cs="Times New Roman"/>
          <w:sz w:val="24"/>
          <w:szCs w:val="24"/>
        </w:rPr>
        <w:t xml:space="preserve"> possível</w:t>
      </w:r>
      <w:r w:rsidRPr="00750C80">
        <w:rPr>
          <w:rFonts w:ascii="Times New Roman" w:hAnsi="Times New Roman" w:cs="Times New Roman"/>
          <w:sz w:val="24"/>
          <w:szCs w:val="24"/>
        </w:rPr>
        <w:t xml:space="preserve"> rejeitar a hipótese H0</w:t>
      </w:r>
      <w:r w:rsidR="00DF11E5" w:rsidRPr="00750C80">
        <w:rPr>
          <w:rFonts w:ascii="Times New Roman" w:hAnsi="Times New Roman" w:cs="Times New Roman"/>
          <w:sz w:val="24"/>
          <w:szCs w:val="24"/>
        </w:rPr>
        <w:t xml:space="preserve">, </w:t>
      </w:r>
      <w:r w:rsidR="0057427B" w:rsidRPr="00750C80">
        <w:rPr>
          <w:rFonts w:ascii="Times New Roman" w:hAnsi="Times New Roman" w:cs="Times New Roman"/>
          <w:sz w:val="24"/>
          <w:szCs w:val="24"/>
        </w:rPr>
        <w:t>o que implica</w:t>
      </w:r>
      <w:r w:rsidR="00DF11E5" w:rsidRPr="00750C80">
        <w:rPr>
          <w:rFonts w:ascii="Times New Roman" w:hAnsi="Times New Roman" w:cs="Times New Roman"/>
          <w:sz w:val="24"/>
          <w:szCs w:val="24"/>
        </w:rPr>
        <w:t xml:space="preserve"> presença de heterocedasticidade</w:t>
      </w:r>
      <w:r w:rsidRPr="00750C80">
        <w:rPr>
          <w:rFonts w:ascii="Times New Roman" w:hAnsi="Times New Roman" w:cs="Times New Roman"/>
          <w:sz w:val="24"/>
          <w:szCs w:val="24"/>
        </w:rPr>
        <w:t xml:space="preserve">. Por sua vez, o </w:t>
      </w:r>
      <w:r w:rsidR="002539C1" w:rsidRPr="00750C80">
        <w:rPr>
          <w:rFonts w:ascii="Times New Roman" w:hAnsi="Times New Roman" w:cs="Times New Roman"/>
          <w:sz w:val="24"/>
          <w:szCs w:val="24"/>
        </w:rPr>
        <w:t>T</w:t>
      </w:r>
      <w:r w:rsidRPr="00750C80">
        <w:rPr>
          <w:rFonts w:ascii="Times New Roman" w:hAnsi="Times New Roman" w:cs="Times New Roman"/>
          <w:sz w:val="24"/>
          <w:szCs w:val="24"/>
        </w:rPr>
        <w:t>este Pesaran</w:t>
      </w:r>
      <w:r w:rsidR="002539C1" w:rsidRPr="00750C80">
        <w:rPr>
          <w:rFonts w:ascii="Times New Roman" w:hAnsi="Times New Roman" w:cs="Times New Roman"/>
          <w:sz w:val="24"/>
          <w:szCs w:val="24"/>
        </w:rPr>
        <w:t xml:space="preserve"> (2004)</w:t>
      </w:r>
      <w:r w:rsidRPr="00750C80">
        <w:rPr>
          <w:rFonts w:ascii="Times New Roman" w:hAnsi="Times New Roman" w:cs="Times New Roman"/>
          <w:sz w:val="24"/>
          <w:szCs w:val="24"/>
        </w:rPr>
        <w:t xml:space="preserve"> indicou p-valor 0,0</w:t>
      </w:r>
      <w:r w:rsidR="00671563" w:rsidRPr="00750C80">
        <w:rPr>
          <w:rFonts w:ascii="Times New Roman" w:hAnsi="Times New Roman" w:cs="Times New Roman"/>
          <w:sz w:val="24"/>
          <w:szCs w:val="24"/>
        </w:rPr>
        <w:t>59</w:t>
      </w:r>
      <w:r w:rsidRPr="00750C80">
        <w:rPr>
          <w:rFonts w:ascii="Times New Roman" w:hAnsi="Times New Roman" w:cs="Times New Roman"/>
          <w:sz w:val="24"/>
          <w:szCs w:val="24"/>
        </w:rPr>
        <w:t xml:space="preserve"> o que implica afirmar a comprovação estatística da existência do problema de correlação contemporânea no modelo</w:t>
      </w:r>
      <w:r w:rsidR="00C834EC" w:rsidRPr="00750C80">
        <w:rPr>
          <w:rFonts w:ascii="Times New Roman" w:hAnsi="Times New Roman" w:cs="Times New Roman"/>
          <w:sz w:val="24"/>
          <w:szCs w:val="24"/>
        </w:rPr>
        <w:t xml:space="preserve"> sendo assim, recorreu-se ao estimador de Mínimos Quadrados Generalizados Factíveis (MQGF) para painel, com fins de minimizar os problemas supracitados, cujas estimativas dispõem-se a seguir na Tabela 2.</w:t>
      </w:r>
    </w:p>
    <w:p w14:paraId="6EB14609" w14:textId="77777777" w:rsidR="00633D7C" w:rsidRPr="00750C80" w:rsidRDefault="00633D7C" w:rsidP="00C978DF">
      <w:pPr>
        <w:spacing w:after="0" w:line="360" w:lineRule="auto"/>
        <w:jc w:val="both"/>
        <w:rPr>
          <w:rFonts w:ascii="Times New Roman" w:hAnsi="Times New Roman" w:cs="Times New Roman"/>
          <w:sz w:val="24"/>
          <w:szCs w:val="24"/>
        </w:rPr>
      </w:pPr>
    </w:p>
    <w:p w14:paraId="137BD9A7" w14:textId="4FCA94BB" w:rsidR="00633D7C" w:rsidRDefault="00633D7C" w:rsidP="00633D7C">
      <w:pPr>
        <w:pBdr>
          <w:bottom w:val="single" w:sz="4" w:space="12" w:color="auto"/>
        </w:pBdr>
        <w:spacing w:after="0" w:line="240" w:lineRule="auto"/>
        <w:jc w:val="both"/>
        <w:rPr>
          <w:rFonts w:ascii="Times New Roman" w:hAnsi="Times New Roman" w:cs="Times New Roman"/>
          <w:b/>
          <w:sz w:val="24"/>
          <w:szCs w:val="24"/>
        </w:rPr>
      </w:pPr>
      <w:r w:rsidRPr="00C978DF">
        <w:rPr>
          <w:rFonts w:ascii="Times New Roman" w:hAnsi="Times New Roman" w:cs="Times New Roman"/>
          <w:b/>
          <w:sz w:val="24"/>
          <w:szCs w:val="24"/>
        </w:rPr>
        <w:t>Tabela 2 – Regressão em dados em painel corrigida</w:t>
      </w:r>
    </w:p>
    <w:p w14:paraId="29B8B29C" w14:textId="77777777" w:rsidR="00633D7C" w:rsidRPr="00633D7C" w:rsidRDefault="00633D7C" w:rsidP="00633D7C">
      <w:pPr>
        <w:pBdr>
          <w:bottom w:val="single" w:sz="4" w:space="12" w:color="auto"/>
        </w:pBdr>
        <w:spacing w:after="0" w:line="240" w:lineRule="auto"/>
        <w:jc w:val="both"/>
        <w:rPr>
          <w:rFonts w:ascii="Times New Roman" w:hAnsi="Times New Roman" w:cs="Times New Roman"/>
          <w:b/>
          <w:sz w:val="16"/>
          <w:szCs w:val="16"/>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83"/>
        <w:gridCol w:w="4587"/>
      </w:tblGrid>
      <w:tr w:rsidR="00633D7C" w14:paraId="470B65A1" w14:textId="77777777" w:rsidTr="00AA3EE3">
        <w:trPr>
          <w:trHeight w:val="20"/>
          <w:jc w:val="center"/>
        </w:trPr>
        <w:tc>
          <w:tcPr>
            <w:tcW w:w="4483" w:type="dxa"/>
            <w:tcBorders>
              <w:bottom w:val="single" w:sz="4" w:space="0" w:color="auto"/>
            </w:tcBorders>
            <w:vAlign w:val="center"/>
          </w:tcPr>
          <w:p w14:paraId="351181E3" w14:textId="77777777" w:rsidR="00633D7C" w:rsidRDefault="00633D7C" w:rsidP="00AA3EE3">
            <w:pPr>
              <w:jc w:val="center"/>
              <w:rPr>
                <w:rFonts w:ascii="Times New Roman" w:hAnsi="Times New Roman" w:cs="Times New Roman"/>
                <w:sz w:val="24"/>
                <w:szCs w:val="24"/>
              </w:rPr>
            </w:pPr>
            <w:r>
              <w:rPr>
                <w:rFonts w:ascii="Times New Roman" w:hAnsi="Times New Roman" w:cs="Times New Roman"/>
                <w:b/>
                <w:sz w:val="24"/>
                <w:szCs w:val="24"/>
              </w:rPr>
              <w:t>Variáveis</w:t>
            </w:r>
          </w:p>
        </w:tc>
        <w:tc>
          <w:tcPr>
            <w:tcW w:w="4587" w:type="dxa"/>
            <w:tcBorders>
              <w:bottom w:val="single" w:sz="4" w:space="0" w:color="auto"/>
            </w:tcBorders>
            <w:vAlign w:val="center"/>
          </w:tcPr>
          <w:p w14:paraId="7BB0C1E5" w14:textId="77777777" w:rsidR="00633D7C" w:rsidRDefault="00633D7C" w:rsidP="00AA3EE3">
            <w:pPr>
              <w:spacing w:line="360" w:lineRule="auto"/>
              <w:jc w:val="center"/>
              <w:rPr>
                <w:rFonts w:ascii="Times New Roman" w:hAnsi="Times New Roman" w:cs="Times New Roman"/>
                <w:sz w:val="24"/>
                <w:szCs w:val="24"/>
              </w:rPr>
            </w:pPr>
            <w:r>
              <w:rPr>
                <w:rFonts w:ascii="Times New Roman" w:hAnsi="Times New Roman" w:cs="Times New Roman"/>
                <w:b/>
                <w:sz w:val="24"/>
                <w:szCs w:val="24"/>
              </w:rPr>
              <w:t>Coeficiente</w:t>
            </w:r>
          </w:p>
        </w:tc>
      </w:tr>
      <w:tr w:rsidR="00633D7C" w14:paraId="304A4477" w14:textId="77777777" w:rsidTr="00AA3EE3">
        <w:trPr>
          <w:trHeight w:val="20"/>
          <w:jc w:val="center"/>
        </w:trPr>
        <w:tc>
          <w:tcPr>
            <w:tcW w:w="4483" w:type="dxa"/>
            <w:tcBorders>
              <w:top w:val="single" w:sz="4" w:space="0" w:color="auto"/>
            </w:tcBorders>
            <w:vAlign w:val="center"/>
          </w:tcPr>
          <w:p w14:paraId="1B4699A6" w14:textId="77777777" w:rsidR="00633D7C" w:rsidRDefault="00633D7C" w:rsidP="00AA3EE3">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DISTANCIA</m:t>
                </m:r>
              </m:oMath>
            </m:oMathPara>
          </w:p>
        </w:tc>
        <w:tc>
          <w:tcPr>
            <w:tcW w:w="4587" w:type="dxa"/>
            <w:tcBorders>
              <w:top w:val="single" w:sz="4" w:space="0" w:color="auto"/>
            </w:tcBorders>
            <w:vAlign w:val="center"/>
          </w:tcPr>
          <w:p w14:paraId="7E8125B4" w14:textId="77777777" w:rsidR="00633D7C" w:rsidRDefault="00633D7C" w:rsidP="00AA3EE3">
            <w:pPr>
              <w:jc w:val="center"/>
              <w:rPr>
                <w:rFonts w:ascii="Times New Roman" w:eastAsiaTheme="minorEastAsia" w:hAnsi="Times New Roman" w:cs="Times New Roman"/>
                <w:sz w:val="24"/>
                <w:szCs w:val="24"/>
              </w:rPr>
            </w:pPr>
            <m:oMathPara>
              <m:oMath>
                <m:r>
                  <w:rPr>
                    <w:rFonts w:ascii="Cambria Math" w:hAnsi="Cambria Math" w:cs="Times New Roman"/>
                    <w:sz w:val="24"/>
                    <w:szCs w:val="24"/>
                  </w:rPr>
                  <m:t>-0,1697034 ***</m:t>
                </m:r>
              </m:oMath>
            </m:oMathPara>
          </w:p>
          <w:p w14:paraId="3B9077A2" w14:textId="77777777" w:rsidR="00633D7C" w:rsidRDefault="00633D7C" w:rsidP="00AA3EE3">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(0,0438255)</m:t>
                </m:r>
              </m:oMath>
            </m:oMathPara>
          </w:p>
        </w:tc>
      </w:tr>
      <w:tr w:rsidR="00633D7C" w14:paraId="57C894F6" w14:textId="77777777" w:rsidTr="00AA3EE3">
        <w:trPr>
          <w:trHeight w:val="20"/>
          <w:jc w:val="center"/>
        </w:trPr>
        <w:tc>
          <w:tcPr>
            <w:tcW w:w="4483" w:type="dxa"/>
            <w:vAlign w:val="center"/>
          </w:tcPr>
          <w:p w14:paraId="2C314F11" w14:textId="77777777" w:rsidR="00633D7C" w:rsidRDefault="00507E9A" w:rsidP="00AA3EE3">
            <w:pPr>
              <w:spacing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PIB_Per_capita</m:t>
                    </m:r>
                  </m:e>
                  <m:sub>
                    <m:r>
                      <w:rPr>
                        <w:rFonts w:ascii="Cambria Math" w:hAnsi="Cambria Math" w:cs="Times New Roman"/>
                        <w:sz w:val="24"/>
                        <w:szCs w:val="24"/>
                      </w:rPr>
                      <m:t>BRt</m:t>
                    </m:r>
                  </m:sub>
                </m:sSub>
              </m:oMath>
            </m:oMathPara>
          </w:p>
        </w:tc>
        <w:tc>
          <w:tcPr>
            <w:tcW w:w="4587" w:type="dxa"/>
            <w:vAlign w:val="center"/>
          </w:tcPr>
          <w:p w14:paraId="7AB2FDBD" w14:textId="77777777" w:rsidR="00633D7C" w:rsidRDefault="00633D7C" w:rsidP="00AA3EE3">
            <w:pPr>
              <w:jc w:val="center"/>
              <w:rPr>
                <w:rFonts w:ascii="Times New Roman" w:eastAsiaTheme="minorEastAsia" w:hAnsi="Times New Roman" w:cs="Times New Roman"/>
                <w:sz w:val="24"/>
                <w:szCs w:val="24"/>
              </w:rPr>
            </w:pPr>
            <m:oMathPara>
              <m:oMath>
                <m:r>
                  <w:rPr>
                    <w:rFonts w:ascii="Cambria Math" w:hAnsi="Cambria Math" w:cs="Times New Roman"/>
                    <w:sz w:val="24"/>
                    <w:szCs w:val="24"/>
                  </w:rPr>
                  <m:t>0,0171319</m:t>
                </m:r>
              </m:oMath>
            </m:oMathPara>
          </w:p>
          <w:p w14:paraId="3FBD2F33" w14:textId="77777777" w:rsidR="00633D7C" w:rsidRDefault="00633D7C" w:rsidP="00AA3EE3">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(0,0768633</m:t>
                </m:r>
                <m:r>
                  <w:rPr>
                    <w:rFonts w:ascii="Cambria Math" w:eastAsiaTheme="minorEastAsia" w:hAnsi="Cambria Math" w:cs="Times New Roman"/>
                    <w:sz w:val="24"/>
                    <w:szCs w:val="24"/>
                  </w:rPr>
                  <m:t>)</m:t>
                </m:r>
              </m:oMath>
            </m:oMathPara>
          </w:p>
        </w:tc>
      </w:tr>
      <w:bookmarkStart w:id="0" w:name="_Hlk496048331"/>
      <w:tr w:rsidR="00633D7C" w14:paraId="66783026" w14:textId="77777777" w:rsidTr="00AA3EE3">
        <w:trPr>
          <w:trHeight w:val="20"/>
          <w:jc w:val="center"/>
        </w:trPr>
        <w:tc>
          <w:tcPr>
            <w:tcW w:w="4483" w:type="dxa"/>
            <w:vAlign w:val="center"/>
          </w:tcPr>
          <w:p w14:paraId="45078E9D" w14:textId="77777777" w:rsidR="00633D7C" w:rsidRDefault="00507E9A" w:rsidP="00AA3EE3">
            <w:pPr>
              <w:spacing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PIB_Per_capita</m:t>
                    </m:r>
                  </m:e>
                  <m:sub>
                    <m:r>
                      <w:rPr>
                        <w:rFonts w:ascii="Cambria Math" w:hAnsi="Cambria Math" w:cs="Times New Roman"/>
                        <w:sz w:val="24"/>
                        <w:szCs w:val="24"/>
                      </w:rPr>
                      <m:t>it</m:t>
                    </m:r>
                  </m:sub>
                </m:sSub>
              </m:oMath>
            </m:oMathPara>
            <w:bookmarkEnd w:id="0"/>
          </w:p>
        </w:tc>
        <w:tc>
          <w:tcPr>
            <w:tcW w:w="4587" w:type="dxa"/>
            <w:vAlign w:val="center"/>
          </w:tcPr>
          <w:p w14:paraId="4DF6F06E" w14:textId="77777777" w:rsidR="00633D7C" w:rsidRDefault="00633D7C" w:rsidP="00AA3EE3">
            <w:pPr>
              <w:jc w:val="center"/>
              <w:rPr>
                <w:rFonts w:ascii="Times New Roman" w:eastAsiaTheme="minorEastAsia" w:hAnsi="Times New Roman" w:cs="Times New Roman"/>
                <w:sz w:val="24"/>
                <w:szCs w:val="24"/>
              </w:rPr>
            </w:pPr>
            <m:oMathPara>
              <m:oMath>
                <m:r>
                  <w:rPr>
                    <w:rFonts w:ascii="Cambria Math" w:hAnsi="Cambria Math" w:cs="Times New Roman"/>
                    <w:sz w:val="24"/>
                    <w:szCs w:val="24"/>
                  </w:rPr>
                  <m:t>0,1733683**</m:t>
                </m:r>
              </m:oMath>
            </m:oMathPara>
          </w:p>
          <w:p w14:paraId="15728C2C" w14:textId="77777777" w:rsidR="00633D7C" w:rsidRDefault="00633D7C" w:rsidP="00AA3EE3">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(0,0768539)</m:t>
                </m:r>
              </m:oMath>
            </m:oMathPara>
          </w:p>
        </w:tc>
      </w:tr>
      <w:tr w:rsidR="00633D7C" w14:paraId="5AEE96D6" w14:textId="77777777" w:rsidTr="00AA3EE3">
        <w:trPr>
          <w:trHeight w:val="20"/>
          <w:jc w:val="center"/>
        </w:trPr>
        <w:tc>
          <w:tcPr>
            <w:tcW w:w="4483" w:type="dxa"/>
            <w:vAlign w:val="center"/>
          </w:tcPr>
          <w:p w14:paraId="2BDC1C8A" w14:textId="77777777" w:rsidR="00633D7C" w:rsidRDefault="00507E9A" w:rsidP="00AA3EE3">
            <w:pPr>
              <w:spacing w:line="36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Capital_Fixo</m:t>
                    </m:r>
                  </m:e>
                  <m:sub>
                    <m:r>
                      <w:rPr>
                        <w:rFonts w:ascii="Cambria Math" w:hAnsi="Cambria Math" w:cs="Times New Roman"/>
                        <w:sz w:val="24"/>
                        <w:szCs w:val="24"/>
                      </w:rPr>
                      <m:t>it</m:t>
                    </m:r>
                  </m:sub>
                </m:sSub>
              </m:oMath>
            </m:oMathPara>
          </w:p>
        </w:tc>
        <w:tc>
          <w:tcPr>
            <w:tcW w:w="4587" w:type="dxa"/>
            <w:vAlign w:val="center"/>
          </w:tcPr>
          <w:p w14:paraId="363FA1D7" w14:textId="77777777" w:rsidR="00633D7C" w:rsidRDefault="00633D7C" w:rsidP="00AA3EE3">
            <w:pPr>
              <w:jc w:val="center"/>
              <w:rPr>
                <w:rFonts w:ascii="Cambria Math" w:hAnsi="Cambria Math" w:cs="Times New Roman"/>
                <w:sz w:val="24"/>
                <w:szCs w:val="24"/>
                <w:oMath/>
              </w:rPr>
            </w:pPr>
            <m:oMathPara>
              <m:oMath>
                <m:r>
                  <w:rPr>
                    <w:rFonts w:ascii="Cambria Math" w:hAnsi="Cambria Math" w:cs="Times New Roman"/>
                    <w:sz w:val="24"/>
                    <w:szCs w:val="24"/>
                  </w:rPr>
                  <m:t>0,1057297***</m:t>
                </m:r>
              </m:oMath>
            </m:oMathPara>
          </w:p>
          <w:p w14:paraId="4230886D" w14:textId="77777777" w:rsidR="00633D7C" w:rsidRDefault="00633D7C" w:rsidP="00AA3EE3">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(0,0538509)</m:t>
                </m:r>
              </m:oMath>
            </m:oMathPara>
          </w:p>
        </w:tc>
      </w:tr>
      <w:tr w:rsidR="00633D7C" w14:paraId="4D05462F" w14:textId="77777777" w:rsidTr="00AA3EE3">
        <w:trPr>
          <w:trHeight w:val="20"/>
          <w:jc w:val="center"/>
        </w:trPr>
        <w:tc>
          <w:tcPr>
            <w:tcW w:w="4483" w:type="dxa"/>
            <w:vAlign w:val="center"/>
          </w:tcPr>
          <w:p w14:paraId="0E1D7666" w14:textId="77777777" w:rsidR="00633D7C" w:rsidRDefault="00633D7C" w:rsidP="00AA3EE3">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CAMBIO</m:t>
                </m:r>
              </m:oMath>
            </m:oMathPara>
          </w:p>
        </w:tc>
        <w:tc>
          <w:tcPr>
            <w:tcW w:w="4587" w:type="dxa"/>
            <w:vAlign w:val="center"/>
          </w:tcPr>
          <w:p w14:paraId="1B53D4B0" w14:textId="77777777" w:rsidR="00633D7C" w:rsidRDefault="00633D7C" w:rsidP="00AA3EE3">
            <w:pPr>
              <w:jc w:val="center"/>
              <w:rPr>
                <w:rFonts w:ascii="Times New Roman" w:eastAsiaTheme="minorEastAsia" w:hAnsi="Times New Roman" w:cs="Times New Roman"/>
                <w:sz w:val="24"/>
                <w:szCs w:val="24"/>
              </w:rPr>
            </w:pPr>
            <m:oMathPara>
              <m:oMath>
                <m:r>
                  <w:rPr>
                    <w:rFonts w:ascii="Cambria Math" w:hAnsi="Cambria Math" w:cs="Times New Roman"/>
                    <w:sz w:val="24"/>
                    <w:szCs w:val="24"/>
                  </w:rPr>
                  <m:t>-0,0161831***</m:t>
                </m:r>
              </m:oMath>
            </m:oMathPara>
          </w:p>
          <w:p w14:paraId="7A132F2A" w14:textId="77777777" w:rsidR="00633D7C" w:rsidRDefault="00633D7C" w:rsidP="00AA3EE3">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(0,0031947)</m:t>
                </m:r>
              </m:oMath>
            </m:oMathPara>
          </w:p>
        </w:tc>
      </w:tr>
      <w:tr w:rsidR="00633D7C" w14:paraId="6433A3C1" w14:textId="77777777" w:rsidTr="00AA3EE3">
        <w:trPr>
          <w:trHeight w:val="20"/>
          <w:jc w:val="center"/>
        </w:trPr>
        <w:tc>
          <w:tcPr>
            <w:tcW w:w="4483" w:type="dxa"/>
            <w:tcBorders>
              <w:bottom w:val="single" w:sz="4" w:space="0" w:color="auto"/>
            </w:tcBorders>
            <w:vAlign w:val="center"/>
          </w:tcPr>
          <w:p w14:paraId="5E625084" w14:textId="77777777" w:rsidR="00633D7C" w:rsidRDefault="00633D7C" w:rsidP="00AA3EE3">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MERCOSUL</m:t>
                </m:r>
              </m:oMath>
            </m:oMathPara>
          </w:p>
        </w:tc>
        <w:tc>
          <w:tcPr>
            <w:tcW w:w="4587" w:type="dxa"/>
            <w:tcBorders>
              <w:bottom w:val="single" w:sz="4" w:space="0" w:color="auto"/>
            </w:tcBorders>
            <w:vAlign w:val="center"/>
          </w:tcPr>
          <w:p w14:paraId="7CB7B0D1" w14:textId="77777777" w:rsidR="00633D7C" w:rsidRDefault="00633D7C" w:rsidP="00AA3EE3">
            <w:pPr>
              <w:jc w:val="center"/>
              <w:rPr>
                <w:rFonts w:ascii="Times New Roman" w:eastAsiaTheme="minorEastAsia" w:hAnsi="Times New Roman" w:cs="Times New Roman"/>
                <w:sz w:val="24"/>
                <w:szCs w:val="24"/>
              </w:rPr>
            </w:pPr>
            <m:oMathPara>
              <m:oMath>
                <m:r>
                  <w:rPr>
                    <w:rFonts w:ascii="Cambria Math" w:hAnsi="Cambria Math" w:cs="Times New Roman"/>
                    <w:sz w:val="24"/>
                    <w:szCs w:val="24"/>
                  </w:rPr>
                  <m:t>0,1782215***</m:t>
                </m:r>
              </m:oMath>
            </m:oMathPara>
          </w:p>
          <w:p w14:paraId="2E072C1A" w14:textId="77777777" w:rsidR="00633D7C" w:rsidRDefault="00633D7C" w:rsidP="00AA3EE3">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(0,062142)</m:t>
                </m:r>
              </m:oMath>
            </m:oMathPara>
          </w:p>
        </w:tc>
      </w:tr>
    </w:tbl>
    <w:p w14:paraId="2C1E19CD" w14:textId="77777777" w:rsidR="00633D7C" w:rsidRDefault="00633D7C" w:rsidP="00633D7C">
      <w:pPr>
        <w:spacing w:after="0" w:line="240" w:lineRule="auto"/>
        <w:jc w:val="both"/>
        <w:rPr>
          <w:rFonts w:ascii="Times New Roman" w:hAnsi="Times New Roman" w:cs="Times New Roman"/>
          <w:sz w:val="20"/>
          <w:szCs w:val="20"/>
        </w:rPr>
      </w:pPr>
    </w:p>
    <w:p w14:paraId="19D09C86" w14:textId="77777777" w:rsidR="00633D7C" w:rsidRPr="00E861CB" w:rsidRDefault="00633D7C" w:rsidP="00633D7C">
      <w:pPr>
        <w:spacing w:after="0" w:line="240" w:lineRule="auto"/>
        <w:jc w:val="both"/>
        <w:rPr>
          <w:rFonts w:ascii="Times New Roman" w:hAnsi="Times New Roman" w:cs="Times New Roman"/>
          <w:sz w:val="20"/>
          <w:szCs w:val="20"/>
        </w:rPr>
      </w:pPr>
      <w:r w:rsidRPr="00E861CB">
        <w:rPr>
          <w:rFonts w:ascii="Times New Roman" w:hAnsi="Times New Roman" w:cs="Times New Roman"/>
          <w:sz w:val="20"/>
          <w:szCs w:val="20"/>
        </w:rPr>
        <w:t>Fonte: Elaboração própria.</w:t>
      </w:r>
    </w:p>
    <w:p w14:paraId="73118C5B" w14:textId="77777777" w:rsidR="00633D7C" w:rsidRPr="00E861CB" w:rsidRDefault="00633D7C" w:rsidP="00633D7C">
      <w:pPr>
        <w:spacing w:after="0" w:line="240" w:lineRule="auto"/>
        <w:jc w:val="both"/>
        <w:rPr>
          <w:rFonts w:ascii="Times New Roman" w:hAnsi="Times New Roman" w:cs="Times New Roman"/>
          <w:sz w:val="20"/>
          <w:szCs w:val="20"/>
        </w:rPr>
      </w:pPr>
      <w:r w:rsidRPr="00E861CB">
        <w:rPr>
          <w:rFonts w:ascii="Times New Roman" w:hAnsi="Times New Roman" w:cs="Times New Roman"/>
          <w:sz w:val="20"/>
          <w:szCs w:val="20"/>
        </w:rPr>
        <w:t xml:space="preserve">Nota: Erros-Padrão entre parênteses. Significância a nível de 1% é representada por ***, significância à 5% corresponde à ** e significância a nível de 10% tem representação em *.  </w:t>
      </w:r>
    </w:p>
    <w:p w14:paraId="7EE3E303" w14:textId="77777777" w:rsidR="00633D7C" w:rsidRDefault="00633D7C" w:rsidP="00C978DF">
      <w:pPr>
        <w:spacing w:after="0" w:line="360" w:lineRule="auto"/>
        <w:jc w:val="both"/>
        <w:rPr>
          <w:rFonts w:ascii="Times New Roman" w:hAnsi="Times New Roman" w:cs="Times New Roman"/>
          <w:sz w:val="24"/>
          <w:szCs w:val="24"/>
        </w:rPr>
      </w:pPr>
    </w:p>
    <w:p w14:paraId="77A7FEDC" w14:textId="0B3EAF9D" w:rsidR="00C834EC" w:rsidRPr="00750C80" w:rsidRDefault="00C834EC"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A regressão foi bem elaborada na medida em que os parâmetros apresentaram-se </w:t>
      </w:r>
      <w:r w:rsidR="00B44734" w:rsidRPr="00750C80">
        <w:rPr>
          <w:rFonts w:ascii="Times New Roman" w:hAnsi="Times New Roman" w:cs="Times New Roman"/>
          <w:sz w:val="24"/>
          <w:szCs w:val="24"/>
        </w:rPr>
        <w:t>estatisticamente</w:t>
      </w:r>
      <w:r w:rsidRPr="00750C80">
        <w:rPr>
          <w:rFonts w:ascii="Times New Roman" w:hAnsi="Times New Roman" w:cs="Times New Roman"/>
          <w:sz w:val="24"/>
          <w:szCs w:val="24"/>
        </w:rPr>
        <w:t xml:space="preserve"> significativos. Todos os parâmetros apresentaram significância estatística e apresentaram sinais conforme esperado e referenciado na literatura econômica. Ressalta-se que para captar o efeito fixo utilizaram-se variáveis </w:t>
      </w:r>
      <w:r w:rsidRPr="00750C80">
        <w:rPr>
          <w:rFonts w:ascii="Times New Roman" w:hAnsi="Times New Roman" w:cs="Times New Roman"/>
          <w:i/>
          <w:sz w:val="24"/>
          <w:szCs w:val="24"/>
        </w:rPr>
        <w:t>dummies</w:t>
      </w:r>
      <w:r w:rsidRPr="00750C80">
        <w:rPr>
          <w:rFonts w:ascii="Times New Roman" w:hAnsi="Times New Roman" w:cs="Times New Roman"/>
          <w:sz w:val="24"/>
          <w:szCs w:val="24"/>
        </w:rPr>
        <w:t xml:space="preserve"> para os indivíduos, as quais foram omitidas na Tabela </w:t>
      </w:r>
      <w:r w:rsidR="003E616D" w:rsidRPr="00750C80">
        <w:rPr>
          <w:rFonts w:ascii="Times New Roman" w:hAnsi="Times New Roman" w:cs="Times New Roman"/>
          <w:sz w:val="24"/>
          <w:szCs w:val="24"/>
        </w:rPr>
        <w:t xml:space="preserve">2, isto </w:t>
      </w:r>
      <w:r w:rsidRPr="00750C80">
        <w:rPr>
          <w:rFonts w:ascii="Times New Roman" w:hAnsi="Times New Roman" w:cs="Times New Roman"/>
          <w:sz w:val="24"/>
          <w:szCs w:val="24"/>
        </w:rPr>
        <w:t>porque foge do escopo deste trabalho analisar os interceptos individualmente.</w:t>
      </w:r>
      <w:r w:rsidR="003E616D" w:rsidRPr="00750C80">
        <w:rPr>
          <w:rFonts w:ascii="Times New Roman" w:hAnsi="Times New Roman" w:cs="Times New Roman"/>
          <w:sz w:val="24"/>
          <w:szCs w:val="24"/>
        </w:rPr>
        <w:t xml:space="preserve"> Todavia, ressalta-se que foram controlados tais efeitos.</w:t>
      </w:r>
    </w:p>
    <w:p w14:paraId="77A7FEDD" w14:textId="0CF19C40" w:rsidR="00C834EC" w:rsidRPr="00750C80" w:rsidRDefault="00C834EC"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A</w:t>
      </w:r>
      <w:r w:rsidR="003E616D" w:rsidRPr="00750C80">
        <w:rPr>
          <w:rFonts w:ascii="Times New Roman" w:hAnsi="Times New Roman" w:cs="Times New Roman"/>
          <w:sz w:val="24"/>
          <w:szCs w:val="24"/>
        </w:rPr>
        <w:t xml:space="preserve"> variável d</w:t>
      </w:r>
      <w:r w:rsidRPr="00750C80">
        <w:rPr>
          <w:rFonts w:ascii="Times New Roman" w:hAnsi="Times New Roman" w:cs="Times New Roman"/>
          <w:sz w:val="24"/>
          <w:szCs w:val="24"/>
        </w:rPr>
        <w:t>istância apresento</w:t>
      </w:r>
      <w:r w:rsidR="003E616D" w:rsidRPr="00750C80">
        <w:rPr>
          <w:rFonts w:ascii="Times New Roman" w:hAnsi="Times New Roman" w:cs="Times New Roman"/>
          <w:sz w:val="24"/>
          <w:szCs w:val="24"/>
        </w:rPr>
        <w:t>u significância estatística à 1</w:t>
      </w:r>
      <w:r w:rsidRPr="00750C80">
        <w:rPr>
          <w:rFonts w:ascii="Times New Roman" w:hAnsi="Times New Roman" w:cs="Times New Roman"/>
          <w:sz w:val="24"/>
          <w:szCs w:val="24"/>
        </w:rPr>
        <w:t xml:space="preserve">% com sinal negativo em conformidade com o modelo teórico de gravidade comercial. Interpreta-se que países mais próximos intensificam fluxos comerciais com o Brasil, caracteristicamente exportador de bens </w:t>
      </w:r>
      <w:r w:rsidRPr="00750C80">
        <w:rPr>
          <w:rFonts w:ascii="Times New Roman" w:hAnsi="Times New Roman" w:cs="Times New Roman"/>
          <w:sz w:val="24"/>
          <w:szCs w:val="24"/>
        </w:rPr>
        <w:lastRenderedPageBreak/>
        <w:t xml:space="preserve">de alto valor agregado para a América do Sul. </w:t>
      </w:r>
      <w:r w:rsidR="003E616D" w:rsidRPr="00750C80">
        <w:rPr>
          <w:rFonts w:ascii="Times New Roman" w:hAnsi="Times New Roman" w:cs="Times New Roman"/>
          <w:sz w:val="24"/>
          <w:szCs w:val="24"/>
        </w:rPr>
        <w:t>O aumento de 1%</w:t>
      </w:r>
      <w:r w:rsidRPr="00750C80">
        <w:rPr>
          <w:rFonts w:ascii="Times New Roman" w:hAnsi="Times New Roman" w:cs="Times New Roman"/>
          <w:sz w:val="24"/>
          <w:szCs w:val="24"/>
        </w:rPr>
        <w:t xml:space="preserve"> na distâ</w:t>
      </w:r>
      <w:r w:rsidR="003E616D" w:rsidRPr="00750C80">
        <w:rPr>
          <w:rFonts w:ascii="Times New Roman" w:hAnsi="Times New Roman" w:cs="Times New Roman"/>
          <w:sz w:val="24"/>
          <w:szCs w:val="24"/>
        </w:rPr>
        <w:t>ncia acarreta diminuição</w:t>
      </w:r>
      <w:r w:rsidR="00EF0013" w:rsidRPr="00750C80">
        <w:rPr>
          <w:rFonts w:ascii="Times New Roman" w:hAnsi="Times New Roman" w:cs="Times New Roman"/>
          <w:sz w:val="24"/>
          <w:szCs w:val="24"/>
        </w:rPr>
        <w:t xml:space="preserve"> aproximada</w:t>
      </w:r>
      <w:r w:rsidR="003E616D" w:rsidRPr="00750C80">
        <w:rPr>
          <w:rFonts w:ascii="Times New Roman" w:hAnsi="Times New Roman" w:cs="Times New Roman"/>
          <w:sz w:val="24"/>
          <w:szCs w:val="24"/>
        </w:rPr>
        <w:t xml:space="preserve"> de 0,17</w:t>
      </w:r>
      <w:r w:rsidRPr="00750C80">
        <w:rPr>
          <w:rFonts w:ascii="Times New Roman" w:hAnsi="Times New Roman" w:cs="Times New Roman"/>
          <w:sz w:val="24"/>
          <w:szCs w:val="24"/>
        </w:rPr>
        <w:t>% no ICC. De tal modo, a complementaridade comercial como reflexo da disparidade econômica entre países tende a diminuir dada diminuição do fluxo comercial entre parceiros, o que é explicado pelo efeito negativo da distância sobre a circulação internacional de bens.</w:t>
      </w:r>
    </w:p>
    <w:p w14:paraId="77A7FEDE" w14:textId="7C728D81" w:rsidR="000030CD" w:rsidRPr="00750C80" w:rsidRDefault="009B323A"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O PIB </w:t>
      </w:r>
      <w:r w:rsidRPr="00750C80">
        <w:rPr>
          <w:rFonts w:ascii="Times New Roman" w:hAnsi="Times New Roman" w:cs="Times New Roman"/>
          <w:i/>
          <w:sz w:val="24"/>
          <w:szCs w:val="24"/>
        </w:rPr>
        <w:t xml:space="preserve">per capita </w:t>
      </w:r>
      <w:r w:rsidRPr="00750C80">
        <w:rPr>
          <w:rFonts w:ascii="Times New Roman" w:hAnsi="Times New Roman" w:cs="Times New Roman"/>
          <w:sz w:val="24"/>
          <w:szCs w:val="24"/>
        </w:rPr>
        <w:t xml:space="preserve">brasileiro </w:t>
      </w:r>
      <w:r w:rsidR="003E616D" w:rsidRPr="00750C80">
        <w:rPr>
          <w:rFonts w:ascii="Times New Roman" w:hAnsi="Times New Roman" w:cs="Times New Roman"/>
          <w:sz w:val="24"/>
          <w:szCs w:val="24"/>
        </w:rPr>
        <w:t>não apresentou significância estatística. A partir deste resultado, podem-se inferir</w:t>
      </w:r>
      <w:r w:rsidRPr="00750C80">
        <w:rPr>
          <w:rFonts w:ascii="Times New Roman" w:hAnsi="Times New Roman" w:cs="Times New Roman"/>
          <w:sz w:val="24"/>
          <w:szCs w:val="24"/>
        </w:rPr>
        <w:t xml:space="preserve"> duas interpretações. </w:t>
      </w:r>
      <w:r w:rsidR="00F4474D" w:rsidRPr="00750C80">
        <w:rPr>
          <w:rFonts w:ascii="Times New Roman" w:hAnsi="Times New Roman" w:cs="Times New Roman"/>
          <w:sz w:val="24"/>
          <w:szCs w:val="24"/>
        </w:rPr>
        <w:t xml:space="preserve">Primeiro, a utilização do ICC </w:t>
      </w:r>
      <w:r w:rsidR="008652A5" w:rsidRPr="00750C80">
        <w:rPr>
          <w:rFonts w:ascii="Times New Roman" w:hAnsi="Times New Roman" w:cs="Times New Roman"/>
          <w:sz w:val="24"/>
          <w:szCs w:val="24"/>
        </w:rPr>
        <w:t xml:space="preserve">para alta tecnologia </w:t>
      </w:r>
      <w:r w:rsidR="00F4474D" w:rsidRPr="00750C80">
        <w:rPr>
          <w:rFonts w:ascii="Times New Roman" w:hAnsi="Times New Roman" w:cs="Times New Roman"/>
          <w:sz w:val="24"/>
          <w:szCs w:val="24"/>
        </w:rPr>
        <w:t>como variável dependente não implica relação de proporção direta em relação ao PIB per capita do país de origem e parceiro, haja vista que representa uma relação de competitividade e disparidade entre os países.</w:t>
      </w:r>
      <w:r w:rsidRPr="00750C80">
        <w:rPr>
          <w:rFonts w:ascii="Times New Roman" w:hAnsi="Times New Roman" w:cs="Times New Roman"/>
          <w:sz w:val="24"/>
          <w:szCs w:val="24"/>
        </w:rPr>
        <w:t xml:space="preserve"> Em segundo lugar, a elevação da renda do Brasil pode implicar aumento do consumo interno</w:t>
      </w:r>
      <w:r w:rsidR="003E616D" w:rsidRPr="00750C80">
        <w:rPr>
          <w:rFonts w:ascii="Times New Roman" w:hAnsi="Times New Roman" w:cs="Times New Roman"/>
          <w:sz w:val="24"/>
          <w:szCs w:val="24"/>
        </w:rPr>
        <w:t>, implicando até mesmo</w:t>
      </w:r>
      <w:r w:rsidRPr="00750C80">
        <w:rPr>
          <w:rFonts w:ascii="Times New Roman" w:hAnsi="Times New Roman" w:cs="Times New Roman"/>
          <w:sz w:val="24"/>
          <w:szCs w:val="24"/>
        </w:rPr>
        <w:t xml:space="preserve"> diminuição das exportações e aumento das importações, o que afeta a ocupação de mercados regionais para setores de alta tecnologia, em virtude de sua posição comercialista e tendência à escoação de manufaturas </w:t>
      </w:r>
      <w:r w:rsidR="006155F1" w:rsidRPr="00750C80">
        <w:rPr>
          <w:rFonts w:ascii="Times New Roman" w:hAnsi="Times New Roman" w:cs="Times New Roman"/>
          <w:sz w:val="24"/>
          <w:szCs w:val="24"/>
        </w:rPr>
        <w:t>no mercado regional (MARINI, 1974; PRAZERES, 2006)</w:t>
      </w:r>
      <w:r w:rsidRPr="00750C80">
        <w:rPr>
          <w:rFonts w:ascii="Times New Roman" w:hAnsi="Times New Roman" w:cs="Times New Roman"/>
          <w:sz w:val="24"/>
          <w:szCs w:val="24"/>
        </w:rPr>
        <w:t>.</w:t>
      </w:r>
    </w:p>
    <w:p w14:paraId="1924BFF9" w14:textId="359EAED0" w:rsidR="003E616D" w:rsidRPr="00750C80" w:rsidRDefault="003E616D"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 xml:space="preserve">Por outro lado, as estimativas referentes ao coeficiente do PIB </w:t>
      </w:r>
      <w:r w:rsidRPr="00750C80">
        <w:rPr>
          <w:rFonts w:ascii="Times New Roman" w:hAnsi="Times New Roman" w:cs="Times New Roman"/>
          <w:i/>
          <w:sz w:val="24"/>
          <w:szCs w:val="24"/>
        </w:rPr>
        <w:t>per capita</w:t>
      </w:r>
      <w:r w:rsidRPr="00750C80">
        <w:rPr>
          <w:rFonts w:ascii="Times New Roman" w:hAnsi="Times New Roman" w:cs="Times New Roman"/>
          <w:sz w:val="24"/>
          <w:szCs w:val="24"/>
        </w:rPr>
        <w:t xml:space="preserve"> dos países </w:t>
      </w:r>
      <w:r w:rsidRPr="00750C80">
        <w:rPr>
          <w:rFonts w:ascii="Times New Roman" w:hAnsi="Times New Roman" w:cs="Times New Roman"/>
          <w:i/>
          <w:sz w:val="24"/>
          <w:szCs w:val="24"/>
        </w:rPr>
        <w:t>i</w:t>
      </w:r>
      <w:r w:rsidRPr="00750C80">
        <w:rPr>
          <w:rFonts w:ascii="Times New Roman" w:hAnsi="Times New Roman" w:cs="Times New Roman"/>
          <w:sz w:val="24"/>
          <w:szCs w:val="24"/>
        </w:rPr>
        <w:t xml:space="preserve">, verifica-se que apresentou uma relação positiva com o ICC estatisticamente significativa a 5%. Ou seja, dado o aumento de 1% no PIB </w:t>
      </w:r>
      <w:r w:rsidRPr="00750C80">
        <w:rPr>
          <w:rFonts w:ascii="Times New Roman" w:hAnsi="Times New Roman" w:cs="Times New Roman"/>
          <w:i/>
          <w:sz w:val="24"/>
          <w:szCs w:val="24"/>
        </w:rPr>
        <w:t xml:space="preserve">per capita </w:t>
      </w:r>
      <w:r w:rsidRPr="00750C80">
        <w:rPr>
          <w:rFonts w:ascii="Times New Roman" w:hAnsi="Times New Roman" w:cs="Times New Roman"/>
          <w:sz w:val="24"/>
          <w:szCs w:val="24"/>
        </w:rPr>
        <w:t xml:space="preserve">dos parceiros comerciais do Brasil, a complementariedade comercial também aumenta em aproximadamente </w:t>
      </w:r>
      <m:oMath>
        <m:r>
          <w:rPr>
            <w:rFonts w:ascii="Cambria Math" w:hAnsi="Cambria Math" w:cs="Times New Roman"/>
            <w:sz w:val="24"/>
            <w:szCs w:val="24"/>
          </w:rPr>
          <m:t>0.17%.</m:t>
        </m:r>
      </m:oMath>
    </w:p>
    <w:p w14:paraId="77A7FEDF" w14:textId="661AAFAE" w:rsidR="008D16E8" w:rsidRPr="00750C80" w:rsidRDefault="00496BC9"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r w:rsidR="007A0F98" w:rsidRPr="00750C80">
        <w:rPr>
          <w:rFonts w:ascii="Times New Roman" w:hAnsi="Times New Roman" w:cs="Times New Roman"/>
          <w:sz w:val="24"/>
          <w:szCs w:val="24"/>
        </w:rPr>
        <w:t xml:space="preserve">Pode-se verificar que a </w:t>
      </w:r>
      <w:r w:rsidR="00EF0013" w:rsidRPr="00750C80">
        <w:rPr>
          <w:rFonts w:ascii="Times New Roman" w:hAnsi="Times New Roman" w:cs="Times New Roman"/>
          <w:sz w:val="24"/>
          <w:szCs w:val="24"/>
        </w:rPr>
        <w:t>variação da formação bruta de capital f</w:t>
      </w:r>
      <w:r w:rsidR="007A0F98" w:rsidRPr="00750C80">
        <w:rPr>
          <w:rFonts w:ascii="Times New Roman" w:hAnsi="Times New Roman" w:cs="Times New Roman"/>
          <w:sz w:val="24"/>
          <w:szCs w:val="24"/>
        </w:rPr>
        <w:t xml:space="preserve">ixo do Brasil </w:t>
      </w:r>
      <w:r w:rsidR="00EF0013" w:rsidRPr="00750C80">
        <w:rPr>
          <w:rFonts w:ascii="Times New Roman" w:hAnsi="Times New Roman" w:cs="Times New Roman"/>
          <w:sz w:val="24"/>
          <w:szCs w:val="24"/>
        </w:rPr>
        <w:t>mais que proporcional à variação de formação bruta de capital fixo do</w:t>
      </w:r>
      <w:r w:rsidR="007A0F98" w:rsidRPr="00750C80">
        <w:rPr>
          <w:rFonts w:ascii="Times New Roman" w:hAnsi="Times New Roman" w:cs="Times New Roman"/>
          <w:sz w:val="24"/>
          <w:szCs w:val="24"/>
        </w:rPr>
        <w:t xml:space="preserve"> país </w:t>
      </w:r>
      <w:r w:rsidR="007A0F98" w:rsidRPr="00750C80">
        <w:rPr>
          <w:rFonts w:ascii="Times New Roman" w:hAnsi="Times New Roman" w:cs="Times New Roman"/>
          <w:i/>
          <w:sz w:val="24"/>
          <w:szCs w:val="24"/>
        </w:rPr>
        <w:t>i</w:t>
      </w:r>
      <w:r w:rsidR="00EF0013" w:rsidRPr="00750C80">
        <w:rPr>
          <w:rFonts w:ascii="Times New Roman" w:hAnsi="Times New Roman" w:cs="Times New Roman"/>
          <w:sz w:val="24"/>
          <w:szCs w:val="24"/>
        </w:rPr>
        <w:t xml:space="preserve"> implicou de modo positivo sobre a complementaridade comercial e</w:t>
      </w:r>
      <w:r w:rsidR="007A0F98" w:rsidRPr="00750C80">
        <w:rPr>
          <w:rFonts w:ascii="Times New Roman" w:hAnsi="Times New Roman" w:cs="Times New Roman"/>
          <w:sz w:val="24"/>
          <w:szCs w:val="24"/>
        </w:rPr>
        <w:t xml:space="preserve"> foi estatisticamente significativa a 1%. Esse resultado indica que o aumento de, aproximadamente </w:t>
      </w:r>
      <m:oMath>
        <m:r>
          <w:rPr>
            <w:rFonts w:ascii="Cambria Math" w:hAnsi="Cambria Math" w:cs="Times New Roman"/>
            <w:sz w:val="24"/>
            <w:szCs w:val="24"/>
          </w:rPr>
          <m:t>0,105%</m:t>
        </m:r>
      </m:oMath>
      <w:r w:rsidR="007A0F98" w:rsidRPr="00750C80">
        <w:rPr>
          <w:rFonts w:ascii="Times New Roman" w:hAnsi="Times New Roman" w:cs="Times New Roman"/>
          <w:sz w:val="24"/>
          <w:szCs w:val="24"/>
        </w:rPr>
        <w:t xml:space="preserve"> no Índice de Complementaridade Comercial.</w:t>
      </w:r>
      <w:r w:rsidR="008D16E8" w:rsidRPr="00750C80">
        <w:rPr>
          <w:rFonts w:ascii="Times New Roman" w:hAnsi="Times New Roman" w:cs="Times New Roman"/>
          <w:sz w:val="24"/>
          <w:szCs w:val="24"/>
        </w:rPr>
        <w:t xml:space="preserve"> Assegura-se afirmar que investimentos industriais do Brasil </w:t>
      </w:r>
      <w:r w:rsidR="00975335" w:rsidRPr="00750C80">
        <w:rPr>
          <w:rFonts w:ascii="Times New Roman" w:hAnsi="Times New Roman" w:cs="Times New Roman"/>
          <w:sz w:val="24"/>
          <w:szCs w:val="24"/>
        </w:rPr>
        <w:t>implicam maior</w:t>
      </w:r>
      <w:r w:rsidR="008D16E8" w:rsidRPr="00750C80">
        <w:rPr>
          <w:rFonts w:ascii="Times New Roman" w:hAnsi="Times New Roman" w:cs="Times New Roman"/>
          <w:sz w:val="24"/>
          <w:szCs w:val="24"/>
        </w:rPr>
        <w:t xml:space="preserve"> competitividade regional para o segmento de bens de alta intensidade tecnológica, entre o grupo de países analisados. </w:t>
      </w:r>
      <w:r w:rsidR="00A174D8" w:rsidRPr="00750C80">
        <w:rPr>
          <w:rFonts w:ascii="Times New Roman" w:hAnsi="Times New Roman" w:cs="Times New Roman"/>
          <w:sz w:val="24"/>
          <w:szCs w:val="24"/>
        </w:rPr>
        <w:t>O período auge do PSI marcado por elevados índices de investimentos na base industrial, como previamente discutido, corresponde à época com disposição mais elevada da complementaridade comercial em alta tecnologia do Brasil, na América do Sul.</w:t>
      </w:r>
    </w:p>
    <w:p w14:paraId="77A7FEE0" w14:textId="018289D2" w:rsidR="00496BC9" w:rsidRPr="00750C80" w:rsidRDefault="007A0F98"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 xml:space="preserve">Com base nos resultados dispostos também é possível inferir que o coeficiente estimado para o câmbio foi estatisticamente significativa a 1% e com sinal negativo. Ou seja a elevação na taxa de câmbio do Brasil em 1% em relação ao câmbio do país vizinho apresentado, provoca diminuição de </w:t>
      </w:r>
      <m:oMath>
        <m:r>
          <w:rPr>
            <w:rFonts w:ascii="Cambria Math" w:hAnsi="Cambria Math" w:cs="Times New Roman"/>
            <w:sz w:val="24"/>
            <w:szCs w:val="24"/>
          </w:rPr>
          <m:t xml:space="preserve">0,016% </m:t>
        </m:r>
      </m:oMath>
      <w:r w:rsidRPr="00750C80">
        <w:rPr>
          <w:rFonts w:ascii="Times New Roman" w:hAnsi="Times New Roman" w:cs="Times New Roman"/>
          <w:sz w:val="24"/>
          <w:szCs w:val="24"/>
        </w:rPr>
        <w:t xml:space="preserve">na complementaridade brasileira na região. </w:t>
      </w:r>
      <w:r w:rsidR="00A174D8" w:rsidRPr="00750C80">
        <w:rPr>
          <w:rFonts w:ascii="Times New Roman" w:hAnsi="Times New Roman" w:cs="Times New Roman"/>
          <w:sz w:val="24"/>
          <w:szCs w:val="24"/>
        </w:rPr>
        <w:t>Interpreta-se que o encarecimento das exportações brasileiras diminui a participação de sua produção nacional no mercado regional.</w:t>
      </w:r>
    </w:p>
    <w:p w14:paraId="77A7FEE1" w14:textId="77777777" w:rsidR="00A174D8" w:rsidRPr="00750C80" w:rsidRDefault="00A174D8"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lastRenderedPageBreak/>
        <w:tab/>
        <w:t xml:space="preserve">A </w:t>
      </w:r>
      <w:r w:rsidRPr="00750C80">
        <w:rPr>
          <w:rFonts w:ascii="Times New Roman" w:hAnsi="Times New Roman" w:cs="Times New Roman"/>
          <w:i/>
          <w:sz w:val="24"/>
          <w:szCs w:val="24"/>
        </w:rPr>
        <w:t>dummy</w:t>
      </w:r>
      <w:r w:rsidRPr="00750C80">
        <w:rPr>
          <w:rFonts w:ascii="Times New Roman" w:hAnsi="Times New Roman" w:cs="Times New Roman"/>
          <w:sz w:val="24"/>
          <w:szCs w:val="24"/>
        </w:rPr>
        <w:t xml:space="preserve"> Mercosul é significativa estatisticamente e afeta positivamente a relação de complementaridade comercial entre o Brasil e os indivíduos </w:t>
      </w:r>
      <w:r w:rsidRPr="00750C80">
        <w:rPr>
          <w:rFonts w:ascii="Times New Roman" w:hAnsi="Times New Roman" w:cs="Times New Roman"/>
          <w:i/>
          <w:sz w:val="24"/>
          <w:szCs w:val="24"/>
        </w:rPr>
        <w:t>i</w:t>
      </w:r>
      <w:r w:rsidRPr="00750C80">
        <w:rPr>
          <w:rFonts w:ascii="Times New Roman" w:hAnsi="Times New Roman" w:cs="Times New Roman"/>
          <w:sz w:val="24"/>
          <w:szCs w:val="24"/>
        </w:rPr>
        <w:t xml:space="preserve"> componentes do bloco (Argentina e Uruguai). A relação positiva com a complementaridade indica o efeito do bloco de integração regional por meio do intercâmbio de maior valor agregado, pelo qual beneficiaram-se as principais economias, Brasil e Argentina. Barbosa (2010) afirma que </w:t>
      </w:r>
      <w:r w:rsidR="00A13F1E" w:rsidRPr="00750C80">
        <w:rPr>
          <w:rFonts w:ascii="Times New Roman" w:hAnsi="Times New Roman" w:cs="Times New Roman"/>
          <w:sz w:val="24"/>
          <w:szCs w:val="24"/>
        </w:rPr>
        <w:t>Uruguai se posicionou como importador</w:t>
      </w:r>
      <w:r w:rsidRPr="00750C80">
        <w:rPr>
          <w:rFonts w:ascii="Times New Roman" w:hAnsi="Times New Roman" w:cs="Times New Roman"/>
          <w:sz w:val="24"/>
          <w:szCs w:val="24"/>
        </w:rPr>
        <w:t xml:space="preserve"> de produtos brasileiros em posição subordinada ao desempenho externo da economia brasileira, o que embasa o efeito positivo do MERCOSUL sobre a competitividade brasileira na região e complementaridade comercial no setor de bens de alta intensidade tecnológica.</w:t>
      </w:r>
    </w:p>
    <w:p w14:paraId="77A7FEE2" w14:textId="77777777" w:rsidR="0064767C" w:rsidRPr="00750C80" w:rsidRDefault="0064767C" w:rsidP="00C978DF">
      <w:pPr>
        <w:spacing w:after="0" w:line="360" w:lineRule="auto"/>
        <w:jc w:val="both"/>
        <w:rPr>
          <w:rFonts w:ascii="Times New Roman" w:hAnsi="Times New Roman" w:cs="Times New Roman"/>
          <w:sz w:val="24"/>
          <w:szCs w:val="24"/>
        </w:rPr>
      </w:pPr>
    </w:p>
    <w:p w14:paraId="77A7FEE3" w14:textId="76166C2F" w:rsidR="00B133B8" w:rsidRPr="00750C80" w:rsidRDefault="00B02AF2" w:rsidP="00C978DF">
      <w:pPr>
        <w:spacing w:after="0" w:line="360" w:lineRule="auto"/>
        <w:jc w:val="both"/>
        <w:rPr>
          <w:rFonts w:ascii="Times New Roman" w:hAnsi="Times New Roman" w:cs="Times New Roman"/>
          <w:b/>
          <w:sz w:val="24"/>
          <w:szCs w:val="24"/>
        </w:rPr>
      </w:pPr>
      <w:r w:rsidRPr="00750C80">
        <w:rPr>
          <w:rFonts w:ascii="Times New Roman" w:hAnsi="Times New Roman" w:cs="Times New Roman"/>
          <w:b/>
          <w:sz w:val="24"/>
          <w:szCs w:val="24"/>
        </w:rPr>
        <w:t xml:space="preserve">7. Considerações </w:t>
      </w:r>
      <w:r w:rsidR="005D0F05" w:rsidRPr="00750C80">
        <w:rPr>
          <w:rFonts w:ascii="Times New Roman" w:hAnsi="Times New Roman" w:cs="Times New Roman"/>
          <w:b/>
          <w:sz w:val="24"/>
          <w:szCs w:val="24"/>
        </w:rPr>
        <w:t>finais</w:t>
      </w:r>
    </w:p>
    <w:p w14:paraId="77A7FEE4" w14:textId="77777777" w:rsidR="00E127B8" w:rsidRPr="00750C80" w:rsidRDefault="00E127B8" w:rsidP="00C978DF">
      <w:pPr>
        <w:spacing w:after="0" w:line="360" w:lineRule="auto"/>
        <w:jc w:val="both"/>
        <w:rPr>
          <w:rFonts w:ascii="Times New Roman" w:hAnsi="Times New Roman" w:cs="Times New Roman"/>
          <w:b/>
          <w:sz w:val="24"/>
          <w:szCs w:val="24"/>
        </w:rPr>
      </w:pPr>
    </w:p>
    <w:p w14:paraId="77A7FEE5" w14:textId="5FB636E8" w:rsidR="00007256" w:rsidRPr="00750C80" w:rsidRDefault="0000725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b/>
          <w:sz w:val="24"/>
          <w:szCs w:val="24"/>
        </w:rPr>
        <w:tab/>
      </w:r>
      <w:r w:rsidRPr="00750C80">
        <w:rPr>
          <w:rFonts w:ascii="Times New Roman" w:hAnsi="Times New Roman" w:cs="Times New Roman"/>
          <w:sz w:val="24"/>
          <w:szCs w:val="24"/>
        </w:rPr>
        <w:t>O presente trabalho buscou perceber quais as condicionantes do Índice de Complementari</w:t>
      </w:r>
      <w:r w:rsidR="00BD65D2" w:rsidRPr="00750C80">
        <w:rPr>
          <w:rFonts w:ascii="Times New Roman" w:hAnsi="Times New Roman" w:cs="Times New Roman"/>
          <w:sz w:val="24"/>
          <w:szCs w:val="24"/>
        </w:rPr>
        <w:t>dade Comercial, de Bela Balassa</w:t>
      </w:r>
      <w:r w:rsidRPr="00750C80">
        <w:rPr>
          <w:rFonts w:ascii="Times New Roman" w:hAnsi="Times New Roman" w:cs="Times New Roman"/>
          <w:sz w:val="24"/>
          <w:szCs w:val="24"/>
        </w:rPr>
        <w:t xml:space="preserve"> sobre o comércio de </w:t>
      </w:r>
      <w:r w:rsidR="007B04AF" w:rsidRPr="00750C80">
        <w:rPr>
          <w:rFonts w:ascii="Times New Roman" w:hAnsi="Times New Roman" w:cs="Times New Roman"/>
          <w:sz w:val="24"/>
          <w:szCs w:val="24"/>
        </w:rPr>
        <w:t>bens de alta intensidade tecnológica do Brasil</w:t>
      </w:r>
      <w:r w:rsidRPr="00750C80">
        <w:rPr>
          <w:rFonts w:ascii="Times New Roman" w:hAnsi="Times New Roman" w:cs="Times New Roman"/>
          <w:sz w:val="24"/>
          <w:szCs w:val="24"/>
        </w:rPr>
        <w:t xml:space="preserve"> na América do Sul, por meio da utilização de dados em painel e aplicação do modelo gravitacional.</w:t>
      </w:r>
      <w:r w:rsidRPr="00750C80">
        <w:rPr>
          <w:rFonts w:ascii="Times New Roman" w:hAnsi="Times New Roman" w:cs="Times New Roman"/>
          <w:sz w:val="24"/>
          <w:szCs w:val="24"/>
        </w:rPr>
        <w:tab/>
        <w:t>Foi percebido que o Brasil apresenta forte relação de complementaridade comercial com seus vizinhos e é o principal ator econômico regional, com base em seu dinamismo industrial e competitividade que exerce, na região.</w:t>
      </w:r>
    </w:p>
    <w:p w14:paraId="77A7FEE6" w14:textId="77777777" w:rsidR="00007256" w:rsidRPr="00750C80" w:rsidRDefault="0000725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Ao longo da segunda metade do século XX o Brasil participou de processos de integração na América Latina, com vistas a promover a reestruturação do comércio exterior por meio da industrialização. Diante disso, passou a resguardar o mercado regional como escoamento de sua indústria nacional, cada vez menos competitiva.</w:t>
      </w:r>
    </w:p>
    <w:p w14:paraId="77A7FEE7" w14:textId="77777777" w:rsidR="005424B2" w:rsidRPr="00750C80" w:rsidRDefault="0000725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Em fins do século, o MERCOSUL foi fundamental processo de integração para manutenção das bases de comércio industrial brasileiro na região. A aplicação do modelo gravitacional evidenciou o efeito do bloco como centro de atração e comércio e atenuador da vantagem comparativa revelada regional do Brasil, e como consequente complementaridade comercial na região.</w:t>
      </w:r>
    </w:p>
    <w:p w14:paraId="77A7FEE8" w14:textId="3D1B454C" w:rsidR="001A308B" w:rsidRPr="00750C80" w:rsidRDefault="00007256"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r>
      <w:r w:rsidR="001A308B" w:rsidRPr="00750C80">
        <w:rPr>
          <w:rFonts w:ascii="Times New Roman" w:hAnsi="Times New Roman" w:cs="Times New Roman"/>
          <w:sz w:val="24"/>
          <w:szCs w:val="24"/>
        </w:rPr>
        <w:t>A tendência</w:t>
      </w:r>
      <w:r w:rsidR="00BC17F3" w:rsidRPr="00750C80">
        <w:rPr>
          <w:rFonts w:ascii="Times New Roman" w:hAnsi="Times New Roman" w:cs="Times New Roman"/>
          <w:sz w:val="24"/>
          <w:szCs w:val="24"/>
        </w:rPr>
        <w:t xml:space="preserve"> não</w:t>
      </w:r>
      <w:r w:rsidR="001A308B" w:rsidRPr="00750C80">
        <w:rPr>
          <w:rFonts w:ascii="Times New Roman" w:hAnsi="Times New Roman" w:cs="Times New Roman"/>
          <w:sz w:val="24"/>
          <w:szCs w:val="24"/>
        </w:rPr>
        <w:t xml:space="preserve"> declinante do ICC </w:t>
      </w:r>
      <w:r w:rsidR="00BC17F3" w:rsidRPr="00750C80">
        <w:rPr>
          <w:rFonts w:ascii="Times New Roman" w:hAnsi="Times New Roman" w:cs="Times New Roman"/>
          <w:sz w:val="24"/>
          <w:szCs w:val="24"/>
        </w:rPr>
        <w:t xml:space="preserve">a nível regional </w:t>
      </w:r>
      <w:r w:rsidR="001A308B" w:rsidRPr="00750C80">
        <w:rPr>
          <w:rFonts w:ascii="Times New Roman" w:hAnsi="Times New Roman" w:cs="Times New Roman"/>
          <w:sz w:val="24"/>
          <w:szCs w:val="24"/>
        </w:rPr>
        <w:t xml:space="preserve">reflete </w:t>
      </w:r>
      <w:r w:rsidR="00BC17F3" w:rsidRPr="00750C80">
        <w:rPr>
          <w:rFonts w:ascii="Times New Roman" w:hAnsi="Times New Roman" w:cs="Times New Roman"/>
          <w:sz w:val="24"/>
          <w:szCs w:val="24"/>
        </w:rPr>
        <w:t>a manutenção da competitividade regional em contrariedade à</w:t>
      </w:r>
      <w:r w:rsidR="001A308B" w:rsidRPr="00750C80">
        <w:rPr>
          <w:rFonts w:ascii="Times New Roman" w:hAnsi="Times New Roman" w:cs="Times New Roman"/>
          <w:sz w:val="24"/>
          <w:szCs w:val="24"/>
        </w:rPr>
        <w:t xml:space="preserve"> perda de significância da indústria na composição do PIB Brasileiro </w:t>
      </w:r>
      <w:r w:rsidR="00BC17F3" w:rsidRPr="00750C80">
        <w:rPr>
          <w:rFonts w:ascii="Times New Roman" w:hAnsi="Times New Roman" w:cs="Times New Roman"/>
          <w:sz w:val="24"/>
          <w:szCs w:val="24"/>
        </w:rPr>
        <w:t>e declínio das exportações de alta tecnologia em termos gerais</w:t>
      </w:r>
      <w:r w:rsidR="001A308B" w:rsidRPr="00750C80">
        <w:rPr>
          <w:rFonts w:ascii="Times New Roman" w:hAnsi="Times New Roman" w:cs="Times New Roman"/>
          <w:sz w:val="24"/>
          <w:szCs w:val="24"/>
        </w:rPr>
        <w:t xml:space="preserve">. </w:t>
      </w:r>
      <w:r w:rsidR="00BC17F3" w:rsidRPr="00750C80">
        <w:rPr>
          <w:rFonts w:ascii="Times New Roman" w:hAnsi="Times New Roman" w:cs="Times New Roman"/>
          <w:sz w:val="24"/>
          <w:szCs w:val="24"/>
        </w:rPr>
        <w:t>Foi verificado</w:t>
      </w:r>
      <w:r w:rsidR="00916127" w:rsidRPr="00750C80">
        <w:rPr>
          <w:rFonts w:ascii="Times New Roman" w:hAnsi="Times New Roman" w:cs="Times New Roman"/>
          <w:sz w:val="24"/>
          <w:szCs w:val="24"/>
        </w:rPr>
        <w:t xml:space="preserve"> que a variação da formação de capital fixo do Brasil mais que proporcional à variação da formação de capital fixo dos países</w:t>
      </w:r>
      <w:r w:rsidR="008B1900">
        <w:rPr>
          <w:rFonts w:ascii="Times New Roman" w:hAnsi="Times New Roman" w:cs="Times New Roman"/>
          <w:sz w:val="24"/>
          <w:szCs w:val="24"/>
        </w:rPr>
        <w:t xml:space="preserve"> parceiros apresentou um efe</w:t>
      </w:r>
      <w:r w:rsidR="00BC17F3" w:rsidRPr="00750C80">
        <w:rPr>
          <w:rFonts w:ascii="Times New Roman" w:hAnsi="Times New Roman" w:cs="Times New Roman"/>
          <w:sz w:val="24"/>
          <w:szCs w:val="24"/>
        </w:rPr>
        <w:t xml:space="preserve">ito positivo sobre a competitividade regional, o que indica a importância do fortalecimento da base industrial do país nos </w:t>
      </w:r>
      <w:bookmarkStart w:id="1" w:name="_GoBack"/>
      <w:bookmarkEnd w:id="1"/>
      <w:r w:rsidR="00BC17F3" w:rsidRPr="00750C80">
        <w:rPr>
          <w:rFonts w:ascii="Times New Roman" w:hAnsi="Times New Roman" w:cs="Times New Roman"/>
          <w:sz w:val="24"/>
          <w:szCs w:val="24"/>
        </w:rPr>
        <w:t>ganhos de comércio no subcontinente.</w:t>
      </w:r>
    </w:p>
    <w:p w14:paraId="77A7FEE9" w14:textId="77777777" w:rsidR="001A308B" w:rsidRPr="00750C80" w:rsidRDefault="001A308B"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lastRenderedPageBreak/>
        <w:tab/>
        <w:t xml:space="preserve">Por conseguinte, podem-se se considerar como condicionantes válidas para a manutenção em decadência da complementaridade comercial de </w:t>
      </w:r>
      <w:r w:rsidR="00BC17F3" w:rsidRPr="00750C80">
        <w:rPr>
          <w:rFonts w:ascii="Times New Roman" w:hAnsi="Times New Roman" w:cs="Times New Roman"/>
          <w:sz w:val="24"/>
          <w:szCs w:val="24"/>
        </w:rPr>
        <w:t>alta tecnologia</w:t>
      </w:r>
      <w:r w:rsidRPr="00750C80">
        <w:rPr>
          <w:rFonts w:ascii="Times New Roman" w:hAnsi="Times New Roman" w:cs="Times New Roman"/>
          <w:sz w:val="24"/>
          <w:szCs w:val="24"/>
        </w:rPr>
        <w:t xml:space="preserve"> na América do Sul, a partir da década de 1970, a manutenção do próprio comércio regional com as economias mais frágeis. A abertura comercial estabelecida com tais, propiciada por uma série de acordos historicamente estabelecidos e com materialização contemporânea no MERCOSUL, além da centralidade geográfica, política e econômica que o país estabelece no subcontinente, assim como o próprio dinamismo econômico dos parceiros em sua condição de importadores de manufaturas, são fundamentais para o alto índice de ICC observado no período.</w:t>
      </w:r>
    </w:p>
    <w:p w14:paraId="77A7FEEA" w14:textId="77777777" w:rsidR="001A308B" w:rsidRPr="00750C80" w:rsidRDefault="001A308B" w:rsidP="00C978DF">
      <w:pPr>
        <w:spacing w:after="0" w:line="360" w:lineRule="auto"/>
        <w:jc w:val="both"/>
        <w:rPr>
          <w:rFonts w:ascii="Times New Roman" w:hAnsi="Times New Roman" w:cs="Times New Roman"/>
          <w:sz w:val="24"/>
          <w:szCs w:val="24"/>
        </w:rPr>
      </w:pPr>
      <w:r w:rsidRPr="00750C80">
        <w:rPr>
          <w:rFonts w:ascii="Times New Roman" w:hAnsi="Times New Roman" w:cs="Times New Roman"/>
          <w:sz w:val="24"/>
          <w:szCs w:val="24"/>
        </w:rPr>
        <w:tab/>
        <w:t>Reitera-se, pois, a necessidade de expansão comercial regional e fortalecimento de políticas de fomento ao comércio e beneficiamento industrial, como fundamentais para ma</w:t>
      </w:r>
      <w:r w:rsidR="00BC17F3" w:rsidRPr="00750C80">
        <w:rPr>
          <w:rFonts w:ascii="Times New Roman" w:hAnsi="Times New Roman" w:cs="Times New Roman"/>
          <w:sz w:val="24"/>
          <w:szCs w:val="24"/>
        </w:rPr>
        <w:t>nutenção da competitividade da</w:t>
      </w:r>
      <w:r w:rsidRPr="00750C80">
        <w:rPr>
          <w:rFonts w:ascii="Times New Roman" w:hAnsi="Times New Roman" w:cs="Times New Roman"/>
          <w:sz w:val="24"/>
          <w:szCs w:val="24"/>
        </w:rPr>
        <w:t xml:space="preserve"> indústria </w:t>
      </w:r>
      <w:r w:rsidR="00BC17F3" w:rsidRPr="00750C80">
        <w:rPr>
          <w:rFonts w:ascii="Times New Roman" w:hAnsi="Times New Roman" w:cs="Times New Roman"/>
          <w:sz w:val="24"/>
          <w:szCs w:val="24"/>
        </w:rPr>
        <w:t xml:space="preserve">de alta tecnologia </w:t>
      </w:r>
      <w:r w:rsidRPr="00750C80">
        <w:rPr>
          <w:rFonts w:ascii="Times New Roman" w:hAnsi="Times New Roman" w:cs="Times New Roman"/>
          <w:sz w:val="24"/>
          <w:szCs w:val="24"/>
        </w:rPr>
        <w:t>nacional, sendo o mercado sul-americano eixo estratégico a ser trabalhado. Dadas as pressões externas e reestabelecimento da postura de vantagens comparativas em exportações de primários que o Brasil adota nas últimas décadas, faz-se pertinente integrar-se a mercados onde se estabelecem vantagens comparativas na exportação de bens de qualidade industrial.</w:t>
      </w:r>
    </w:p>
    <w:p w14:paraId="77A7FEEB" w14:textId="77777777" w:rsidR="00590571" w:rsidRPr="00750C80" w:rsidRDefault="0086480F" w:rsidP="00C978DF">
      <w:pPr>
        <w:spacing w:after="0" w:line="360" w:lineRule="auto"/>
        <w:ind w:firstLine="708"/>
        <w:jc w:val="both"/>
        <w:rPr>
          <w:rFonts w:ascii="Times New Roman" w:hAnsi="Times New Roman" w:cs="Times New Roman"/>
          <w:sz w:val="24"/>
          <w:szCs w:val="24"/>
        </w:rPr>
      </w:pPr>
      <w:r w:rsidRPr="00750C80">
        <w:rPr>
          <w:rFonts w:ascii="Times New Roman" w:hAnsi="Times New Roman" w:cs="Times New Roman"/>
          <w:sz w:val="24"/>
          <w:szCs w:val="24"/>
        </w:rPr>
        <w:t>Considera-se como limitação deste trabalho, a não incorporação do estudo da complementaridade comercial de outras intensidades tecnológicas, restringindo ao segmento de alta tecnologia. Sugere-se, para pesquisas futuras, a incorporação dos referidos grupos de bens, com adequação do modelo gravitacional para cada segmento de mercado.</w:t>
      </w:r>
    </w:p>
    <w:p w14:paraId="77A7FEEC" w14:textId="77777777" w:rsidR="00B70827" w:rsidRPr="00750C80" w:rsidRDefault="00B70827" w:rsidP="00C978DF">
      <w:pPr>
        <w:spacing w:after="0" w:line="360" w:lineRule="auto"/>
        <w:jc w:val="both"/>
        <w:rPr>
          <w:rFonts w:ascii="Times New Roman" w:hAnsi="Times New Roman" w:cs="Times New Roman"/>
          <w:b/>
          <w:sz w:val="24"/>
          <w:szCs w:val="24"/>
        </w:rPr>
      </w:pPr>
    </w:p>
    <w:p w14:paraId="77A7FEED" w14:textId="77777777" w:rsidR="00C95B85" w:rsidRPr="00750C80" w:rsidRDefault="00B02AF2" w:rsidP="00BA6257">
      <w:pPr>
        <w:spacing w:after="0" w:line="360" w:lineRule="auto"/>
        <w:rPr>
          <w:rFonts w:ascii="Times New Roman" w:hAnsi="Times New Roman" w:cs="Times New Roman"/>
          <w:b/>
          <w:sz w:val="24"/>
          <w:szCs w:val="24"/>
        </w:rPr>
      </w:pPr>
      <w:r w:rsidRPr="00750C80">
        <w:rPr>
          <w:rFonts w:ascii="Times New Roman" w:hAnsi="Times New Roman" w:cs="Times New Roman"/>
          <w:b/>
          <w:sz w:val="24"/>
          <w:szCs w:val="24"/>
        </w:rPr>
        <w:t>Referências</w:t>
      </w:r>
    </w:p>
    <w:p w14:paraId="77A7FEEE" w14:textId="77777777" w:rsidR="00BA6257" w:rsidRPr="00750C80" w:rsidRDefault="00BA6257" w:rsidP="00BA6257">
      <w:pPr>
        <w:spacing w:after="0" w:line="360" w:lineRule="auto"/>
        <w:rPr>
          <w:rFonts w:ascii="Times New Roman" w:hAnsi="Times New Roman" w:cs="Times New Roman"/>
          <w:b/>
          <w:sz w:val="24"/>
          <w:szCs w:val="24"/>
        </w:rPr>
      </w:pPr>
    </w:p>
    <w:p w14:paraId="77A7FEEF" w14:textId="77777777" w:rsidR="00C95B85" w:rsidRPr="00CC27A7"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ALMEIDA, P. R. de. A Formação da Diplomacia Econômica do Brasil. In: </w:t>
      </w:r>
      <w:r w:rsidRPr="00750C80">
        <w:rPr>
          <w:rFonts w:ascii="Times New Roman" w:hAnsi="Times New Roman" w:cs="Times New Roman"/>
          <w:i/>
          <w:sz w:val="24"/>
          <w:szCs w:val="24"/>
        </w:rPr>
        <w:t>Lua Nova</w:t>
      </w:r>
      <w:r w:rsidRPr="00750C80">
        <w:rPr>
          <w:rFonts w:ascii="Times New Roman" w:hAnsi="Times New Roman" w:cs="Times New Roman"/>
          <w:sz w:val="24"/>
          <w:szCs w:val="24"/>
        </w:rPr>
        <w:t>: Revista de Cultura e Pol</w:t>
      </w:r>
      <w:r w:rsidR="00BA6257" w:rsidRPr="00750C80">
        <w:rPr>
          <w:rFonts w:ascii="Times New Roman" w:hAnsi="Times New Roman" w:cs="Times New Roman"/>
          <w:sz w:val="24"/>
          <w:szCs w:val="24"/>
        </w:rPr>
        <w:t xml:space="preserve">ítica. </w:t>
      </w:r>
      <w:r w:rsidR="00BA6257" w:rsidRPr="00CC27A7">
        <w:rPr>
          <w:rFonts w:ascii="Times New Roman" w:hAnsi="Times New Roman" w:cs="Times New Roman"/>
          <w:sz w:val="24"/>
          <w:szCs w:val="24"/>
        </w:rPr>
        <w:t xml:space="preserve">São Paulo: </w:t>
      </w:r>
      <w:proofErr w:type="spellStart"/>
      <w:r w:rsidR="00BA6257" w:rsidRPr="00CC27A7">
        <w:rPr>
          <w:rFonts w:ascii="Times New Roman" w:hAnsi="Times New Roman" w:cs="Times New Roman"/>
          <w:sz w:val="24"/>
          <w:szCs w:val="24"/>
        </w:rPr>
        <w:t>Scielo</w:t>
      </w:r>
      <w:proofErr w:type="spellEnd"/>
      <w:r w:rsidR="00BA6257" w:rsidRPr="00CC27A7">
        <w:rPr>
          <w:rFonts w:ascii="Times New Roman" w:hAnsi="Times New Roman" w:cs="Times New Roman"/>
          <w:sz w:val="24"/>
          <w:szCs w:val="24"/>
        </w:rPr>
        <w:t>, 1999.</w:t>
      </w:r>
    </w:p>
    <w:p w14:paraId="77A7FEF0" w14:textId="77777777" w:rsidR="00D44F84" w:rsidRPr="00750C80" w:rsidRDefault="00C95B85"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lang w:val="en-US"/>
        </w:rPr>
        <w:t>A</w:t>
      </w:r>
      <w:r w:rsidR="00EF246E" w:rsidRPr="00750C80">
        <w:rPr>
          <w:rFonts w:ascii="Times New Roman" w:hAnsi="Times New Roman" w:cs="Times New Roman"/>
          <w:sz w:val="24"/>
          <w:szCs w:val="24"/>
          <w:lang w:val="en-US"/>
        </w:rPr>
        <w:t>NDERSON</w:t>
      </w:r>
      <w:r w:rsidRPr="00750C80">
        <w:rPr>
          <w:rFonts w:ascii="Times New Roman" w:hAnsi="Times New Roman" w:cs="Times New Roman"/>
          <w:sz w:val="24"/>
          <w:szCs w:val="24"/>
          <w:lang w:val="en-US"/>
        </w:rPr>
        <w:t>, J. E. A theoretical foundation for the gravity equation</w:t>
      </w:r>
      <w:r w:rsidRPr="00750C80">
        <w:rPr>
          <w:rFonts w:ascii="Times New Roman" w:hAnsi="Times New Roman" w:cs="Times New Roman"/>
          <w:b/>
          <w:i/>
          <w:sz w:val="24"/>
          <w:szCs w:val="24"/>
          <w:lang w:val="en-US"/>
        </w:rPr>
        <w:t>.</w:t>
      </w:r>
      <w:r w:rsidRPr="00750C80">
        <w:rPr>
          <w:rFonts w:ascii="Times New Roman" w:hAnsi="Times New Roman" w:cs="Times New Roman"/>
          <w:sz w:val="24"/>
          <w:szCs w:val="24"/>
          <w:lang w:val="en-US"/>
        </w:rPr>
        <w:t xml:space="preserve"> In: </w:t>
      </w:r>
      <w:r w:rsidRPr="00750C80">
        <w:rPr>
          <w:rFonts w:ascii="Times New Roman" w:hAnsi="Times New Roman" w:cs="Times New Roman"/>
          <w:i/>
          <w:sz w:val="24"/>
          <w:szCs w:val="24"/>
          <w:lang w:val="en-US"/>
        </w:rPr>
        <w:t>The American Economic Review</w:t>
      </w:r>
      <w:r w:rsidR="00BA6257" w:rsidRPr="00750C80">
        <w:rPr>
          <w:rFonts w:ascii="Times New Roman" w:hAnsi="Times New Roman" w:cs="Times New Roman"/>
          <w:sz w:val="24"/>
          <w:szCs w:val="24"/>
          <w:lang w:val="en-US"/>
        </w:rPr>
        <w:t xml:space="preserve"> 69.1, p. 106-116, 1979.</w:t>
      </w:r>
    </w:p>
    <w:p w14:paraId="77A7FEF1" w14:textId="77777777" w:rsidR="00C95B85" w:rsidRPr="00750C80" w:rsidRDefault="00D44F84"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lang w:val="en-US"/>
        </w:rPr>
        <w:t xml:space="preserve">ANDERSON, J. E. The Gravity Model. In: </w:t>
      </w:r>
      <w:r w:rsidRPr="00750C80">
        <w:rPr>
          <w:rFonts w:ascii="Times New Roman" w:hAnsi="Times New Roman" w:cs="Times New Roman"/>
          <w:i/>
          <w:sz w:val="24"/>
          <w:szCs w:val="24"/>
          <w:lang w:val="en-US"/>
        </w:rPr>
        <w:t>NBER Working Paper,</w:t>
      </w:r>
      <w:r w:rsidRPr="00750C80">
        <w:rPr>
          <w:rFonts w:ascii="Times New Roman" w:hAnsi="Times New Roman" w:cs="Times New Roman"/>
          <w:sz w:val="24"/>
          <w:szCs w:val="24"/>
          <w:lang w:val="en-US"/>
        </w:rPr>
        <w:t xml:space="preserve"> No. 16576. </w:t>
      </w:r>
      <w:r w:rsidRPr="00750C80">
        <w:rPr>
          <w:rFonts w:ascii="Times New Roman" w:hAnsi="Times New Roman" w:cs="Times New Roman"/>
          <w:sz w:val="24"/>
          <w:szCs w:val="24"/>
        </w:rPr>
        <w:t>Cambridge, 2010</w:t>
      </w:r>
      <w:r w:rsidR="00BA6257" w:rsidRPr="00750C80">
        <w:rPr>
          <w:rFonts w:ascii="Times New Roman" w:hAnsi="Times New Roman" w:cs="Times New Roman"/>
          <w:sz w:val="24"/>
          <w:szCs w:val="24"/>
        </w:rPr>
        <w:t>.</w:t>
      </w:r>
    </w:p>
    <w:p w14:paraId="77A7FEF2"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ARRAES, V. A Difícil Integração dos Países do Cone Sul. In:</w:t>
      </w:r>
      <w:r w:rsidRPr="00750C80">
        <w:rPr>
          <w:rFonts w:ascii="Times New Roman" w:hAnsi="Times New Roman" w:cs="Times New Roman"/>
          <w:i/>
          <w:sz w:val="24"/>
          <w:szCs w:val="24"/>
        </w:rPr>
        <w:t xml:space="preserve"> Meridiano 47</w:t>
      </w:r>
      <w:r w:rsidR="00BA6257" w:rsidRPr="00750C80">
        <w:rPr>
          <w:rFonts w:ascii="Times New Roman" w:hAnsi="Times New Roman" w:cs="Times New Roman"/>
          <w:sz w:val="24"/>
          <w:szCs w:val="24"/>
        </w:rPr>
        <w:t>, vol. 12, Brasília: UnB, 2011.</w:t>
      </w:r>
    </w:p>
    <w:p w14:paraId="77A7FEF3" w14:textId="77777777" w:rsidR="00A827CE" w:rsidRPr="00750C80" w:rsidRDefault="00A827CE"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lang w:val="en-US"/>
        </w:rPr>
        <w:t xml:space="preserve">BALASSA, B. Trade liberalization and revealed comparative advantage. </w:t>
      </w:r>
      <w:r w:rsidRPr="00750C80">
        <w:rPr>
          <w:rFonts w:ascii="Times New Roman" w:hAnsi="Times New Roman" w:cs="Times New Roman"/>
          <w:i/>
          <w:sz w:val="24"/>
          <w:szCs w:val="24"/>
          <w:lang w:val="en-US"/>
        </w:rPr>
        <w:t>Manchester School of</w:t>
      </w:r>
      <w:r w:rsidR="00BA6257" w:rsidRPr="00750C80">
        <w:rPr>
          <w:rFonts w:ascii="Times New Roman" w:hAnsi="Times New Roman" w:cs="Times New Roman"/>
          <w:i/>
          <w:sz w:val="24"/>
          <w:szCs w:val="24"/>
          <w:lang w:val="en-US"/>
        </w:rPr>
        <w:t xml:space="preserve"> </w:t>
      </w:r>
      <w:r w:rsidRPr="00750C80">
        <w:rPr>
          <w:rFonts w:ascii="Times New Roman" w:hAnsi="Times New Roman" w:cs="Times New Roman"/>
          <w:i/>
          <w:sz w:val="24"/>
          <w:szCs w:val="24"/>
          <w:lang w:val="en-US"/>
        </w:rPr>
        <w:t>Economics and Social Studies</w:t>
      </w:r>
      <w:r w:rsidRPr="00750C80">
        <w:rPr>
          <w:rFonts w:ascii="Times New Roman" w:hAnsi="Times New Roman" w:cs="Times New Roman"/>
          <w:sz w:val="24"/>
          <w:szCs w:val="24"/>
          <w:lang w:val="en-US"/>
        </w:rPr>
        <w:t>, n. 33, p. 99-123, 1965.</w:t>
      </w:r>
    </w:p>
    <w:p w14:paraId="77A7FEF4" w14:textId="77777777" w:rsidR="00C95B85" w:rsidRPr="00750C80" w:rsidRDefault="00C95B85" w:rsidP="00B02AF2">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lang w:val="en-US"/>
        </w:rPr>
        <w:lastRenderedPageBreak/>
        <w:t xml:space="preserve">BALTAGI, B. H. </w:t>
      </w:r>
      <w:r w:rsidRPr="00750C80">
        <w:rPr>
          <w:rFonts w:ascii="Times New Roman" w:hAnsi="Times New Roman" w:cs="Times New Roman"/>
          <w:i/>
          <w:sz w:val="24"/>
          <w:szCs w:val="24"/>
          <w:lang w:val="en-US"/>
        </w:rPr>
        <w:t>Econometric Analyses of Panel Data</w:t>
      </w:r>
      <w:r w:rsidRPr="00750C80">
        <w:rPr>
          <w:rFonts w:ascii="Times New Roman" w:hAnsi="Times New Roman" w:cs="Times New Roman"/>
          <w:sz w:val="24"/>
          <w:szCs w:val="24"/>
          <w:lang w:val="en-US"/>
        </w:rPr>
        <w:t xml:space="preserve"> – 3rd. Ed. </w:t>
      </w:r>
      <w:proofErr w:type="spellStart"/>
      <w:r w:rsidRPr="00750C80">
        <w:rPr>
          <w:rFonts w:ascii="Times New Roman" w:hAnsi="Times New Roman" w:cs="Times New Roman"/>
          <w:sz w:val="24"/>
          <w:szCs w:val="24"/>
          <w:lang w:val="en-US"/>
        </w:rPr>
        <w:t>Chich</w:t>
      </w:r>
      <w:r w:rsidR="00BA6257" w:rsidRPr="00750C80">
        <w:rPr>
          <w:rFonts w:ascii="Times New Roman" w:hAnsi="Times New Roman" w:cs="Times New Roman"/>
          <w:sz w:val="24"/>
          <w:szCs w:val="24"/>
          <w:lang w:val="en-US"/>
        </w:rPr>
        <w:t>ester</w:t>
      </w:r>
      <w:proofErr w:type="spellEnd"/>
      <w:r w:rsidR="00BA6257" w:rsidRPr="00750C80">
        <w:rPr>
          <w:rFonts w:ascii="Times New Roman" w:hAnsi="Times New Roman" w:cs="Times New Roman"/>
          <w:sz w:val="24"/>
          <w:szCs w:val="24"/>
          <w:lang w:val="en-US"/>
        </w:rPr>
        <w:t>: John Wiley &amp; Sons, 2005.</w:t>
      </w:r>
    </w:p>
    <w:p w14:paraId="77A7FEF5"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lang w:val="en-US"/>
        </w:rPr>
        <w:t xml:space="preserve">BALASSA, B. </w:t>
      </w:r>
      <w:r w:rsidRPr="00750C80">
        <w:rPr>
          <w:rFonts w:ascii="Times New Roman" w:hAnsi="Times New Roman" w:cs="Times New Roman"/>
          <w:bCs/>
          <w:i/>
          <w:iCs/>
          <w:sz w:val="24"/>
          <w:szCs w:val="24"/>
          <w:lang w:val="en-US"/>
        </w:rPr>
        <w:t>Trade liberalization and “revealed” comparative advantage</w:t>
      </w:r>
      <w:r w:rsidRPr="00750C80">
        <w:rPr>
          <w:rFonts w:ascii="Times New Roman" w:hAnsi="Times New Roman" w:cs="Times New Roman"/>
          <w:i/>
          <w:iCs/>
          <w:sz w:val="24"/>
          <w:szCs w:val="24"/>
          <w:lang w:val="en-US"/>
        </w:rPr>
        <w:t xml:space="preserve">. </w:t>
      </w:r>
      <w:r w:rsidRPr="00750C80">
        <w:rPr>
          <w:rFonts w:ascii="Times New Roman" w:hAnsi="Times New Roman" w:cs="Times New Roman"/>
          <w:iCs/>
          <w:sz w:val="24"/>
          <w:szCs w:val="24"/>
        </w:rPr>
        <w:t xml:space="preserve">Manchester: The Manchester </w:t>
      </w:r>
      <w:proofErr w:type="spellStart"/>
      <w:r w:rsidRPr="00750C80">
        <w:rPr>
          <w:rFonts w:ascii="Times New Roman" w:hAnsi="Times New Roman" w:cs="Times New Roman"/>
          <w:iCs/>
          <w:sz w:val="24"/>
          <w:szCs w:val="24"/>
        </w:rPr>
        <w:t>School</w:t>
      </w:r>
      <w:proofErr w:type="spellEnd"/>
      <w:r w:rsidRPr="00750C80">
        <w:rPr>
          <w:rFonts w:ascii="Times New Roman" w:hAnsi="Times New Roman" w:cs="Times New Roman"/>
          <w:iCs/>
          <w:sz w:val="24"/>
          <w:szCs w:val="24"/>
        </w:rPr>
        <w:t xml:space="preserve"> </w:t>
      </w:r>
      <w:proofErr w:type="spellStart"/>
      <w:r w:rsidRPr="00750C80">
        <w:rPr>
          <w:rFonts w:ascii="Times New Roman" w:hAnsi="Times New Roman" w:cs="Times New Roman"/>
          <w:iCs/>
          <w:sz w:val="24"/>
          <w:szCs w:val="24"/>
        </w:rPr>
        <w:t>of</w:t>
      </w:r>
      <w:proofErr w:type="spellEnd"/>
      <w:r w:rsidRPr="00750C80">
        <w:rPr>
          <w:rFonts w:ascii="Times New Roman" w:hAnsi="Times New Roman" w:cs="Times New Roman"/>
          <w:iCs/>
          <w:sz w:val="24"/>
          <w:szCs w:val="24"/>
        </w:rPr>
        <w:t xml:space="preserve"> </w:t>
      </w:r>
      <w:proofErr w:type="spellStart"/>
      <w:r w:rsidRPr="00750C80">
        <w:rPr>
          <w:rFonts w:ascii="Times New Roman" w:hAnsi="Times New Roman" w:cs="Times New Roman"/>
          <w:iCs/>
          <w:sz w:val="24"/>
          <w:szCs w:val="24"/>
        </w:rPr>
        <w:t>Economic</w:t>
      </w:r>
      <w:proofErr w:type="spellEnd"/>
      <w:r w:rsidRPr="00750C80">
        <w:rPr>
          <w:rFonts w:ascii="Times New Roman" w:hAnsi="Times New Roman" w:cs="Times New Roman"/>
          <w:iCs/>
          <w:sz w:val="24"/>
          <w:szCs w:val="24"/>
        </w:rPr>
        <w:t xml:space="preserve"> </w:t>
      </w:r>
      <w:proofErr w:type="spellStart"/>
      <w:r w:rsidRPr="00750C80">
        <w:rPr>
          <w:rFonts w:ascii="Times New Roman" w:hAnsi="Times New Roman" w:cs="Times New Roman"/>
          <w:iCs/>
          <w:sz w:val="24"/>
          <w:szCs w:val="24"/>
        </w:rPr>
        <w:t>and</w:t>
      </w:r>
      <w:proofErr w:type="spellEnd"/>
      <w:r w:rsidRPr="00750C80">
        <w:rPr>
          <w:rFonts w:ascii="Times New Roman" w:hAnsi="Times New Roman" w:cs="Times New Roman"/>
          <w:iCs/>
          <w:sz w:val="24"/>
          <w:szCs w:val="24"/>
        </w:rPr>
        <w:t xml:space="preserve"> Social </w:t>
      </w:r>
      <w:proofErr w:type="spellStart"/>
      <w:r w:rsidRPr="00750C80">
        <w:rPr>
          <w:rFonts w:ascii="Times New Roman" w:hAnsi="Times New Roman" w:cs="Times New Roman"/>
          <w:iCs/>
          <w:sz w:val="24"/>
          <w:szCs w:val="24"/>
        </w:rPr>
        <w:t>Studies</w:t>
      </w:r>
      <w:proofErr w:type="spellEnd"/>
      <w:r w:rsidRPr="00750C80">
        <w:rPr>
          <w:rFonts w:ascii="Times New Roman" w:hAnsi="Times New Roman" w:cs="Times New Roman"/>
          <w:i/>
          <w:iCs/>
          <w:sz w:val="24"/>
          <w:szCs w:val="24"/>
        </w:rPr>
        <w:t xml:space="preserve">, </w:t>
      </w:r>
      <w:r w:rsidR="00BA6257" w:rsidRPr="00750C80">
        <w:rPr>
          <w:rFonts w:ascii="Times New Roman" w:hAnsi="Times New Roman" w:cs="Times New Roman"/>
          <w:sz w:val="24"/>
          <w:szCs w:val="24"/>
        </w:rPr>
        <w:t>1965.</w:t>
      </w:r>
    </w:p>
    <w:p w14:paraId="77A7FEF6"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BANDEIRA, M. </w:t>
      </w:r>
      <w:r w:rsidRPr="00750C80">
        <w:rPr>
          <w:rFonts w:ascii="Times New Roman" w:hAnsi="Times New Roman" w:cs="Times New Roman"/>
          <w:bCs/>
          <w:i/>
          <w:sz w:val="24"/>
          <w:szCs w:val="24"/>
        </w:rPr>
        <w:t>Brasil, Argentina e Estados Unidos</w:t>
      </w:r>
      <w:r w:rsidRPr="00750C80">
        <w:rPr>
          <w:rFonts w:ascii="Times New Roman" w:hAnsi="Times New Roman" w:cs="Times New Roman"/>
          <w:sz w:val="24"/>
          <w:szCs w:val="24"/>
        </w:rPr>
        <w:t>: Conflito e integração na América do Sul: Da Tríplice Aliança ao MERCOSUL, 1870-200</w:t>
      </w:r>
      <w:r w:rsidR="00BA6257" w:rsidRPr="00750C80">
        <w:rPr>
          <w:rFonts w:ascii="Times New Roman" w:hAnsi="Times New Roman" w:cs="Times New Roman"/>
          <w:sz w:val="24"/>
          <w:szCs w:val="24"/>
        </w:rPr>
        <w:t xml:space="preserve">1. Rio de Janeiro: </w:t>
      </w:r>
      <w:proofErr w:type="spellStart"/>
      <w:r w:rsidR="00BA6257" w:rsidRPr="00750C80">
        <w:rPr>
          <w:rFonts w:ascii="Times New Roman" w:hAnsi="Times New Roman" w:cs="Times New Roman"/>
          <w:sz w:val="24"/>
          <w:szCs w:val="24"/>
        </w:rPr>
        <w:t>Revan</w:t>
      </w:r>
      <w:proofErr w:type="spellEnd"/>
      <w:r w:rsidR="00BA6257" w:rsidRPr="00750C80">
        <w:rPr>
          <w:rFonts w:ascii="Times New Roman" w:hAnsi="Times New Roman" w:cs="Times New Roman"/>
          <w:sz w:val="24"/>
          <w:szCs w:val="24"/>
        </w:rPr>
        <w:t>, 2003.</w:t>
      </w:r>
    </w:p>
    <w:p w14:paraId="77A7FEF7"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BARBOSA, R. </w:t>
      </w:r>
      <w:r w:rsidRPr="00750C80">
        <w:rPr>
          <w:rFonts w:ascii="Times New Roman" w:hAnsi="Times New Roman" w:cs="Times New Roman"/>
          <w:i/>
          <w:sz w:val="24"/>
          <w:szCs w:val="24"/>
        </w:rPr>
        <w:t>MERCOSUL e a Integração Regional</w:t>
      </w:r>
      <w:r w:rsidRPr="00750C80">
        <w:rPr>
          <w:rFonts w:ascii="Times New Roman" w:hAnsi="Times New Roman" w:cs="Times New Roman"/>
          <w:sz w:val="24"/>
          <w:szCs w:val="24"/>
        </w:rPr>
        <w:t xml:space="preserve">. São </w:t>
      </w:r>
      <w:r w:rsidR="00BA6257" w:rsidRPr="00750C80">
        <w:rPr>
          <w:rFonts w:ascii="Times New Roman" w:hAnsi="Times New Roman" w:cs="Times New Roman"/>
          <w:sz w:val="24"/>
          <w:szCs w:val="24"/>
        </w:rPr>
        <w:t>Paulo: Fundação Memorial, 2010.</w:t>
      </w:r>
    </w:p>
    <w:p w14:paraId="77A7FEF8"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BASTOS, P. P. Z. </w:t>
      </w:r>
      <w:r w:rsidRPr="00750C80">
        <w:rPr>
          <w:rFonts w:ascii="Times New Roman" w:hAnsi="Times New Roman" w:cs="Times New Roman"/>
          <w:i/>
          <w:sz w:val="24"/>
          <w:szCs w:val="24"/>
        </w:rPr>
        <w:t>A economia política da integração da América do Sul no mundo pós-crise</w:t>
      </w:r>
      <w:r w:rsidRPr="00750C80">
        <w:rPr>
          <w:rFonts w:ascii="Times New Roman" w:hAnsi="Times New Roman" w:cs="Times New Roman"/>
          <w:b/>
          <w:sz w:val="24"/>
          <w:szCs w:val="24"/>
        </w:rPr>
        <w:t>.</w:t>
      </w:r>
      <w:r w:rsidRPr="00750C80">
        <w:rPr>
          <w:rFonts w:ascii="Times New Roman" w:hAnsi="Times New Roman" w:cs="Times New Roman"/>
          <w:sz w:val="24"/>
          <w:szCs w:val="24"/>
        </w:rPr>
        <w:t xml:space="preserve"> Publicado no site do Observatório da Economia Glob</w:t>
      </w:r>
      <w:r w:rsidR="00BA6257" w:rsidRPr="00750C80">
        <w:rPr>
          <w:rFonts w:ascii="Times New Roman" w:hAnsi="Times New Roman" w:cs="Times New Roman"/>
          <w:sz w:val="24"/>
          <w:szCs w:val="24"/>
        </w:rPr>
        <w:t>al. Campinas: IE-UNICAMP, 2012.</w:t>
      </w:r>
    </w:p>
    <w:p w14:paraId="77A7FEF9" w14:textId="77777777" w:rsidR="00C95B85" w:rsidRPr="00750C80" w:rsidRDefault="00C95B85"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lang w:val="en-US"/>
        </w:rPr>
        <w:t xml:space="preserve">BERGSTRAND, Jeffrey H. The generalized gravity equation, monopolistic competition, and the factor-proportions theory in international trade. In: </w:t>
      </w:r>
      <w:r w:rsidRPr="00750C80">
        <w:rPr>
          <w:rFonts w:ascii="Times New Roman" w:hAnsi="Times New Roman" w:cs="Times New Roman"/>
          <w:i/>
          <w:sz w:val="24"/>
          <w:szCs w:val="24"/>
          <w:lang w:val="en-US"/>
        </w:rPr>
        <w:t>The review of economics and statistics</w:t>
      </w:r>
      <w:r w:rsidR="00BA6257" w:rsidRPr="00750C80">
        <w:rPr>
          <w:rFonts w:ascii="Times New Roman" w:hAnsi="Times New Roman" w:cs="Times New Roman"/>
          <w:sz w:val="24"/>
          <w:szCs w:val="24"/>
          <w:lang w:val="en-US"/>
        </w:rPr>
        <w:t>, p. 143-153, 1989.</w:t>
      </w:r>
    </w:p>
    <w:p w14:paraId="77A7FEFA" w14:textId="77777777" w:rsidR="00C95B85" w:rsidRPr="00750C80" w:rsidRDefault="00C95B85"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lang w:val="en-US"/>
        </w:rPr>
        <w:t xml:space="preserve">BIELSHOLWSKY, R. </w:t>
      </w:r>
      <w:proofErr w:type="spellStart"/>
      <w:r w:rsidRPr="00750C80">
        <w:rPr>
          <w:rFonts w:ascii="Times New Roman" w:hAnsi="Times New Roman" w:cs="Times New Roman"/>
          <w:i/>
          <w:sz w:val="24"/>
          <w:szCs w:val="24"/>
          <w:lang w:val="en-US"/>
        </w:rPr>
        <w:t>Sesenta</w:t>
      </w:r>
      <w:proofErr w:type="spellEnd"/>
      <w:r w:rsidRPr="00750C80">
        <w:rPr>
          <w:rFonts w:ascii="Times New Roman" w:hAnsi="Times New Roman" w:cs="Times New Roman"/>
          <w:i/>
          <w:sz w:val="24"/>
          <w:szCs w:val="24"/>
          <w:lang w:val="en-US"/>
        </w:rPr>
        <w:t xml:space="preserve"> </w:t>
      </w:r>
      <w:proofErr w:type="spellStart"/>
      <w:r w:rsidRPr="00750C80">
        <w:rPr>
          <w:rFonts w:ascii="Times New Roman" w:hAnsi="Times New Roman" w:cs="Times New Roman"/>
          <w:i/>
          <w:sz w:val="24"/>
          <w:szCs w:val="24"/>
          <w:lang w:val="en-US"/>
        </w:rPr>
        <w:t>años</w:t>
      </w:r>
      <w:proofErr w:type="spellEnd"/>
      <w:r w:rsidRPr="00750C80">
        <w:rPr>
          <w:rFonts w:ascii="Times New Roman" w:hAnsi="Times New Roman" w:cs="Times New Roman"/>
          <w:i/>
          <w:sz w:val="24"/>
          <w:szCs w:val="24"/>
          <w:lang w:val="en-US"/>
        </w:rPr>
        <w:t xml:space="preserve"> de la CEPAL</w:t>
      </w:r>
      <w:r w:rsidRPr="00750C80">
        <w:rPr>
          <w:rFonts w:ascii="Times New Roman" w:hAnsi="Times New Roman" w:cs="Times New Roman"/>
          <w:sz w:val="24"/>
          <w:szCs w:val="24"/>
          <w:lang w:val="en-US"/>
        </w:rPr>
        <w:t xml:space="preserve">: </w:t>
      </w:r>
      <w:proofErr w:type="spellStart"/>
      <w:r w:rsidRPr="00750C80">
        <w:rPr>
          <w:rFonts w:ascii="Times New Roman" w:hAnsi="Times New Roman" w:cs="Times New Roman"/>
          <w:sz w:val="24"/>
          <w:szCs w:val="24"/>
          <w:lang w:val="en-US"/>
        </w:rPr>
        <w:t>estruturalismo</w:t>
      </w:r>
      <w:proofErr w:type="spellEnd"/>
      <w:r w:rsidRPr="00750C80">
        <w:rPr>
          <w:rFonts w:ascii="Times New Roman" w:hAnsi="Times New Roman" w:cs="Times New Roman"/>
          <w:sz w:val="24"/>
          <w:szCs w:val="24"/>
          <w:lang w:val="en-US"/>
        </w:rPr>
        <w:t xml:space="preserve"> y </w:t>
      </w:r>
      <w:proofErr w:type="spellStart"/>
      <w:r w:rsidRPr="00750C80">
        <w:rPr>
          <w:rFonts w:ascii="Times New Roman" w:hAnsi="Times New Roman" w:cs="Times New Roman"/>
          <w:sz w:val="24"/>
          <w:szCs w:val="24"/>
          <w:lang w:val="en-US"/>
        </w:rPr>
        <w:t>neoestruturalismo</w:t>
      </w:r>
      <w:proofErr w:type="spellEnd"/>
      <w:r w:rsidRPr="00750C80">
        <w:rPr>
          <w:rFonts w:ascii="Times New Roman" w:hAnsi="Times New Roman" w:cs="Times New Roman"/>
          <w:sz w:val="24"/>
          <w:szCs w:val="24"/>
          <w:lang w:val="en-US"/>
        </w:rPr>
        <w:t xml:space="preserve">. </w:t>
      </w:r>
      <w:proofErr w:type="spellStart"/>
      <w:r w:rsidR="00BA6257" w:rsidRPr="00750C80">
        <w:rPr>
          <w:rFonts w:ascii="Times New Roman" w:hAnsi="Times New Roman" w:cs="Times New Roman"/>
          <w:sz w:val="24"/>
          <w:szCs w:val="24"/>
          <w:lang w:val="en-US"/>
        </w:rPr>
        <w:t>Revista</w:t>
      </w:r>
      <w:proofErr w:type="spellEnd"/>
      <w:r w:rsidR="00BA6257" w:rsidRPr="00750C80">
        <w:rPr>
          <w:rFonts w:ascii="Times New Roman" w:hAnsi="Times New Roman" w:cs="Times New Roman"/>
          <w:sz w:val="24"/>
          <w:szCs w:val="24"/>
          <w:lang w:val="en-US"/>
        </w:rPr>
        <w:t xml:space="preserve"> CEPAL, 97, 2009.</w:t>
      </w:r>
    </w:p>
    <w:p w14:paraId="3A91D5D0" w14:textId="60300637" w:rsidR="008D30B5" w:rsidRPr="00750C80" w:rsidRDefault="008D30B5" w:rsidP="00BA6257">
      <w:pPr>
        <w:spacing w:after="120" w:line="360" w:lineRule="auto"/>
        <w:rPr>
          <w:rFonts w:ascii="Times New Roman" w:hAnsi="Times New Roman" w:cs="Times New Roman"/>
          <w:sz w:val="24"/>
          <w:szCs w:val="24"/>
          <w:lang w:val="en-US"/>
        </w:rPr>
      </w:pPr>
      <w:r w:rsidRPr="00750C80">
        <w:rPr>
          <w:rFonts w:ascii="TimesNewRomanPSMT" w:hAnsi="TimesNewRomanPSMT"/>
          <w:color w:val="000000"/>
          <w:sz w:val="24"/>
          <w:szCs w:val="24"/>
          <w:lang w:val="en-US"/>
        </w:rPr>
        <w:t>BREUSCH, T.; A. PAGAN. The LM Test and Its Applications to Model Specification in</w:t>
      </w:r>
      <w:r w:rsidRPr="00750C80">
        <w:rPr>
          <w:rFonts w:ascii="TimesNewRomanPSMT" w:hAnsi="TimesNewRomanPSMT"/>
          <w:color w:val="000000"/>
          <w:lang w:val="en-US"/>
        </w:rPr>
        <w:br/>
      </w:r>
      <w:r w:rsidRPr="00750C80">
        <w:rPr>
          <w:rFonts w:ascii="TimesNewRomanPSMT" w:hAnsi="TimesNewRomanPSMT"/>
          <w:color w:val="000000"/>
          <w:sz w:val="24"/>
          <w:szCs w:val="24"/>
          <w:lang w:val="en-US"/>
        </w:rPr>
        <w:t>Econometrics</w:t>
      </w:r>
      <w:r w:rsidRPr="00750C80">
        <w:rPr>
          <w:rFonts w:ascii="TimesNewRomanPS-ItalicMT" w:hAnsi="TimesNewRomanPS-ItalicMT"/>
          <w:i/>
          <w:iCs/>
          <w:color w:val="000000"/>
          <w:sz w:val="24"/>
          <w:szCs w:val="24"/>
          <w:lang w:val="en-US"/>
        </w:rPr>
        <w:t xml:space="preserve">. </w:t>
      </w:r>
      <w:r w:rsidRPr="00750C80">
        <w:rPr>
          <w:rFonts w:ascii="TimesNewRomanPS-BoldMT" w:hAnsi="TimesNewRomanPS-BoldMT"/>
          <w:bCs/>
          <w:i/>
          <w:color w:val="000000"/>
          <w:sz w:val="24"/>
          <w:szCs w:val="24"/>
          <w:lang w:val="en-US"/>
        </w:rPr>
        <w:t>Review of Economic Studies,</w:t>
      </w:r>
      <w:r w:rsidRPr="00750C80">
        <w:rPr>
          <w:rFonts w:ascii="TimesNewRomanPS-BoldMT" w:hAnsi="TimesNewRomanPS-BoldMT"/>
          <w:b/>
          <w:bCs/>
          <w:color w:val="000000"/>
          <w:sz w:val="24"/>
          <w:szCs w:val="24"/>
          <w:lang w:val="en-US"/>
        </w:rPr>
        <w:t xml:space="preserve"> </w:t>
      </w:r>
      <w:r w:rsidRPr="00750C80">
        <w:rPr>
          <w:rFonts w:ascii="TimesNewRomanPSMT" w:hAnsi="TimesNewRomanPSMT"/>
          <w:color w:val="000000"/>
          <w:sz w:val="24"/>
          <w:szCs w:val="24"/>
          <w:lang w:val="en-US"/>
        </w:rPr>
        <w:t>47, pp. 239–254, 1980.</w:t>
      </w:r>
    </w:p>
    <w:p w14:paraId="77A7FEFB" w14:textId="77777777" w:rsidR="00C22D58" w:rsidRPr="00750C80" w:rsidRDefault="00C22D58"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lang w:val="en-US"/>
        </w:rPr>
        <w:t xml:space="preserve">BRUN, J-F; CARRÈRE, C; GUILLAUMONT, P; MELO, J. </w:t>
      </w:r>
      <w:r w:rsidR="00245583" w:rsidRPr="00750C80">
        <w:rPr>
          <w:rFonts w:ascii="Times New Roman" w:hAnsi="Times New Roman" w:cs="Times New Roman"/>
          <w:i/>
          <w:sz w:val="24"/>
          <w:szCs w:val="24"/>
          <w:lang w:val="en-US"/>
        </w:rPr>
        <w:t xml:space="preserve">Has Distance Died? Evidence </w:t>
      </w:r>
      <w:proofErr w:type="gramStart"/>
      <w:r w:rsidR="00245583" w:rsidRPr="00750C80">
        <w:rPr>
          <w:rFonts w:ascii="Times New Roman" w:hAnsi="Times New Roman" w:cs="Times New Roman"/>
          <w:i/>
          <w:sz w:val="24"/>
          <w:szCs w:val="24"/>
          <w:lang w:val="en-US"/>
        </w:rPr>
        <w:t>From</w:t>
      </w:r>
      <w:proofErr w:type="gramEnd"/>
      <w:r w:rsidR="00245583" w:rsidRPr="00750C80">
        <w:rPr>
          <w:rFonts w:ascii="Times New Roman" w:hAnsi="Times New Roman" w:cs="Times New Roman"/>
          <w:i/>
          <w:sz w:val="24"/>
          <w:szCs w:val="24"/>
          <w:lang w:val="en-US"/>
        </w:rPr>
        <w:t xml:space="preserve"> Panel Gravity Model.</w:t>
      </w:r>
      <w:r w:rsidR="00245583" w:rsidRPr="00750C80">
        <w:rPr>
          <w:rFonts w:ascii="Times New Roman" w:hAnsi="Times New Roman" w:cs="Times New Roman"/>
          <w:sz w:val="24"/>
          <w:szCs w:val="24"/>
          <w:lang w:val="en-US"/>
        </w:rPr>
        <w:t xml:space="preserve"> In: </w:t>
      </w:r>
      <w:r w:rsidR="00245583" w:rsidRPr="00750C80">
        <w:rPr>
          <w:rFonts w:ascii="Times New Roman" w:hAnsi="Times New Roman" w:cs="Times New Roman"/>
          <w:i/>
          <w:sz w:val="24"/>
          <w:szCs w:val="24"/>
          <w:lang w:val="en-US"/>
        </w:rPr>
        <w:t>The World Bank Economic Review</w:t>
      </w:r>
      <w:r w:rsidR="00245583" w:rsidRPr="00750C80">
        <w:rPr>
          <w:rFonts w:ascii="Times New Roman" w:hAnsi="Times New Roman" w:cs="Times New Roman"/>
          <w:sz w:val="24"/>
          <w:szCs w:val="24"/>
          <w:lang w:val="en-US"/>
        </w:rPr>
        <w:t xml:space="preserve">, vol. 19, n. 01, p. 99-120. </w:t>
      </w:r>
      <w:r w:rsidR="00245583" w:rsidRPr="00750C80">
        <w:rPr>
          <w:rFonts w:ascii="Times New Roman" w:hAnsi="Times New Roman" w:cs="Times New Roman"/>
          <w:sz w:val="24"/>
          <w:szCs w:val="24"/>
        </w:rPr>
        <w:t>Oxford, 2005.</w:t>
      </w:r>
    </w:p>
    <w:p w14:paraId="77A7FEFC"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CARNEIRO, F. L. Complementaridade Comercial entre Brasil e China. In: </w:t>
      </w:r>
      <w:r w:rsidRPr="00750C80">
        <w:rPr>
          <w:rFonts w:ascii="Times New Roman" w:hAnsi="Times New Roman" w:cs="Times New Roman"/>
          <w:i/>
          <w:sz w:val="24"/>
          <w:szCs w:val="24"/>
        </w:rPr>
        <w:t>Boletim de Economia e Política Internacional</w:t>
      </w:r>
      <w:r w:rsidRPr="00750C80">
        <w:rPr>
          <w:rFonts w:ascii="Times New Roman" w:hAnsi="Times New Roman" w:cs="Times New Roman"/>
          <w:sz w:val="24"/>
          <w:szCs w:val="24"/>
        </w:rPr>
        <w:t xml:space="preserve">. Brasília: IPEA, </w:t>
      </w:r>
      <w:r w:rsidR="00BA6257" w:rsidRPr="00750C80">
        <w:rPr>
          <w:rFonts w:ascii="Times New Roman" w:hAnsi="Times New Roman" w:cs="Times New Roman"/>
          <w:sz w:val="24"/>
          <w:szCs w:val="24"/>
        </w:rPr>
        <w:t>2014.</w:t>
      </w:r>
    </w:p>
    <w:p w14:paraId="77A7FEFD"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CASTILHO, M. Comércio Internacional E Integração Produtiva: Uma Análise Dos Fluxos Comerciais Dos Países Da Aladi</w:t>
      </w:r>
      <w:r w:rsidRPr="00750C80">
        <w:rPr>
          <w:rFonts w:ascii="Times New Roman" w:hAnsi="Times New Roman" w:cs="Times New Roman"/>
          <w:i/>
          <w:sz w:val="24"/>
          <w:szCs w:val="24"/>
        </w:rPr>
        <w:t>. Instituto de Pesquisa Econômica Aplicada</w:t>
      </w:r>
      <w:r w:rsidRPr="00750C80">
        <w:rPr>
          <w:rFonts w:ascii="Times New Roman" w:hAnsi="Times New Roman" w:cs="Times New Roman"/>
          <w:sz w:val="24"/>
          <w:szCs w:val="24"/>
        </w:rPr>
        <w:t xml:space="preserve"> – IPEA: Texto para discu</w:t>
      </w:r>
      <w:r w:rsidR="00BA6257" w:rsidRPr="00750C80">
        <w:rPr>
          <w:rFonts w:ascii="Times New Roman" w:hAnsi="Times New Roman" w:cs="Times New Roman"/>
          <w:sz w:val="24"/>
          <w:szCs w:val="24"/>
        </w:rPr>
        <w:t>ssão 745. Brasília: IPEA, 2012.</w:t>
      </w:r>
    </w:p>
    <w:p w14:paraId="77A7FEFE" w14:textId="77777777" w:rsidR="00C95B85" w:rsidRPr="00750C80" w:rsidRDefault="00C95B85"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rPr>
        <w:t xml:space="preserve">CAVLAK, I. A ALALC como auge da integração latino-americana no século XX. In: </w:t>
      </w:r>
      <w:r w:rsidRPr="00750C80">
        <w:rPr>
          <w:rFonts w:ascii="Times New Roman" w:hAnsi="Times New Roman" w:cs="Times New Roman"/>
          <w:bCs/>
          <w:i/>
          <w:sz w:val="24"/>
          <w:szCs w:val="24"/>
        </w:rPr>
        <w:t>História</w:t>
      </w:r>
      <w:r w:rsidRPr="00750C80">
        <w:rPr>
          <w:rFonts w:ascii="Times New Roman" w:hAnsi="Times New Roman" w:cs="Times New Roman"/>
          <w:sz w:val="24"/>
          <w:szCs w:val="24"/>
        </w:rPr>
        <w:t xml:space="preserve">: Debates e Tendências v – 12, n. p. 38-59, 1, jan./jun. </w:t>
      </w:r>
      <w:proofErr w:type="spellStart"/>
      <w:r w:rsidR="00BA6257" w:rsidRPr="00750C80">
        <w:rPr>
          <w:rFonts w:ascii="Times New Roman" w:hAnsi="Times New Roman" w:cs="Times New Roman"/>
          <w:sz w:val="24"/>
          <w:szCs w:val="24"/>
          <w:lang w:val="en-US"/>
        </w:rPr>
        <w:t>Passo</w:t>
      </w:r>
      <w:proofErr w:type="spellEnd"/>
      <w:r w:rsidR="00BA6257" w:rsidRPr="00750C80">
        <w:rPr>
          <w:rFonts w:ascii="Times New Roman" w:hAnsi="Times New Roman" w:cs="Times New Roman"/>
          <w:sz w:val="24"/>
          <w:szCs w:val="24"/>
          <w:lang w:val="en-US"/>
        </w:rPr>
        <w:t xml:space="preserve"> Fundo: </w:t>
      </w:r>
      <w:proofErr w:type="spellStart"/>
      <w:r w:rsidR="00BA6257" w:rsidRPr="00750C80">
        <w:rPr>
          <w:rFonts w:ascii="Times New Roman" w:hAnsi="Times New Roman" w:cs="Times New Roman"/>
          <w:sz w:val="24"/>
          <w:szCs w:val="24"/>
          <w:lang w:val="en-US"/>
        </w:rPr>
        <w:t>Editora</w:t>
      </w:r>
      <w:proofErr w:type="spellEnd"/>
      <w:r w:rsidR="00BA6257" w:rsidRPr="00750C80">
        <w:rPr>
          <w:rFonts w:ascii="Times New Roman" w:hAnsi="Times New Roman" w:cs="Times New Roman"/>
          <w:sz w:val="24"/>
          <w:szCs w:val="24"/>
          <w:lang w:val="en-US"/>
        </w:rPr>
        <w:t>/UFP, 2012.</w:t>
      </w:r>
    </w:p>
    <w:p w14:paraId="77A7FEFF" w14:textId="77777777" w:rsidR="00554A10" w:rsidRPr="00750C80" w:rsidRDefault="00554A10"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lang w:val="en-US"/>
        </w:rPr>
        <w:t xml:space="preserve">EGGER, P; PFAFFERMARYR, M. The proper panel econometric specification of the gravity equation: A three-way model with bilateral interaction effects. In: </w:t>
      </w:r>
      <w:r w:rsidRPr="00750C80">
        <w:rPr>
          <w:rFonts w:ascii="Times New Roman" w:hAnsi="Times New Roman" w:cs="Times New Roman"/>
          <w:i/>
          <w:sz w:val="24"/>
          <w:szCs w:val="24"/>
          <w:lang w:val="en-US"/>
        </w:rPr>
        <w:t>Empirical Economics</w:t>
      </w:r>
      <w:r w:rsidRPr="00750C80">
        <w:rPr>
          <w:rFonts w:ascii="Times New Roman" w:hAnsi="Times New Roman" w:cs="Times New Roman"/>
          <w:b/>
          <w:i/>
          <w:sz w:val="24"/>
          <w:szCs w:val="24"/>
          <w:lang w:val="en-US"/>
        </w:rPr>
        <w:t xml:space="preserve">, </w:t>
      </w:r>
      <w:r w:rsidRPr="00750C80">
        <w:rPr>
          <w:rFonts w:ascii="Times New Roman" w:hAnsi="Times New Roman" w:cs="Times New Roman"/>
          <w:sz w:val="24"/>
          <w:szCs w:val="24"/>
          <w:lang w:val="en-US"/>
        </w:rPr>
        <w:t>p. 571-580. In</w:t>
      </w:r>
      <w:r w:rsidR="00BA6257" w:rsidRPr="00750C80">
        <w:rPr>
          <w:rFonts w:ascii="Times New Roman" w:hAnsi="Times New Roman" w:cs="Times New Roman"/>
          <w:sz w:val="24"/>
          <w:szCs w:val="24"/>
          <w:lang w:val="en-US"/>
        </w:rPr>
        <w:t>nsbruck: Springer-</w:t>
      </w:r>
      <w:proofErr w:type="spellStart"/>
      <w:r w:rsidR="00BA6257" w:rsidRPr="00750C80">
        <w:rPr>
          <w:rFonts w:ascii="Times New Roman" w:hAnsi="Times New Roman" w:cs="Times New Roman"/>
          <w:sz w:val="24"/>
          <w:szCs w:val="24"/>
          <w:lang w:val="en-US"/>
        </w:rPr>
        <w:t>Verlag</w:t>
      </w:r>
      <w:proofErr w:type="spellEnd"/>
      <w:r w:rsidR="00BA6257" w:rsidRPr="00750C80">
        <w:rPr>
          <w:rFonts w:ascii="Times New Roman" w:hAnsi="Times New Roman" w:cs="Times New Roman"/>
          <w:sz w:val="24"/>
          <w:szCs w:val="24"/>
          <w:lang w:val="en-US"/>
        </w:rPr>
        <w:t>, 2003.</w:t>
      </w:r>
    </w:p>
    <w:p w14:paraId="77A7FF00"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lang w:val="en-US"/>
        </w:rPr>
        <w:lastRenderedPageBreak/>
        <w:t xml:space="preserve">FENELON, J. P. F; NOBRE, E. N. M; ROCHA, A. M. da. </w:t>
      </w:r>
      <w:r w:rsidRPr="00750C80">
        <w:rPr>
          <w:rFonts w:ascii="Times New Roman" w:hAnsi="Times New Roman" w:cs="Times New Roman"/>
          <w:sz w:val="24"/>
          <w:szCs w:val="24"/>
        </w:rPr>
        <w:t xml:space="preserve">Indústria de Transformação no Brasil: atual cenário e perspectivas para os próximos anos. In: </w:t>
      </w:r>
      <w:r w:rsidRPr="00750C80">
        <w:rPr>
          <w:rFonts w:ascii="Times New Roman" w:hAnsi="Times New Roman" w:cs="Times New Roman"/>
          <w:bCs/>
          <w:i/>
          <w:sz w:val="24"/>
          <w:szCs w:val="24"/>
        </w:rPr>
        <w:t>Informe Econômico</w:t>
      </w:r>
      <w:r w:rsidRPr="00750C80">
        <w:rPr>
          <w:rFonts w:ascii="Times New Roman" w:hAnsi="Times New Roman" w:cs="Times New Roman"/>
          <w:b/>
          <w:bCs/>
          <w:sz w:val="24"/>
          <w:szCs w:val="24"/>
        </w:rPr>
        <w:t xml:space="preserve">, </w:t>
      </w:r>
      <w:r w:rsidRPr="00750C80">
        <w:rPr>
          <w:rFonts w:ascii="Times New Roman" w:hAnsi="Times New Roman" w:cs="Times New Roman"/>
          <w:sz w:val="24"/>
          <w:szCs w:val="24"/>
        </w:rPr>
        <w:t>n. 34, an</w:t>
      </w:r>
      <w:r w:rsidR="00BA6257" w:rsidRPr="00750C80">
        <w:rPr>
          <w:rFonts w:ascii="Times New Roman" w:hAnsi="Times New Roman" w:cs="Times New Roman"/>
          <w:sz w:val="24"/>
          <w:szCs w:val="24"/>
        </w:rPr>
        <w:t xml:space="preserve">o XVII. Teresina: </w:t>
      </w:r>
      <w:proofErr w:type="spellStart"/>
      <w:r w:rsidR="00BA6257" w:rsidRPr="00750C80">
        <w:rPr>
          <w:rFonts w:ascii="Times New Roman" w:hAnsi="Times New Roman" w:cs="Times New Roman"/>
          <w:sz w:val="24"/>
          <w:szCs w:val="24"/>
        </w:rPr>
        <w:t>Edufpi</w:t>
      </w:r>
      <w:proofErr w:type="spellEnd"/>
      <w:r w:rsidR="00BA6257" w:rsidRPr="00750C80">
        <w:rPr>
          <w:rFonts w:ascii="Times New Roman" w:hAnsi="Times New Roman" w:cs="Times New Roman"/>
          <w:sz w:val="24"/>
          <w:szCs w:val="24"/>
        </w:rPr>
        <w:t>, 2015.</w:t>
      </w:r>
    </w:p>
    <w:p w14:paraId="77A7FF01" w14:textId="77777777" w:rsidR="00BA6257"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FONSECA, P. C. D. O Processo de Substituição de Importações. In: REGO, M. J; MARQUES, R. M. </w:t>
      </w:r>
      <w:r w:rsidRPr="00750C80">
        <w:rPr>
          <w:rFonts w:ascii="Times New Roman" w:hAnsi="Times New Roman" w:cs="Times New Roman"/>
          <w:bCs/>
          <w:i/>
          <w:sz w:val="24"/>
          <w:szCs w:val="24"/>
        </w:rPr>
        <w:t>Formação Econômica do Brasil</w:t>
      </w:r>
      <w:r w:rsidR="00BA6257" w:rsidRPr="00750C80">
        <w:rPr>
          <w:rFonts w:ascii="Times New Roman" w:hAnsi="Times New Roman" w:cs="Times New Roman"/>
          <w:sz w:val="24"/>
          <w:szCs w:val="24"/>
        </w:rPr>
        <w:t>. São Paulo: Saraiva, 2003.</w:t>
      </w:r>
    </w:p>
    <w:p w14:paraId="77A7FF02"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FURTADO, C. </w:t>
      </w:r>
      <w:r w:rsidRPr="00750C80">
        <w:rPr>
          <w:rFonts w:ascii="Times New Roman" w:hAnsi="Times New Roman" w:cs="Times New Roman"/>
          <w:i/>
          <w:sz w:val="24"/>
          <w:szCs w:val="24"/>
        </w:rPr>
        <w:t>O mito do desenvolvimento econômico</w:t>
      </w:r>
      <w:r w:rsidRPr="00750C80">
        <w:rPr>
          <w:rFonts w:ascii="Times New Roman" w:hAnsi="Times New Roman" w:cs="Times New Roman"/>
          <w:sz w:val="24"/>
          <w:szCs w:val="24"/>
        </w:rPr>
        <w:t>. Vol. 4. Rio</w:t>
      </w:r>
      <w:r w:rsidR="00BA6257" w:rsidRPr="00750C80">
        <w:rPr>
          <w:rFonts w:ascii="Times New Roman" w:hAnsi="Times New Roman" w:cs="Times New Roman"/>
          <w:sz w:val="24"/>
          <w:szCs w:val="24"/>
        </w:rPr>
        <w:t xml:space="preserve"> de Janeiro: Paz e Terra, 1974.</w:t>
      </w:r>
    </w:p>
    <w:p w14:paraId="18495AB5" w14:textId="3E155B0F" w:rsidR="007A7685" w:rsidRPr="00750C80" w:rsidRDefault="007A76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GRÄF, C. O.; AZEVEDO, A. F. Z. de. Comércio bilateral entre os países membros do Mercosul: uma visão do bloco através do modelo gravitacional. </w:t>
      </w:r>
      <w:r w:rsidRPr="00E67674">
        <w:rPr>
          <w:rFonts w:ascii="Times New Roman" w:hAnsi="Times New Roman" w:cs="Times New Roman"/>
          <w:i/>
          <w:sz w:val="24"/>
          <w:szCs w:val="24"/>
        </w:rPr>
        <w:t>Economia Aplicada</w:t>
      </w:r>
      <w:r w:rsidRPr="00750C80">
        <w:rPr>
          <w:rFonts w:ascii="Times New Roman" w:hAnsi="Times New Roman" w:cs="Times New Roman"/>
          <w:sz w:val="24"/>
          <w:szCs w:val="24"/>
        </w:rPr>
        <w:t>, v. 17, n. 1, p. 135-158, 2013.</w:t>
      </w:r>
    </w:p>
    <w:p w14:paraId="77A7FF03"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GERT, R. </w:t>
      </w:r>
      <w:proofErr w:type="spellStart"/>
      <w:r w:rsidRPr="00750C80">
        <w:rPr>
          <w:rFonts w:ascii="Times New Roman" w:hAnsi="Times New Roman" w:cs="Times New Roman"/>
          <w:sz w:val="24"/>
          <w:szCs w:val="24"/>
        </w:rPr>
        <w:t>Un</w:t>
      </w:r>
      <w:proofErr w:type="spellEnd"/>
      <w:r w:rsidRPr="00750C80">
        <w:rPr>
          <w:rFonts w:ascii="Times New Roman" w:hAnsi="Times New Roman" w:cs="Times New Roman"/>
          <w:sz w:val="24"/>
          <w:szCs w:val="24"/>
        </w:rPr>
        <w:t xml:space="preserve"> Informe Crítico à 30 </w:t>
      </w:r>
      <w:proofErr w:type="spellStart"/>
      <w:r w:rsidRPr="00750C80">
        <w:rPr>
          <w:rFonts w:ascii="Times New Roman" w:hAnsi="Times New Roman" w:cs="Times New Roman"/>
          <w:sz w:val="24"/>
          <w:szCs w:val="24"/>
        </w:rPr>
        <w:t>años</w:t>
      </w:r>
      <w:proofErr w:type="spellEnd"/>
      <w:r w:rsidRPr="00750C80">
        <w:rPr>
          <w:rFonts w:ascii="Times New Roman" w:hAnsi="Times New Roman" w:cs="Times New Roman"/>
          <w:sz w:val="24"/>
          <w:szCs w:val="24"/>
        </w:rPr>
        <w:t xml:space="preserve"> de </w:t>
      </w:r>
      <w:proofErr w:type="spellStart"/>
      <w:r w:rsidRPr="00750C80">
        <w:rPr>
          <w:rFonts w:ascii="Times New Roman" w:hAnsi="Times New Roman" w:cs="Times New Roman"/>
          <w:sz w:val="24"/>
          <w:szCs w:val="24"/>
        </w:rPr>
        <w:t>integración</w:t>
      </w:r>
      <w:proofErr w:type="spellEnd"/>
      <w:r w:rsidRPr="00750C80">
        <w:rPr>
          <w:rFonts w:ascii="Times New Roman" w:hAnsi="Times New Roman" w:cs="Times New Roman"/>
          <w:sz w:val="24"/>
          <w:szCs w:val="24"/>
        </w:rPr>
        <w:t xml:space="preserve"> </w:t>
      </w:r>
      <w:proofErr w:type="spellStart"/>
      <w:r w:rsidRPr="00750C80">
        <w:rPr>
          <w:rFonts w:ascii="Times New Roman" w:hAnsi="Times New Roman" w:cs="Times New Roman"/>
          <w:sz w:val="24"/>
          <w:szCs w:val="24"/>
        </w:rPr>
        <w:t>en</w:t>
      </w:r>
      <w:proofErr w:type="spellEnd"/>
      <w:r w:rsidRPr="00750C80">
        <w:rPr>
          <w:rFonts w:ascii="Times New Roman" w:hAnsi="Times New Roman" w:cs="Times New Roman"/>
          <w:sz w:val="24"/>
          <w:szCs w:val="24"/>
        </w:rPr>
        <w:t xml:space="preserve"> América Latina. In: </w:t>
      </w:r>
      <w:r w:rsidRPr="00750C80">
        <w:rPr>
          <w:rFonts w:ascii="Times New Roman" w:hAnsi="Times New Roman" w:cs="Times New Roman"/>
          <w:i/>
          <w:sz w:val="24"/>
          <w:szCs w:val="24"/>
        </w:rPr>
        <w:t xml:space="preserve">Nueva </w:t>
      </w:r>
      <w:proofErr w:type="spellStart"/>
      <w:r w:rsidRPr="00750C80">
        <w:rPr>
          <w:rFonts w:ascii="Times New Roman" w:hAnsi="Times New Roman" w:cs="Times New Roman"/>
          <w:i/>
          <w:sz w:val="24"/>
          <w:szCs w:val="24"/>
        </w:rPr>
        <w:t>Sociead</w:t>
      </w:r>
      <w:proofErr w:type="spellEnd"/>
      <w:r w:rsidRPr="00750C80">
        <w:rPr>
          <w:rFonts w:ascii="Times New Roman" w:hAnsi="Times New Roman" w:cs="Times New Roman"/>
          <w:sz w:val="24"/>
          <w:szCs w:val="24"/>
        </w:rPr>
        <w:t xml:space="preserve">, </w:t>
      </w:r>
      <w:r w:rsidR="00BA6257" w:rsidRPr="00750C80">
        <w:rPr>
          <w:rFonts w:ascii="Times New Roman" w:hAnsi="Times New Roman" w:cs="Times New Roman"/>
          <w:sz w:val="24"/>
          <w:szCs w:val="24"/>
        </w:rPr>
        <w:t>n. 13, p. 60-65. Caracas, 1991.</w:t>
      </w:r>
    </w:p>
    <w:p w14:paraId="77A7FF04"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GRANATO, L. As Relações Bilaterais Argentino-Brasileiras no Quadro da Integração Regional: de um Quadro de Rivalidade ao Despertar de uma Efetiva Cooperação. In: </w:t>
      </w:r>
      <w:r w:rsidRPr="00750C80">
        <w:rPr>
          <w:rFonts w:ascii="Times New Roman" w:hAnsi="Times New Roman" w:cs="Times New Roman"/>
          <w:bCs/>
          <w:i/>
          <w:sz w:val="24"/>
          <w:szCs w:val="24"/>
        </w:rPr>
        <w:t>Revista Caderno de Estudos Sociais e Políticos</w:t>
      </w:r>
      <w:r w:rsidRPr="00750C80">
        <w:rPr>
          <w:rFonts w:ascii="Times New Roman" w:hAnsi="Times New Roman" w:cs="Times New Roman"/>
          <w:sz w:val="24"/>
          <w:szCs w:val="24"/>
        </w:rPr>
        <w:t>, v.1, n.2, p. 69-</w:t>
      </w:r>
      <w:r w:rsidR="00BA6257" w:rsidRPr="00750C80">
        <w:rPr>
          <w:rFonts w:ascii="Times New Roman" w:hAnsi="Times New Roman" w:cs="Times New Roman"/>
          <w:sz w:val="24"/>
          <w:szCs w:val="24"/>
        </w:rPr>
        <w:t>95. Rio de Janeiro: UFRJ, 2012.</w:t>
      </w:r>
    </w:p>
    <w:p w14:paraId="77A7FF05" w14:textId="77777777" w:rsidR="00C95B85" w:rsidRPr="00750C80" w:rsidRDefault="00975C8D"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GREENE</w:t>
      </w:r>
      <w:r w:rsidR="00C95B85" w:rsidRPr="00750C80">
        <w:rPr>
          <w:rFonts w:ascii="Times New Roman" w:hAnsi="Times New Roman" w:cs="Times New Roman"/>
          <w:sz w:val="24"/>
          <w:szCs w:val="24"/>
        </w:rPr>
        <w:t>, W. H. </w:t>
      </w:r>
      <w:r w:rsidR="00C95B85" w:rsidRPr="00750C80">
        <w:rPr>
          <w:rFonts w:ascii="Times New Roman" w:hAnsi="Times New Roman" w:cs="Times New Roman"/>
          <w:i/>
          <w:iCs/>
          <w:sz w:val="24"/>
          <w:szCs w:val="24"/>
        </w:rPr>
        <w:t>LIMDEP</w:t>
      </w:r>
      <w:r w:rsidR="00C95B85" w:rsidRPr="00750C80">
        <w:rPr>
          <w:rFonts w:ascii="Times New Roman" w:hAnsi="Times New Roman" w:cs="Times New Roman"/>
          <w:iCs/>
          <w:sz w:val="24"/>
          <w:szCs w:val="24"/>
        </w:rPr>
        <w:t xml:space="preserve">: </w:t>
      </w:r>
      <w:proofErr w:type="spellStart"/>
      <w:r w:rsidR="00C95B85" w:rsidRPr="00750C80">
        <w:rPr>
          <w:rFonts w:ascii="Times New Roman" w:hAnsi="Times New Roman" w:cs="Times New Roman"/>
          <w:iCs/>
          <w:sz w:val="24"/>
          <w:szCs w:val="24"/>
        </w:rPr>
        <w:t>Version</w:t>
      </w:r>
      <w:proofErr w:type="spellEnd"/>
      <w:r w:rsidR="00C95B85" w:rsidRPr="00750C80">
        <w:rPr>
          <w:rFonts w:ascii="Times New Roman" w:hAnsi="Times New Roman" w:cs="Times New Roman"/>
          <w:iCs/>
          <w:sz w:val="24"/>
          <w:szCs w:val="24"/>
        </w:rPr>
        <w:t xml:space="preserve"> 8.0: </w:t>
      </w:r>
      <w:proofErr w:type="spellStart"/>
      <w:r w:rsidR="00C95B85" w:rsidRPr="00750C80">
        <w:rPr>
          <w:rFonts w:ascii="Times New Roman" w:hAnsi="Times New Roman" w:cs="Times New Roman"/>
          <w:iCs/>
          <w:sz w:val="24"/>
          <w:szCs w:val="24"/>
        </w:rPr>
        <w:t>Econometric</w:t>
      </w:r>
      <w:proofErr w:type="spellEnd"/>
      <w:r w:rsidR="00C95B85" w:rsidRPr="00750C80">
        <w:rPr>
          <w:rFonts w:ascii="Times New Roman" w:hAnsi="Times New Roman" w:cs="Times New Roman"/>
          <w:iCs/>
          <w:sz w:val="24"/>
          <w:szCs w:val="24"/>
        </w:rPr>
        <w:t xml:space="preserve"> </w:t>
      </w:r>
      <w:proofErr w:type="spellStart"/>
      <w:r w:rsidR="00C95B85" w:rsidRPr="00750C80">
        <w:rPr>
          <w:rFonts w:ascii="Times New Roman" w:hAnsi="Times New Roman" w:cs="Times New Roman"/>
          <w:iCs/>
          <w:sz w:val="24"/>
          <w:szCs w:val="24"/>
        </w:rPr>
        <w:t>Modeling</w:t>
      </w:r>
      <w:proofErr w:type="spellEnd"/>
      <w:r w:rsidR="00C95B85" w:rsidRPr="00750C80">
        <w:rPr>
          <w:rFonts w:ascii="Times New Roman" w:hAnsi="Times New Roman" w:cs="Times New Roman"/>
          <w:iCs/>
          <w:sz w:val="24"/>
          <w:szCs w:val="24"/>
        </w:rPr>
        <w:t xml:space="preserve"> </w:t>
      </w:r>
      <w:proofErr w:type="spellStart"/>
      <w:r w:rsidR="00C95B85" w:rsidRPr="00750C80">
        <w:rPr>
          <w:rFonts w:ascii="Times New Roman" w:hAnsi="Times New Roman" w:cs="Times New Roman"/>
          <w:iCs/>
          <w:sz w:val="24"/>
          <w:szCs w:val="24"/>
        </w:rPr>
        <w:t>Guide</w:t>
      </w:r>
      <w:proofErr w:type="spellEnd"/>
      <w:r w:rsidR="00BA6257" w:rsidRPr="00750C80">
        <w:rPr>
          <w:rFonts w:ascii="Times New Roman" w:hAnsi="Times New Roman" w:cs="Times New Roman"/>
          <w:sz w:val="24"/>
          <w:szCs w:val="24"/>
        </w:rPr>
        <w:t xml:space="preserve">. </w:t>
      </w:r>
      <w:proofErr w:type="spellStart"/>
      <w:r w:rsidR="00BA6257" w:rsidRPr="00750C80">
        <w:rPr>
          <w:rFonts w:ascii="Times New Roman" w:hAnsi="Times New Roman" w:cs="Times New Roman"/>
          <w:sz w:val="24"/>
          <w:szCs w:val="24"/>
        </w:rPr>
        <w:t>Econometric</w:t>
      </w:r>
      <w:proofErr w:type="spellEnd"/>
      <w:r w:rsidR="00BA6257" w:rsidRPr="00750C80">
        <w:rPr>
          <w:rFonts w:ascii="Times New Roman" w:hAnsi="Times New Roman" w:cs="Times New Roman"/>
          <w:sz w:val="24"/>
          <w:szCs w:val="24"/>
        </w:rPr>
        <w:t xml:space="preserve"> Software, 2002.</w:t>
      </w:r>
    </w:p>
    <w:p w14:paraId="77A7FF06" w14:textId="77777777" w:rsidR="002812F6" w:rsidRPr="00750C80" w:rsidRDefault="00C95B85"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rPr>
        <w:t xml:space="preserve">GUJARATI, D. N.; PORTER, D. C. </w:t>
      </w:r>
      <w:r w:rsidRPr="00750C80">
        <w:rPr>
          <w:rFonts w:ascii="Times New Roman" w:hAnsi="Times New Roman" w:cs="Times New Roman"/>
          <w:i/>
          <w:sz w:val="24"/>
          <w:szCs w:val="24"/>
        </w:rPr>
        <w:t>Econometria Básica</w:t>
      </w:r>
      <w:r w:rsidRPr="00750C80">
        <w:rPr>
          <w:rFonts w:ascii="Times New Roman" w:hAnsi="Times New Roman" w:cs="Times New Roman"/>
          <w:b/>
          <w:sz w:val="24"/>
          <w:szCs w:val="24"/>
        </w:rPr>
        <w:t xml:space="preserve"> </w:t>
      </w:r>
      <w:r w:rsidRPr="00750C80">
        <w:rPr>
          <w:rFonts w:ascii="Times New Roman" w:hAnsi="Times New Roman" w:cs="Times New Roman"/>
          <w:sz w:val="24"/>
          <w:szCs w:val="24"/>
        </w:rPr>
        <w:t>- 5ª Ed</w:t>
      </w:r>
      <w:r w:rsidR="00BA6257" w:rsidRPr="00750C80">
        <w:rPr>
          <w:rFonts w:ascii="Times New Roman" w:hAnsi="Times New Roman" w:cs="Times New Roman"/>
          <w:sz w:val="24"/>
          <w:szCs w:val="24"/>
        </w:rPr>
        <w:t xml:space="preserve">ição. </w:t>
      </w:r>
      <w:r w:rsidR="00BA6257" w:rsidRPr="00750C80">
        <w:rPr>
          <w:rFonts w:ascii="Times New Roman" w:hAnsi="Times New Roman" w:cs="Times New Roman"/>
          <w:sz w:val="24"/>
          <w:szCs w:val="24"/>
          <w:lang w:val="en-US"/>
        </w:rPr>
        <w:t>Porto Alegre: AMGH, 2011.</w:t>
      </w:r>
    </w:p>
    <w:p w14:paraId="77A7FF07" w14:textId="77777777" w:rsidR="00C95B85" w:rsidRPr="00750C80" w:rsidRDefault="002812F6"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lang w:val="en-US"/>
        </w:rPr>
        <w:t xml:space="preserve">HAUSMANN, R.; HWUANG, J.; RODRIK, D. What you exports matters. </w:t>
      </w:r>
      <w:r w:rsidRPr="00750C80">
        <w:rPr>
          <w:rFonts w:ascii="Times New Roman" w:hAnsi="Times New Roman" w:cs="Times New Roman"/>
          <w:i/>
          <w:sz w:val="24"/>
          <w:szCs w:val="24"/>
          <w:lang w:val="en-US"/>
        </w:rPr>
        <w:t>Journal of Economic Growth</w:t>
      </w:r>
      <w:r w:rsidRPr="00750C80">
        <w:rPr>
          <w:rFonts w:ascii="Times New Roman" w:hAnsi="Times New Roman" w:cs="Times New Roman"/>
          <w:sz w:val="24"/>
          <w:szCs w:val="24"/>
          <w:lang w:val="en-US"/>
        </w:rPr>
        <w:t xml:space="preserve">, v. 12.1, p. 1-25. </w:t>
      </w:r>
      <w:r w:rsidR="00BA6257" w:rsidRPr="00750C80">
        <w:rPr>
          <w:rFonts w:ascii="Times New Roman" w:hAnsi="Times New Roman" w:cs="Times New Roman"/>
          <w:sz w:val="24"/>
          <w:szCs w:val="24"/>
        </w:rPr>
        <w:t>2007.</w:t>
      </w:r>
    </w:p>
    <w:p w14:paraId="77A7FF08"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HIDALGO, A. B.; FEISTEL, P. R. </w:t>
      </w:r>
      <w:r w:rsidRPr="00750C80">
        <w:rPr>
          <w:rFonts w:ascii="Times New Roman" w:hAnsi="Times New Roman" w:cs="Times New Roman"/>
          <w:i/>
          <w:sz w:val="24"/>
          <w:szCs w:val="24"/>
        </w:rPr>
        <w:t xml:space="preserve">Mudanças na Estrutura do Comércio Exterior Brasileiro: </w:t>
      </w:r>
      <w:r w:rsidRPr="00750C80">
        <w:rPr>
          <w:rFonts w:ascii="Times New Roman" w:hAnsi="Times New Roman" w:cs="Times New Roman"/>
          <w:sz w:val="24"/>
          <w:szCs w:val="24"/>
        </w:rPr>
        <w:t xml:space="preserve">Uma Análise sob a Ótica da Teoria de </w:t>
      </w:r>
      <w:proofErr w:type="spellStart"/>
      <w:r w:rsidRPr="00750C80">
        <w:rPr>
          <w:rFonts w:ascii="Times New Roman" w:hAnsi="Times New Roman" w:cs="Times New Roman"/>
          <w:sz w:val="24"/>
          <w:szCs w:val="24"/>
        </w:rPr>
        <w:t>Heckscher</w:t>
      </w:r>
      <w:proofErr w:type="spellEnd"/>
      <w:r w:rsidRPr="00750C80">
        <w:rPr>
          <w:rFonts w:ascii="Times New Roman" w:hAnsi="Times New Roman" w:cs="Times New Roman"/>
          <w:sz w:val="24"/>
          <w:szCs w:val="24"/>
        </w:rPr>
        <w:t>-Ohlin. Estudos Econômicos, vol. 43, n.</w:t>
      </w:r>
      <w:r w:rsidR="00BA6257" w:rsidRPr="00750C80">
        <w:rPr>
          <w:rFonts w:ascii="Times New Roman" w:hAnsi="Times New Roman" w:cs="Times New Roman"/>
          <w:sz w:val="24"/>
          <w:szCs w:val="24"/>
        </w:rPr>
        <w:t xml:space="preserve"> 1, p. 79-108. São Paulo, 2013.</w:t>
      </w:r>
    </w:p>
    <w:p w14:paraId="77A7FF09"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KAPLAN, M. </w:t>
      </w:r>
      <w:r w:rsidRPr="00750C80">
        <w:rPr>
          <w:rFonts w:ascii="Times New Roman" w:hAnsi="Times New Roman" w:cs="Times New Roman"/>
          <w:bCs/>
          <w:i/>
          <w:iCs/>
          <w:sz w:val="24"/>
          <w:szCs w:val="24"/>
        </w:rPr>
        <w:t xml:space="preserve">Problemas </w:t>
      </w:r>
      <w:proofErr w:type="spellStart"/>
      <w:r w:rsidRPr="00750C80">
        <w:rPr>
          <w:rFonts w:ascii="Times New Roman" w:hAnsi="Times New Roman" w:cs="Times New Roman"/>
          <w:bCs/>
          <w:i/>
          <w:iCs/>
          <w:sz w:val="24"/>
          <w:szCs w:val="24"/>
        </w:rPr>
        <w:t>del</w:t>
      </w:r>
      <w:proofErr w:type="spellEnd"/>
      <w:r w:rsidRPr="00750C80">
        <w:rPr>
          <w:rFonts w:ascii="Times New Roman" w:hAnsi="Times New Roman" w:cs="Times New Roman"/>
          <w:bCs/>
          <w:i/>
          <w:iCs/>
          <w:sz w:val="24"/>
          <w:szCs w:val="24"/>
        </w:rPr>
        <w:t xml:space="preserve"> </w:t>
      </w:r>
      <w:proofErr w:type="spellStart"/>
      <w:r w:rsidRPr="00750C80">
        <w:rPr>
          <w:rFonts w:ascii="Times New Roman" w:hAnsi="Times New Roman" w:cs="Times New Roman"/>
          <w:bCs/>
          <w:i/>
          <w:iCs/>
          <w:sz w:val="24"/>
          <w:szCs w:val="24"/>
        </w:rPr>
        <w:t>desarrollo</w:t>
      </w:r>
      <w:proofErr w:type="spellEnd"/>
      <w:r w:rsidRPr="00750C80">
        <w:rPr>
          <w:rFonts w:ascii="Times New Roman" w:hAnsi="Times New Roman" w:cs="Times New Roman"/>
          <w:bCs/>
          <w:i/>
          <w:iCs/>
          <w:sz w:val="24"/>
          <w:szCs w:val="24"/>
        </w:rPr>
        <w:t xml:space="preserve"> y de </w:t>
      </w:r>
      <w:proofErr w:type="spellStart"/>
      <w:r w:rsidRPr="00750C80">
        <w:rPr>
          <w:rFonts w:ascii="Times New Roman" w:hAnsi="Times New Roman" w:cs="Times New Roman"/>
          <w:bCs/>
          <w:i/>
          <w:iCs/>
          <w:sz w:val="24"/>
          <w:szCs w:val="24"/>
        </w:rPr>
        <w:t>la</w:t>
      </w:r>
      <w:proofErr w:type="spellEnd"/>
      <w:r w:rsidRPr="00750C80">
        <w:rPr>
          <w:rFonts w:ascii="Times New Roman" w:hAnsi="Times New Roman" w:cs="Times New Roman"/>
          <w:bCs/>
          <w:i/>
          <w:iCs/>
          <w:sz w:val="24"/>
          <w:szCs w:val="24"/>
        </w:rPr>
        <w:t xml:space="preserve"> </w:t>
      </w:r>
      <w:proofErr w:type="spellStart"/>
      <w:r w:rsidRPr="00750C80">
        <w:rPr>
          <w:rFonts w:ascii="Times New Roman" w:hAnsi="Times New Roman" w:cs="Times New Roman"/>
          <w:bCs/>
          <w:i/>
          <w:iCs/>
          <w:sz w:val="24"/>
          <w:szCs w:val="24"/>
        </w:rPr>
        <w:t>integración</w:t>
      </w:r>
      <w:proofErr w:type="spellEnd"/>
      <w:r w:rsidRPr="00750C80">
        <w:rPr>
          <w:rFonts w:ascii="Times New Roman" w:hAnsi="Times New Roman" w:cs="Times New Roman"/>
          <w:bCs/>
          <w:i/>
          <w:iCs/>
          <w:sz w:val="24"/>
          <w:szCs w:val="24"/>
        </w:rPr>
        <w:t xml:space="preserve"> </w:t>
      </w:r>
      <w:proofErr w:type="spellStart"/>
      <w:r w:rsidRPr="00750C80">
        <w:rPr>
          <w:rFonts w:ascii="Times New Roman" w:hAnsi="Times New Roman" w:cs="Times New Roman"/>
          <w:bCs/>
          <w:i/>
          <w:iCs/>
          <w:sz w:val="24"/>
          <w:szCs w:val="24"/>
        </w:rPr>
        <w:t>en</w:t>
      </w:r>
      <w:proofErr w:type="spellEnd"/>
      <w:r w:rsidRPr="00750C80">
        <w:rPr>
          <w:rFonts w:ascii="Times New Roman" w:hAnsi="Times New Roman" w:cs="Times New Roman"/>
          <w:bCs/>
          <w:i/>
          <w:iCs/>
          <w:sz w:val="24"/>
          <w:szCs w:val="24"/>
        </w:rPr>
        <w:t xml:space="preserve"> América Latina</w:t>
      </w:r>
      <w:r w:rsidRPr="00750C80">
        <w:rPr>
          <w:rFonts w:ascii="Times New Roman" w:hAnsi="Times New Roman" w:cs="Times New Roman"/>
          <w:iCs/>
          <w:sz w:val="24"/>
          <w:szCs w:val="24"/>
        </w:rPr>
        <w:t xml:space="preserve">: </w:t>
      </w:r>
      <w:proofErr w:type="spellStart"/>
      <w:r w:rsidRPr="00750C80">
        <w:rPr>
          <w:rFonts w:ascii="Times New Roman" w:hAnsi="Times New Roman" w:cs="Times New Roman"/>
          <w:iCs/>
          <w:sz w:val="24"/>
          <w:szCs w:val="24"/>
        </w:rPr>
        <w:t>ensayo</w:t>
      </w:r>
      <w:proofErr w:type="spellEnd"/>
      <w:r w:rsidRPr="00750C80">
        <w:rPr>
          <w:rFonts w:ascii="Times New Roman" w:hAnsi="Times New Roman" w:cs="Times New Roman"/>
          <w:sz w:val="24"/>
          <w:szCs w:val="24"/>
        </w:rPr>
        <w:t>. Vol. 2. Caracas: M</w:t>
      </w:r>
      <w:r w:rsidR="00BA6257" w:rsidRPr="00750C80">
        <w:rPr>
          <w:rFonts w:ascii="Times New Roman" w:hAnsi="Times New Roman" w:cs="Times New Roman"/>
          <w:sz w:val="24"/>
          <w:szCs w:val="24"/>
        </w:rPr>
        <w:t xml:space="preserve">onte </w:t>
      </w:r>
      <w:proofErr w:type="spellStart"/>
      <w:r w:rsidR="00BA6257" w:rsidRPr="00750C80">
        <w:rPr>
          <w:rFonts w:ascii="Times New Roman" w:hAnsi="Times New Roman" w:cs="Times New Roman"/>
          <w:sz w:val="24"/>
          <w:szCs w:val="24"/>
        </w:rPr>
        <w:t>Avila</w:t>
      </w:r>
      <w:proofErr w:type="spellEnd"/>
      <w:r w:rsidR="00BA6257" w:rsidRPr="00750C80">
        <w:rPr>
          <w:rFonts w:ascii="Times New Roman" w:hAnsi="Times New Roman" w:cs="Times New Roman"/>
          <w:sz w:val="24"/>
          <w:szCs w:val="24"/>
        </w:rPr>
        <w:t xml:space="preserve"> Editores C.A., 1968.</w:t>
      </w:r>
    </w:p>
    <w:p w14:paraId="77A7FF0A"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KUME, H; PIANI, G. MERCOSUL: O dilema entre união aduaneira e área de livre-comércio. In: </w:t>
      </w:r>
      <w:r w:rsidRPr="00750C80">
        <w:rPr>
          <w:rFonts w:ascii="Times New Roman" w:hAnsi="Times New Roman" w:cs="Times New Roman"/>
          <w:bCs/>
          <w:i/>
          <w:sz w:val="24"/>
          <w:szCs w:val="24"/>
        </w:rPr>
        <w:t>Revista de Economia Política</w:t>
      </w:r>
      <w:r w:rsidRPr="00750C80">
        <w:rPr>
          <w:rFonts w:ascii="Times New Roman" w:hAnsi="Times New Roman" w:cs="Times New Roman"/>
          <w:sz w:val="24"/>
          <w:szCs w:val="24"/>
        </w:rPr>
        <w:t>, vol. 45, n.</w:t>
      </w:r>
      <w:r w:rsidR="00BA6257" w:rsidRPr="00750C80">
        <w:rPr>
          <w:rFonts w:ascii="Times New Roman" w:hAnsi="Times New Roman" w:cs="Times New Roman"/>
          <w:sz w:val="24"/>
          <w:szCs w:val="24"/>
        </w:rPr>
        <w:t xml:space="preserve"> 4. Rio de Janeiro: IPEA, 2005.</w:t>
      </w:r>
    </w:p>
    <w:p w14:paraId="77A7FF0B" w14:textId="77777777" w:rsidR="002A362A"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MARINI, R. M</w:t>
      </w:r>
      <w:r w:rsidRPr="00750C80">
        <w:rPr>
          <w:rFonts w:ascii="Times New Roman" w:hAnsi="Times New Roman" w:cs="Times New Roman"/>
          <w:i/>
          <w:sz w:val="24"/>
          <w:szCs w:val="24"/>
        </w:rPr>
        <w:t xml:space="preserve">. </w:t>
      </w:r>
      <w:proofErr w:type="spellStart"/>
      <w:r w:rsidRPr="00750C80">
        <w:rPr>
          <w:rFonts w:ascii="Times New Roman" w:hAnsi="Times New Roman" w:cs="Times New Roman"/>
          <w:i/>
          <w:sz w:val="24"/>
          <w:szCs w:val="24"/>
        </w:rPr>
        <w:t>Subdesarrollo</w:t>
      </w:r>
      <w:proofErr w:type="spellEnd"/>
      <w:r w:rsidRPr="00750C80">
        <w:rPr>
          <w:rFonts w:ascii="Times New Roman" w:hAnsi="Times New Roman" w:cs="Times New Roman"/>
          <w:i/>
          <w:sz w:val="24"/>
          <w:szCs w:val="24"/>
        </w:rPr>
        <w:t xml:space="preserve"> y </w:t>
      </w:r>
      <w:proofErr w:type="spellStart"/>
      <w:r w:rsidRPr="00750C80">
        <w:rPr>
          <w:rFonts w:ascii="Times New Roman" w:hAnsi="Times New Roman" w:cs="Times New Roman"/>
          <w:i/>
          <w:sz w:val="24"/>
          <w:szCs w:val="24"/>
        </w:rPr>
        <w:t>Revolución</w:t>
      </w:r>
      <w:proofErr w:type="spellEnd"/>
      <w:r w:rsidRPr="00750C80">
        <w:rPr>
          <w:rFonts w:ascii="Times New Roman" w:hAnsi="Times New Roman" w:cs="Times New Roman"/>
          <w:sz w:val="24"/>
          <w:szCs w:val="24"/>
        </w:rPr>
        <w:t xml:space="preserve">, cap.1. </w:t>
      </w:r>
      <w:proofErr w:type="spellStart"/>
      <w:r w:rsidRPr="00750C80">
        <w:rPr>
          <w:rFonts w:ascii="Times New Roman" w:hAnsi="Times New Roman" w:cs="Times New Roman"/>
          <w:sz w:val="24"/>
          <w:szCs w:val="24"/>
        </w:rPr>
        <w:t>Ciudad</w:t>
      </w:r>
      <w:proofErr w:type="spellEnd"/>
      <w:r w:rsidRPr="00750C80">
        <w:rPr>
          <w:rFonts w:ascii="Times New Roman" w:hAnsi="Times New Roman" w:cs="Times New Roman"/>
          <w:sz w:val="24"/>
          <w:szCs w:val="24"/>
        </w:rPr>
        <w:t xml:space="preserve"> de Mé</w:t>
      </w:r>
      <w:r w:rsidR="00BA6257" w:rsidRPr="00750C80">
        <w:rPr>
          <w:rFonts w:ascii="Times New Roman" w:hAnsi="Times New Roman" w:cs="Times New Roman"/>
          <w:sz w:val="24"/>
          <w:szCs w:val="24"/>
        </w:rPr>
        <w:t xml:space="preserve">xico: </w:t>
      </w:r>
      <w:proofErr w:type="spellStart"/>
      <w:r w:rsidR="00BA6257" w:rsidRPr="00750C80">
        <w:rPr>
          <w:rFonts w:ascii="Times New Roman" w:hAnsi="Times New Roman" w:cs="Times New Roman"/>
          <w:sz w:val="24"/>
          <w:szCs w:val="24"/>
        </w:rPr>
        <w:t>Siglo</w:t>
      </w:r>
      <w:proofErr w:type="spellEnd"/>
      <w:r w:rsidR="00BA6257" w:rsidRPr="00750C80">
        <w:rPr>
          <w:rFonts w:ascii="Times New Roman" w:hAnsi="Times New Roman" w:cs="Times New Roman"/>
          <w:sz w:val="24"/>
          <w:szCs w:val="24"/>
        </w:rPr>
        <w:t xml:space="preserve"> XXI Editores, 1974.</w:t>
      </w:r>
    </w:p>
    <w:p w14:paraId="77A7FF0C" w14:textId="77777777" w:rsidR="00C95B85" w:rsidRPr="00750C80" w:rsidRDefault="00CA1F50"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lang w:val="en-US"/>
        </w:rPr>
        <w:lastRenderedPageBreak/>
        <w:t>MARTÍNEZ-ZARZOSO</w:t>
      </w:r>
      <w:r w:rsidR="002A362A" w:rsidRPr="00750C80">
        <w:rPr>
          <w:rFonts w:ascii="Times New Roman" w:hAnsi="Times New Roman" w:cs="Times New Roman"/>
          <w:sz w:val="24"/>
          <w:szCs w:val="24"/>
          <w:lang w:val="en-US"/>
        </w:rPr>
        <w:t xml:space="preserve">, I; </w:t>
      </w:r>
      <w:r w:rsidRPr="00750C80">
        <w:rPr>
          <w:rFonts w:ascii="Times New Roman" w:hAnsi="Times New Roman" w:cs="Times New Roman"/>
          <w:sz w:val="24"/>
          <w:szCs w:val="24"/>
          <w:lang w:val="en-US"/>
        </w:rPr>
        <w:t>NOWAK-LEHMANN</w:t>
      </w:r>
      <w:r w:rsidR="002A362A" w:rsidRPr="00750C80">
        <w:rPr>
          <w:rFonts w:ascii="Times New Roman" w:hAnsi="Times New Roman" w:cs="Times New Roman"/>
          <w:sz w:val="24"/>
          <w:szCs w:val="24"/>
          <w:lang w:val="en-US"/>
        </w:rPr>
        <w:t xml:space="preserve">, D.F. MERCOSUR-European Union Trade: How important is EU Trade </w:t>
      </w:r>
      <w:proofErr w:type="spellStart"/>
      <w:r w:rsidR="002A362A" w:rsidRPr="00750C80">
        <w:rPr>
          <w:rFonts w:ascii="Times New Roman" w:hAnsi="Times New Roman" w:cs="Times New Roman"/>
          <w:sz w:val="24"/>
          <w:szCs w:val="24"/>
          <w:lang w:val="en-US"/>
        </w:rPr>
        <w:t>Liberal</w:t>
      </w:r>
      <w:r w:rsidRPr="00750C80">
        <w:rPr>
          <w:rFonts w:ascii="Times New Roman" w:hAnsi="Times New Roman" w:cs="Times New Roman"/>
          <w:sz w:val="24"/>
          <w:szCs w:val="24"/>
          <w:lang w:val="en-US"/>
        </w:rPr>
        <w:t>isation</w:t>
      </w:r>
      <w:proofErr w:type="spellEnd"/>
      <w:r w:rsidRPr="00750C80">
        <w:rPr>
          <w:rFonts w:ascii="Times New Roman" w:hAnsi="Times New Roman" w:cs="Times New Roman"/>
          <w:sz w:val="24"/>
          <w:szCs w:val="24"/>
          <w:lang w:val="en-US"/>
        </w:rPr>
        <w:t xml:space="preserve"> for MERCOSUR's Exports?</w:t>
      </w:r>
      <w:r w:rsidR="002A362A" w:rsidRPr="00750C80">
        <w:rPr>
          <w:rFonts w:ascii="Times New Roman" w:hAnsi="Times New Roman" w:cs="Times New Roman"/>
          <w:sz w:val="24"/>
          <w:szCs w:val="24"/>
          <w:lang w:val="en-US"/>
        </w:rPr>
        <w:t xml:space="preserve"> In</w:t>
      </w:r>
      <w:r w:rsidR="00C32E65" w:rsidRPr="00750C80">
        <w:rPr>
          <w:rFonts w:ascii="Times New Roman" w:hAnsi="Times New Roman" w:cs="Times New Roman"/>
          <w:sz w:val="24"/>
          <w:szCs w:val="24"/>
          <w:lang w:val="en-US"/>
        </w:rPr>
        <w:t>:</w:t>
      </w:r>
      <w:r w:rsidR="002A362A" w:rsidRPr="00750C80">
        <w:rPr>
          <w:rFonts w:ascii="Times New Roman" w:hAnsi="Times New Roman" w:cs="Times New Roman"/>
          <w:sz w:val="24"/>
          <w:szCs w:val="24"/>
          <w:lang w:val="en-US"/>
        </w:rPr>
        <w:t xml:space="preserve"> </w:t>
      </w:r>
      <w:r w:rsidR="002A362A" w:rsidRPr="00750C80">
        <w:rPr>
          <w:rFonts w:ascii="Times New Roman" w:hAnsi="Times New Roman" w:cs="Times New Roman"/>
          <w:i/>
          <w:sz w:val="24"/>
          <w:szCs w:val="24"/>
          <w:lang w:val="en-US"/>
        </w:rPr>
        <w:t>Center for European, Governance and Economic Development Research Discuss</w:t>
      </w:r>
      <w:r w:rsidR="005D35D1" w:rsidRPr="00750C80">
        <w:rPr>
          <w:rFonts w:ascii="Times New Roman" w:hAnsi="Times New Roman" w:cs="Times New Roman"/>
          <w:i/>
          <w:sz w:val="24"/>
          <w:szCs w:val="24"/>
          <w:lang w:val="en-US"/>
        </w:rPr>
        <w:t>ion Papers</w:t>
      </w:r>
      <w:r w:rsidRPr="00750C80">
        <w:rPr>
          <w:rFonts w:ascii="Times New Roman" w:hAnsi="Times New Roman" w:cs="Times New Roman"/>
          <w:i/>
          <w:sz w:val="24"/>
          <w:szCs w:val="24"/>
          <w:lang w:val="en-US"/>
        </w:rPr>
        <w:t>,</w:t>
      </w:r>
      <w:r w:rsidRPr="00750C80">
        <w:rPr>
          <w:rFonts w:ascii="Times New Roman" w:hAnsi="Times New Roman" w:cs="Times New Roman"/>
          <w:sz w:val="24"/>
          <w:szCs w:val="24"/>
          <w:lang w:val="en-US"/>
        </w:rPr>
        <w:t xml:space="preserve"> p. 30</w:t>
      </w:r>
      <w:r w:rsidR="005D35D1" w:rsidRPr="00750C80">
        <w:rPr>
          <w:rFonts w:ascii="Times New Roman" w:hAnsi="Times New Roman" w:cs="Times New Roman"/>
          <w:sz w:val="24"/>
          <w:szCs w:val="24"/>
          <w:lang w:val="en-US"/>
        </w:rPr>
        <w:t xml:space="preserve">. </w:t>
      </w:r>
      <w:proofErr w:type="spellStart"/>
      <w:r w:rsidR="005D35D1" w:rsidRPr="00750C80">
        <w:rPr>
          <w:rFonts w:ascii="Times New Roman" w:hAnsi="Times New Roman" w:cs="Times New Roman"/>
          <w:sz w:val="24"/>
          <w:szCs w:val="24"/>
          <w:lang w:val="en-US"/>
        </w:rPr>
        <w:t>Göttingen</w:t>
      </w:r>
      <w:proofErr w:type="spellEnd"/>
      <w:r w:rsidR="005D35D1" w:rsidRPr="00750C80">
        <w:rPr>
          <w:rFonts w:ascii="Times New Roman" w:hAnsi="Times New Roman" w:cs="Times New Roman"/>
          <w:sz w:val="24"/>
          <w:szCs w:val="24"/>
          <w:lang w:val="en-US"/>
        </w:rPr>
        <w:t>, 2004.</w:t>
      </w:r>
    </w:p>
    <w:p w14:paraId="77A7FF0D" w14:textId="77777777" w:rsidR="00C95B85" w:rsidRPr="00750C80" w:rsidRDefault="00C95B85" w:rsidP="00BA6257">
      <w:pPr>
        <w:spacing w:after="120" w:line="360" w:lineRule="auto"/>
        <w:rPr>
          <w:rFonts w:ascii="Times New Roman" w:hAnsi="Times New Roman" w:cs="Times New Roman"/>
          <w:sz w:val="24"/>
          <w:szCs w:val="24"/>
        </w:rPr>
      </w:pPr>
      <w:r w:rsidRPr="00C8496F">
        <w:rPr>
          <w:rFonts w:ascii="Times New Roman" w:hAnsi="Times New Roman" w:cs="Times New Roman"/>
          <w:sz w:val="24"/>
          <w:szCs w:val="24"/>
        </w:rPr>
        <w:t xml:space="preserve">MELO, J.; PANAGARIYA, A. (ed.). </w:t>
      </w:r>
      <w:r w:rsidRPr="00750C80">
        <w:rPr>
          <w:rFonts w:ascii="Times New Roman" w:hAnsi="Times New Roman" w:cs="Times New Roman"/>
          <w:bCs/>
          <w:i/>
          <w:iCs/>
          <w:sz w:val="24"/>
          <w:szCs w:val="24"/>
          <w:lang w:val="en-US"/>
        </w:rPr>
        <w:t>New dimensions in regional integration</w:t>
      </w:r>
      <w:r w:rsidRPr="00750C80">
        <w:rPr>
          <w:rFonts w:ascii="Times New Roman" w:hAnsi="Times New Roman" w:cs="Times New Roman"/>
          <w:i/>
          <w:iCs/>
          <w:sz w:val="24"/>
          <w:szCs w:val="24"/>
          <w:lang w:val="en-US"/>
        </w:rPr>
        <w:t>.</w:t>
      </w:r>
      <w:r w:rsidRPr="00750C80">
        <w:rPr>
          <w:rFonts w:ascii="Times New Roman" w:hAnsi="Times New Roman" w:cs="Times New Roman"/>
          <w:iCs/>
          <w:sz w:val="24"/>
          <w:szCs w:val="24"/>
          <w:lang w:val="en-US"/>
        </w:rPr>
        <w:t xml:space="preserve"> </w:t>
      </w:r>
      <w:r w:rsidRPr="00750C80">
        <w:rPr>
          <w:rFonts w:ascii="Times New Roman" w:hAnsi="Times New Roman" w:cs="Times New Roman"/>
          <w:iCs/>
          <w:sz w:val="24"/>
          <w:szCs w:val="24"/>
        </w:rPr>
        <w:t xml:space="preserve">New York: Cambridge </w:t>
      </w:r>
      <w:proofErr w:type="spellStart"/>
      <w:r w:rsidRPr="00750C80">
        <w:rPr>
          <w:rFonts w:ascii="Times New Roman" w:hAnsi="Times New Roman" w:cs="Times New Roman"/>
          <w:iCs/>
          <w:sz w:val="24"/>
          <w:szCs w:val="24"/>
        </w:rPr>
        <w:t>University</w:t>
      </w:r>
      <w:proofErr w:type="spellEnd"/>
      <w:r w:rsidRPr="00750C80">
        <w:rPr>
          <w:rFonts w:ascii="Times New Roman" w:hAnsi="Times New Roman" w:cs="Times New Roman"/>
          <w:iCs/>
          <w:sz w:val="24"/>
          <w:szCs w:val="24"/>
        </w:rPr>
        <w:t xml:space="preserve"> Press</w:t>
      </w:r>
      <w:r w:rsidR="00BA6257" w:rsidRPr="00750C80">
        <w:rPr>
          <w:rFonts w:ascii="Times New Roman" w:hAnsi="Times New Roman" w:cs="Times New Roman"/>
          <w:sz w:val="24"/>
          <w:szCs w:val="24"/>
        </w:rPr>
        <w:t xml:space="preserve">, 1995.  </w:t>
      </w:r>
    </w:p>
    <w:p w14:paraId="77A7FF0E" w14:textId="77777777" w:rsidR="00C95B85" w:rsidRPr="00750C80" w:rsidRDefault="00C95B85"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rPr>
        <w:t xml:space="preserve">MILL, J. S. </w:t>
      </w:r>
      <w:r w:rsidRPr="00750C80">
        <w:rPr>
          <w:rFonts w:ascii="Times New Roman" w:hAnsi="Times New Roman" w:cs="Times New Roman"/>
          <w:bCs/>
          <w:i/>
          <w:sz w:val="24"/>
          <w:szCs w:val="24"/>
        </w:rPr>
        <w:t>Princípios de Economia Política</w:t>
      </w:r>
      <w:r w:rsidRPr="00750C80">
        <w:rPr>
          <w:rFonts w:ascii="Times New Roman" w:hAnsi="Times New Roman" w:cs="Times New Roman"/>
          <w:sz w:val="24"/>
          <w:szCs w:val="24"/>
        </w:rPr>
        <w:t>: Com algumas de suas aplicações à filosofia social:</w:t>
      </w:r>
      <w:r w:rsidR="00BA6257" w:rsidRPr="00750C80">
        <w:rPr>
          <w:rFonts w:ascii="Times New Roman" w:hAnsi="Times New Roman" w:cs="Times New Roman"/>
          <w:sz w:val="24"/>
          <w:szCs w:val="24"/>
        </w:rPr>
        <w:t xml:space="preserve"> Nova Cultura. </w:t>
      </w:r>
      <w:r w:rsidR="00BA6257" w:rsidRPr="00750C80">
        <w:rPr>
          <w:rFonts w:ascii="Times New Roman" w:hAnsi="Times New Roman" w:cs="Times New Roman"/>
          <w:sz w:val="24"/>
          <w:szCs w:val="24"/>
          <w:lang w:val="en-US"/>
        </w:rPr>
        <w:t>São Paulo, 1996.</w:t>
      </w:r>
    </w:p>
    <w:p w14:paraId="397741AF" w14:textId="6945EC94" w:rsidR="008D30B5" w:rsidRPr="00750C80" w:rsidRDefault="008D30B5" w:rsidP="00BA6257">
      <w:pPr>
        <w:spacing w:after="120" w:line="360" w:lineRule="auto"/>
        <w:rPr>
          <w:rFonts w:ascii="Times New Roman" w:hAnsi="Times New Roman" w:cs="Times New Roman"/>
          <w:sz w:val="24"/>
          <w:szCs w:val="24"/>
          <w:lang w:val="en-US"/>
        </w:rPr>
      </w:pPr>
      <w:r w:rsidRPr="00750C80">
        <w:rPr>
          <w:rStyle w:val="fontstyle01"/>
          <w:lang w:val="en-US"/>
        </w:rPr>
        <w:t xml:space="preserve">MUNDLAK, Y. On the Pooling of Time Series and Cross Sectional Data. </w:t>
      </w:r>
      <w:proofErr w:type="spellStart"/>
      <w:r w:rsidRPr="00750C80">
        <w:rPr>
          <w:rStyle w:val="fontstyle21"/>
          <w:b w:val="0"/>
          <w:i/>
          <w:lang w:val="en-US"/>
        </w:rPr>
        <w:t>Econometrica</w:t>
      </w:r>
      <w:proofErr w:type="spellEnd"/>
      <w:proofErr w:type="gramStart"/>
      <w:r w:rsidRPr="00750C80">
        <w:rPr>
          <w:rStyle w:val="fontstyle01"/>
          <w:lang w:val="en-US"/>
        </w:rPr>
        <w:t>,</w:t>
      </w:r>
      <w:proofErr w:type="gramEnd"/>
      <w:r w:rsidRPr="00750C80">
        <w:rPr>
          <w:rFonts w:ascii="TimesNewRomanPSMT" w:hAnsi="TimesNewRomanPSMT"/>
          <w:color w:val="000000"/>
          <w:lang w:val="en-US"/>
        </w:rPr>
        <w:br/>
      </w:r>
      <w:r w:rsidRPr="00750C80">
        <w:rPr>
          <w:rStyle w:val="fontstyle01"/>
          <w:lang w:val="en-US"/>
        </w:rPr>
        <w:t>Chicago: University of Chicago/Econometric Society, v.56, n.1, p.69-86, 1978.</w:t>
      </w:r>
    </w:p>
    <w:p w14:paraId="77A7FF0F"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NASCIMENTO, F; JÚNIOR, D. P. A Evolução do Modelo Gravitacional na Economia. In: </w:t>
      </w:r>
      <w:r w:rsidRPr="00750C80">
        <w:rPr>
          <w:rFonts w:ascii="Times New Roman" w:hAnsi="Times New Roman" w:cs="Times New Roman"/>
          <w:i/>
          <w:sz w:val="24"/>
          <w:szCs w:val="24"/>
        </w:rPr>
        <w:t>Saber Humano</w:t>
      </w:r>
      <w:r w:rsidRPr="00750C80">
        <w:rPr>
          <w:rFonts w:ascii="Times New Roman" w:hAnsi="Times New Roman" w:cs="Times New Roman"/>
          <w:sz w:val="24"/>
          <w:szCs w:val="24"/>
        </w:rPr>
        <w:t xml:space="preserve">: Revista Científica da Faculdade </w:t>
      </w:r>
      <w:proofErr w:type="spellStart"/>
      <w:r w:rsidRPr="00750C80">
        <w:rPr>
          <w:rFonts w:ascii="Times New Roman" w:hAnsi="Times New Roman" w:cs="Times New Roman"/>
          <w:sz w:val="24"/>
          <w:szCs w:val="24"/>
        </w:rPr>
        <w:t>Antonio</w:t>
      </w:r>
      <w:proofErr w:type="spellEnd"/>
      <w:r w:rsidRPr="00750C80">
        <w:rPr>
          <w:rFonts w:ascii="Times New Roman" w:hAnsi="Times New Roman" w:cs="Times New Roman"/>
          <w:sz w:val="24"/>
          <w:szCs w:val="24"/>
        </w:rPr>
        <w:t xml:space="preserve"> </w:t>
      </w:r>
      <w:proofErr w:type="spellStart"/>
      <w:r w:rsidRPr="00750C80">
        <w:rPr>
          <w:rFonts w:ascii="Times New Roman" w:hAnsi="Times New Roman" w:cs="Times New Roman"/>
          <w:sz w:val="24"/>
          <w:szCs w:val="24"/>
        </w:rPr>
        <w:t>Meneghetti</w:t>
      </w:r>
      <w:proofErr w:type="spellEnd"/>
      <w:r w:rsidR="00BA6257" w:rsidRPr="00750C80">
        <w:rPr>
          <w:rFonts w:ascii="Times New Roman" w:hAnsi="Times New Roman" w:cs="Times New Roman"/>
          <w:sz w:val="24"/>
          <w:szCs w:val="24"/>
        </w:rPr>
        <w:t>, v. 3, n. 4, p. 131-142, 2013.</w:t>
      </w:r>
    </w:p>
    <w:p w14:paraId="77A7FF10"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PAIVA, D. L. de; BRAGA, M. B. Integração Econômica Regional e Desenvolvimento Econômico: Reflexões sobre a experiência latino-americana. In</w:t>
      </w:r>
      <w:r w:rsidRPr="00750C80">
        <w:rPr>
          <w:rFonts w:ascii="Times New Roman" w:hAnsi="Times New Roman" w:cs="Times New Roman"/>
          <w:b/>
          <w:i/>
          <w:sz w:val="24"/>
          <w:szCs w:val="24"/>
        </w:rPr>
        <w:t xml:space="preserve">: </w:t>
      </w:r>
      <w:r w:rsidRPr="00750C80">
        <w:rPr>
          <w:rFonts w:ascii="Times New Roman" w:hAnsi="Times New Roman" w:cs="Times New Roman"/>
          <w:bCs/>
          <w:i/>
          <w:sz w:val="24"/>
          <w:szCs w:val="24"/>
        </w:rPr>
        <w:t>Revista de Desenvolvimento Econômico</w:t>
      </w:r>
      <w:r w:rsidRPr="00750C80">
        <w:rPr>
          <w:rFonts w:ascii="Times New Roman" w:hAnsi="Times New Roman" w:cs="Times New Roman"/>
          <w:sz w:val="24"/>
          <w:szCs w:val="24"/>
        </w:rPr>
        <w:t>,</w:t>
      </w:r>
      <w:r w:rsidR="00BA6257" w:rsidRPr="00750C80">
        <w:rPr>
          <w:rFonts w:ascii="Times New Roman" w:hAnsi="Times New Roman" w:cs="Times New Roman"/>
          <w:sz w:val="24"/>
          <w:szCs w:val="24"/>
        </w:rPr>
        <w:t xml:space="preserve"> ano IX, n. 16. Salvador, 2007.</w:t>
      </w:r>
    </w:p>
    <w:p w14:paraId="77A7FF11" w14:textId="77777777" w:rsidR="00EE08FF" w:rsidRPr="00750C80" w:rsidRDefault="0064665A"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PESARAN, M. H. </w:t>
      </w:r>
      <w:r w:rsidRPr="00750C80">
        <w:rPr>
          <w:rFonts w:ascii="Times New Roman" w:hAnsi="Times New Roman" w:cs="Times New Roman"/>
          <w:i/>
          <w:sz w:val="24"/>
          <w:szCs w:val="24"/>
        </w:rPr>
        <w:t xml:space="preserve">General </w:t>
      </w:r>
      <w:proofErr w:type="spellStart"/>
      <w:r w:rsidRPr="00750C80">
        <w:rPr>
          <w:rFonts w:ascii="Times New Roman" w:hAnsi="Times New Roman" w:cs="Times New Roman"/>
          <w:i/>
          <w:sz w:val="24"/>
          <w:szCs w:val="24"/>
        </w:rPr>
        <w:t>diagnostic</w:t>
      </w:r>
      <w:proofErr w:type="spellEnd"/>
      <w:r w:rsidRPr="00750C80">
        <w:rPr>
          <w:rFonts w:ascii="Times New Roman" w:hAnsi="Times New Roman" w:cs="Times New Roman"/>
          <w:i/>
          <w:sz w:val="24"/>
          <w:szCs w:val="24"/>
        </w:rPr>
        <w:t xml:space="preserve"> </w:t>
      </w:r>
      <w:proofErr w:type="spellStart"/>
      <w:r w:rsidRPr="00750C80">
        <w:rPr>
          <w:rFonts w:ascii="Times New Roman" w:hAnsi="Times New Roman" w:cs="Times New Roman"/>
          <w:i/>
          <w:sz w:val="24"/>
          <w:szCs w:val="24"/>
        </w:rPr>
        <w:t>tests</w:t>
      </w:r>
      <w:proofErr w:type="spellEnd"/>
      <w:r w:rsidRPr="00750C80">
        <w:rPr>
          <w:rFonts w:ascii="Times New Roman" w:hAnsi="Times New Roman" w:cs="Times New Roman"/>
          <w:i/>
          <w:sz w:val="24"/>
          <w:szCs w:val="24"/>
        </w:rPr>
        <w:t xml:space="preserve"> for </w:t>
      </w:r>
      <w:proofErr w:type="spellStart"/>
      <w:r w:rsidRPr="00750C80">
        <w:rPr>
          <w:rFonts w:ascii="Times New Roman" w:hAnsi="Times New Roman" w:cs="Times New Roman"/>
          <w:i/>
          <w:sz w:val="24"/>
          <w:szCs w:val="24"/>
        </w:rPr>
        <w:t>cross</w:t>
      </w:r>
      <w:proofErr w:type="spellEnd"/>
      <w:r w:rsidRPr="00750C80">
        <w:rPr>
          <w:rFonts w:ascii="Times New Roman" w:hAnsi="Times New Roman" w:cs="Times New Roman"/>
          <w:i/>
          <w:sz w:val="24"/>
          <w:szCs w:val="24"/>
        </w:rPr>
        <w:t xml:space="preserve"> </w:t>
      </w:r>
      <w:proofErr w:type="spellStart"/>
      <w:r w:rsidRPr="00750C80">
        <w:rPr>
          <w:rFonts w:ascii="Times New Roman" w:hAnsi="Times New Roman" w:cs="Times New Roman"/>
          <w:i/>
          <w:sz w:val="24"/>
          <w:szCs w:val="24"/>
        </w:rPr>
        <w:t>section</w:t>
      </w:r>
      <w:proofErr w:type="spellEnd"/>
      <w:r w:rsidRPr="00750C80">
        <w:rPr>
          <w:rFonts w:ascii="Times New Roman" w:hAnsi="Times New Roman" w:cs="Times New Roman"/>
          <w:i/>
          <w:sz w:val="24"/>
          <w:szCs w:val="24"/>
        </w:rPr>
        <w:t xml:space="preserve"> </w:t>
      </w:r>
      <w:proofErr w:type="spellStart"/>
      <w:r w:rsidRPr="00750C80">
        <w:rPr>
          <w:rFonts w:ascii="Times New Roman" w:hAnsi="Times New Roman" w:cs="Times New Roman"/>
          <w:i/>
          <w:sz w:val="24"/>
          <w:szCs w:val="24"/>
        </w:rPr>
        <w:t>dependence</w:t>
      </w:r>
      <w:proofErr w:type="spellEnd"/>
      <w:r w:rsidRPr="00750C80">
        <w:rPr>
          <w:rFonts w:ascii="Times New Roman" w:hAnsi="Times New Roman" w:cs="Times New Roman"/>
          <w:i/>
          <w:sz w:val="24"/>
          <w:szCs w:val="24"/>
        </w:rPr>
        <w:t xml:space="preserve"> in </w:t>
      </w:r>
      <w:proofErr w:type="spellStart"/>
      <w:r w:rsidRPr="00750C80">
        <w:rPr>
          <w:rFonts w:ascii="Times New Roman" w:hAnsi="Times New Roman" w:cs="Times New Roman"/>
          <w:i/>
          <w:sz w:val="24"/>
          <w:szCs w:val="24"/>
        </w:rPr>
        <w:t>panels</w:t>
      </w:r>
      <w:proofErr w:type="spellEnd"/>
      <w:r w:rsidRPr="00750C80">
        <w:rPr>
          <w:rFonts w:ascii="Times New Roman" w:hAnsi="Times New Roman" w:cs="Times New Roman"/>
          <w:i/>
          <w:sz w:val="24"/>
          <w:szCs w:val="24"/>
        </w:rPr>
        <w:t>.</w:t>
      </w:r>
      <w:r w:rsidRPr="00750C80">
        <w:rPr>
          <w:rFonts w:ascii="Times New Roman" w:hAnsi="Times New Roman" w:cs="Times New Roman"/>
          <w:sz w:val="24"/>
          <w:szCs w:val="24"/>
        </w:rPr>
        <w:t xml:space="preserve"> </w:t>
      </w:r>
      <w:r w:rsidR="00BA6257" w:rsidRPr="00750C80">
        <w:rPr>
          <w:rFonts w:ascii="Times New Roman" w:hAnsi="Times New Roman" w:cs="Times New Roman"/>
          <w:sz w:val="24"/>
          <w:szCs w:val="24"/>
        </w:rPr>
        <w:t>2004.</w:t>
      </w:r>
    </w:p>
    <w:p w14:paraId="6B72666D" w14:textId="75A20FDC" w:rsidR="005D0F02" w:rsidRPr="00750C80" w:rsidRDefault="005D0F02"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rPr>
        <w:t>POR</w:t>
      </w:r>
      <w:r w:rsidR="00D26C4A" w:rsidRPr="00750C80">
        <w:rPr>
          <w:rFonts w:ascii="Times New Roman" w:hAnsi="Times New Roman" w:cs="Times New Roman"/>
          <w:sz w:val="24"/>
          <w:szCs w:val="24"/>
        </w:rPr>
        <w:t>TO, P.; C.; S</w:t>
      </w:r>
      <w:r w:rsidRPr="00750C80">
        <w:rPr>
          <w:rFonts w:ascii="Times New Roman" w:hAnsi="Times New Roman" w:cs="Times New Roman"/>
          <w:sz w:val="24"/>
          <w:szCs w:val="24"/>
        </w:rPr>
        <w:t xml:space="preserve">. </w:t>
      </w:r>
      <w:r w:rsidRPr="00750C80">
        <w:rPr>
          <w:rFonts w:ascii="Times New Roman" w:hAnsi="Times New Roman" w:cs="Times New Roman"/>
          <w:i/>
          <w:sz w:val="24"/>
          <w:szCs w:val="24"/>
        </w:rPr>
        <w:t>Os impactos dos fluxos de comércio do Mercosul sobre as regiões brasileiras</w:t>
      </w:r>
      <w:r w:rsidRPr="00750C80">
        <w:rPr>
          <w:rFonts w:ascii="Times New Roman" w:hAnsi="Times New Roman" w:cs="Times New Roman"/>
          <w:sz w:val="24"/>
          <w:szCs w:val="24"/>
        </w:rPr>
        <w:t xml:space="preserve">. </w:t>
      </w:r>
      <w:r w:rsidRPr="00750C80">
        <w:rPr>
          <w:rFonts w:ascii="Times New Roman" w:hAnsi="Times New Roman" w:cs="Times New Roman"/>
          <w:sz w:val="24"/>
          <w:szCs w:val="24"/>
          <w:lang w:val="en-US"/>
        </w:rPr>
        <w:t>2002.</w:t>
      </w:r>
    </w:p>
    <w:p w14:paraId="77A7FF12" w14:textId="77777777" w:rsidR="0064665A" w:rsidRPr="00750C80" w:rsidRDefault="00EE08FF"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lang w:val="en-US"/>
        </w:rPr>
        <w:t>POSSER, D. R.; MASSUQUETTI, A. The Brazilian export prof</w:t>
      </w:r>
      <w:r w:rsidR="00BA6257" w:rsidRPr="00750C80">
        <w:rPr>
          <w:rFonts w:ascii="Times New Roman" w:hAnsi="Times New Roman" w:cs="Times New Roman"/>
          <w:sz w:val="24"/>
          <w:szCs w:val="24"/>
          <w:lang w:val="en-US"/>
        </w:rPr>
        <w:t>ile by technological intensity</w:t>
      </w:r>
      <w:r w:rsidRPr="00750C80">
        <w:rPr>
          <w:rFonts w:ascii="Times New Roman" w:hAnsi="Times New Roman" w:cs="Times New Roman"/>
          <w:sz w:val="24"/>
          <w:szCs w:val="24"/>
          <w:lang w:val="en-US"/>
        </w:rPr>
        <w:t xml:space="preserve">. </w:t>
      </w:r>
      <w:proofErr w:type="spellStart"/>
      <w:r w:rsidRPr="00750C80">
        <w:rPr>
          <w:rFonts w:ascii="Times New Roman" w:hAnsi="Times New Roman" w:cs="Times New Roman"/>
          <w:i/>
          <w:sz w:val="24"/>
          <w:szCs w:val="24"/>
          <w:lang w:val="en-US"/>
        </w:rPr>
        <w:t>Revista</w:t>
      </w:r>
      <w:proofErr w:type="spellEnd"/>
      <w:r w:rsidRPr="00750C80">
        <w:rPr>
          <w:rFonts w:ascii="Times New Roman" w:hAnsi="Times New Roman" w:cs="Times New Roman"/>
          <w:i/>
          <w:sz w:val="24"/>
          <w:szCs w:val="24"/>
          <w:lang w:val="en-US"/>
        </w:rPr>
        <w:t xml:space="preserve"> </w:t>
      </w:r>
      <w:proofErr w:type="spellStart"/>
      <w:r w:rsidRPr="00750C80">
        <w:rPr>
          <w:rFonts w:ascii="Times New Roman" w:hAnsi="Times New Roman" w:cs="Times New Roman"/>
          <w:i/>
          <w:sz w:val="24"/>
          <w:szCs w:val="24"/>
          <w:lang w:val="en-US"/>
        </w:rPr>
        <w:t>Brasileira</w:t>
      </w:r>
      <w:proofErr w:type="spellEnd"/>
      <w:r w:rsidRPr="00750C80">
        <w:rPr>
          <w:rFonts w:ascii="Times New Roman" w:hAnsi="Times New Roman" w:cs="Times New Roman"/>
          <w:i/>
          <w:sz w:val="24"/>
          <w:szCs w:val="24"/>
          <w:lang w:val="en-US"/>
        </w:rPr>
        <w:t xml:space="preserve"> de </w:t>
      </w:r>
      <w:proofErr w:type="spellStart"/>
      <w:r w:rsidRPr="00750C80">
        <w:rPr>
          <w:rFonts w:ascii="Times New Roman" w:hAnsi="Times New Roman" w:cs="Times New Roman"/>
          <w:i/>
          <w:sz w:val="24"/>
          <w:szCs w:val="24"/>
          <w:lang w:val="en-US"/>
        </w:rPr>
        <w:t>Economia</w:t>
      </w:r>
      <w:proofErr w:type="spellEnd"/>
      <w:r w:rsidRPr="00750C80">
        <w:rPr>
          <w:rFonts w:ascii="Times New Roman" w:hAnsi="Times New Roman" w:cs="Times New Roman"/>
          <w:i/>
          <w:sz w:val="24"/>
          <w:szCs w:val="24"/>
          <w:lang w:val="en-US"/>
        </w:rPr>
        <w:t xml:space="preserve"> de </w:t>
      </w:r>
      <w:proofErr w:type="spellStart"/>
      <w:r w:rsidRPr="00750C80">
        <w:rPr>
          <w:rFonts w:ascii="Times New Roman" w:hAnsi="Times New Roman" w:cs="Times New Roman"/>
          <w:i/>
          <w:sz w:val="24"/>
          <w:szCs w:val="24"/>
          <w:lang w:val="en-US"/>
        </w:rPr>
        <w:t>Empresas</w:t>
      </w:r>
      <w:proofErr w:type="spellEnd"/>
      <w:r w:rsidR="00BA6257" w:rsidRPr="00750C80">
        <w:rPr>
          <w:rFonts w:ascii="Times New Roman" w:hAnsi="Times New Roman" w:cs="Times New Roman"/>
          <w:sz w:val="24"/>
          <w:szCs w:val="24"/>
          <w:lang w:val="en-US"/>
        </w:rPr>
        <w:t>, v. 14, n. 2, p. 97, 2014.</w:t>
      </w:r>
    </w:p>
    <w:p w14:paraId="77A7FF13" w14:textId="77777777" w:rsidR="00975ADE" w:rsidRPr="00750C80" w:rsidRDefault="00975ADE" w:rsidP="00BA6257">
      <w:pPr>
        <w:spacing w:after="120" w:line="360" w:lineRule="auto"/>
        <w:rPr>
          <w:rFonts w:ascii="Times New Roman" w:eastAsia="Times New Roman" w:hAnsi="Times New Roman" w:cs="Times New Roman"/>
          <w:sz w:val="24"/>
          <w:szCs w:val="24"/>
          <w:lang w:eastAsia="pt-BR"/>
        </w:rPr>
      </w:pPr>
      <w:r w:rsidRPr="00750C80">
        <w:rPr>
          <w:rFonts w:ascii="Times New Roman" w:eastAsia="Times New Roman" w:hAnsi="Times New Roman" w:cs="Times New Roman"/>
          <w:sz w:val="24"/>
          <w:szCs w:val="24"/>
          <w:lang w:val="en-US" w:eastAsia="pt-BR"/>
        </w:rPr>
        <w:t xml:space="preserve">PÖYHÖNEN, P. A tentative model for the volume of trade between countries. </w:t>
      </w:r>
      <w:proofErr w:type="spellStart"/>
      <w:r w:rsidRPr="00750C80">
        <w:rPr>
          <w:rFonts w:ascii="Times New Roman" w:eastAsia="Times New Roman" w:hAnsi="Times New Roman" w:cs="Times New Roman"/>
          <w:bCs/>
          <w:i/>
          <w:sz w:val="24"/>
          <w:szCs w:val="24"/>
          <w:lang w:eastAsia="pt-BR"/>
        </w:rPr>
        <w:t>Weltwirtschaftliches</w:t>
      </w:r>
      <w:proofErr w:type="spellEnd"/>
      <w:r w:rsidRPr="00750C80">
        <w:rPr>
          <w:rFonts w:ascii="Times New Roman" w:eastAsia="Times New Roman" w:hAnsi="Times New Roman" w:cs="Times New Roman"/>
          <w:bCs/>
          <w:i/>
          <w:sz w:val="24"/>
          <w:szCs w:val="24"/>
          <w:lang w:eastAsia="pt-BR"/>
        </w:rPr>
        <w:t xml:space="preserve"> </w:t>
      </w:r>
      <w:proofErr w:type="spellStart"/>
      <w:r w:rsidRPr="00750C80">
        <w:rPr>
          <w:rFonts w:ascii="Times New Roman" w:eastAsia="Times New Roman" w:hAnsi="Times New Roman" w:cs="Times New Roman"/>
          <w:bCs/>
          <w:i/>
          <w:sz w:val="24"/>
          <w:szCs w:val="24"/>
          <w:lang w:eastAsia="pt-BR"/>
        </w:rPr>
        <w:t>Archiv</w:t>
      </w:r>
      <w:proofErr w:type="spellEnd"/>
      <w:r w:rsidR="00BA6257" w:rsidRPr="00750C80">
        <w:rPr>
          <w:rFonts w:ascii="Times New Roman" w:eastAsia="Times New Roman" w:hAnsi="Times New Roman" w:cs="Times New Roman"/>
          <w:sz w:val="24"/>
          <w:szCs w:val="24"/>
          <w:lang w:eastAsia="pt-BR"/>
        </w:rPr>
        <w:t>, p. 93-100, 1963.</w:t>
      </w:r>
    </w:p>
    <w:p w14:paraId="77A7FF14"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PRAZERES, T. A Integração Sul-Americana: uma ideia ainda fora do lugar? In: </w:t>
      </w:r>
      <w:r w:rsidRPr="00750C80">
        <w:rPr>
          <w:rFonts w:ascii="Times New Roman" w:hAnsi="Times New Roman" w:cs="Times New Roman"/>
          <w:bCs/>
          <w:i/>
          <w:sz w:val="24"/>
          <w:szCs w:val="24"/>
        </w:rPr>
        <w:t>O Brasil e a América do Sul</w:t>
      </w:r>
      <w:r w:rsidRPr="00750C80">
        <w:rPr>
          <w:rFonts w:ascii="Times New Roman" w:hAnsi="Times New Roman" w:cs="Times New Roman"/>
          <w:sz w:val="24"/>
          <w:szCs w:val="24"/>
        </w:rPr>
        <w:t>: desafios no século XXI</w:t>
      </w:r>
      <w:r w:rsidR="00BA6257" w:rsidRPr="00750C80">
        <w:rPr>
          <w:rFonts w:ascii="Times New Roman" w:hAnsi="Times New Roman" w:cs="Times New Roman"/>
          <w:sz w:val="24"/>
          <w:szCs w:val="24"/>
        </w:rPr>
        <w:t xml:space="preserve">. Brasília: FUNAG: IPRI, 2006. </w:t>
      </w:r>
    </w:p>
    <w:p w14:paraId="77A7FF15"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PRAZERES, T. L. </w:t>
      </w:r>
      <w:r w:rsidRPr="00750C80">
        <w:rPr>
          <w:rFonts w:ascii="Times New Roman" w:hAnsi="Times New Roman" w:cs="Times New Roman"/>
          <w:bCs/>
          <w:i/>
          <w:sz w:val="24"/>
          <w:szCs w:val="24"/>
        </w:rPr>
        <w:t>Sistema multilateral de comércio e processos de integração regional:</w:t>
      </w:r>
      <w:r w:rsidRPr="00750C80">
        <w:rPr>
          <w:rFonts w:ascii="Times New Roman" w:hAnsi="Times New Roman" w:cs="Times New Roman"/>
          <w:b/>
          <w:bCs/>
          <w:sz w:val="24"/>
          <w:szCs w:val="24"/>
        </w:rPr>
        <w:t xml:space="preserve"> </w:t>
      </w:r>
      <w:r w:rsidRPr="00750C80">
        <w:rPr>
          <w:rFonts w:ascii="Times New Roman" w:hAnsi="Times New Roman" w:cs="Times New Roman"/>
          <w:sz w:val="24"/>
          <w:szCs w:val="24"/>
        </w:rPr>
        <w:t>complementaridade e an</w:t>
      </w:r>
      <w:r w:rsidR="00BA6257" w:rsidRPr="00750C80">
        <w:rPr>
          <w:rFonts w:ascii="Times New Roman" w:hAnsi="Times New Roman" w:cs="Times New Roman"/>
          <w:sz w:val="24"/>
          <w:szCs w:val="24"/>
        </w:rPr>
        <w:t xml:space="preserve">tagonismo. Brasília: </w:t>
      </w:r>
      <w:proofErr w:type="spellStart"/>
      <w:r w:rsidR="00BA6257" w:rsidRPr="00750C80">
        <w:rPr>
          <w:rFonts w:ascii="Times New Roman" w:hAnsi="Times New Roman" w:cs="Times New Roman"/>
          <w:sz w:val="24"/>
          <w:szCs w:val="24"/>
        </w:rPr>
        <w:t>Unb</w:t>
      </w:r>
      <w:proofErr w:type="spellEnd"/>
      <w:r w:rsidR="00BA6257" w:rsidRPr="00750C80">
        <w:rPr>
          <w:rFonts w:ascii="Times New Roman" w:hAnsi="Times New Roman" w:cs="Times New Roman"/>
          <w:sz w:val="24"/>
          <w:szCs w:val="24"/>
        </w:rPr>
        <w:t>, 2007.</w:t>
      </w:r>
    </w:p>
    <w:p w14:paraId="77A7FF16"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PREBISCH, R. </w:t>
      </w:r>
      <w:r w:rsidRPr="00750C80">
        <w:rPr>
          <w:rFonts w:ascii="Times New Roman" w:hAnsi="Times New Roman" w:cs="Times New Roman"/>
          <w:i/>
          <w:sz w:val="24"/>
          <w:szCs w:val="24"/>
        </w:rPr>
        <w:t>El Mercado Comum Latino-americano.</w:t>
      </w:r>
      <w:r w:rsidRPr="00750C80">
        <w:rPr>
          <w:rFonts w:ascii="Times New Roman" w:hAnsi="Times New Roman" w:cs="Times New Roman"/>
          <w:sz w:val="24"/>
          <w:szCs w:val="24"/>
        </w:rPr>
        <w:t xml:space="preserve"> Quito: Im</w:t>
      </w:r>
      <w:r w:rsidR="00BA6257" w:rsidRPr="00750C80">
        <w:rPr>
          <w:rFonts w:ascii="Times New Roman" w:hAnsi="Times New Roman" w:cs="Times New Roman"/>
          <w:sz w:val="24"/>
          <w:szCs w:val="24"/>
        </w:rPr>
        <w:t>prensa Del Banco Central, 1959.</w:t>
      </w:r>
    </w:p>
    <w:p w14:paraId="77A7FF17"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lastRenderedPageBreak/>
        <w:t xml:space="preserve">PREBISCH, R. </w:t>
      </w:r>
      <w:r w:rsidRPr="00750C80">
        <w:rPr>
          <w:rFonts w:ascii="Times New Roman" w:hAnsi="Times New Roman" w:cs="Times New Roman"/>
          <w:i/>
          <w:sz w:val="24"/>
          <w:szCs w:val="24"/>
        </w:rPr>
        <w:t xml:space="preserve">O desenvolvimento econômico na América Latina e seus principais problemas. </w:t>
      </w:r>
      <w:r w:rsidRPr="00750C80">
        <w:rPr>
          <w:rFonts w:ascii="Times New Roman" w:hAnsi="Times New Roman" w:cs="Times New Roman"/>
          <w:sz w:val="24"/>
          <w:szCs w:val="24"/>
        </w:rPr>
        <w:t>Revista Brasileir</w:t>
      </w:r>
      <w:r w:rsidR="00BA6257" w:rsidRPr="00750C80">
        <w:rPr>
          <w:rFonts w:ascii="Times New Roman" w:hAnsi="Times New Roman" w:cs="Times New Roman"/>
          <w:sz w:val="24"/>
          <w:szCs w:val="24"/>
        </w:rPr>
        <w:t>a de Economia, São Paulo, 1949.</w:t>
      </w:r>
    </w:p>
    <w:p w14:paraId="77A7FF18" w14:textId="77777777" w:rsidR="00C95B85" w:rsidRPr="00750C80" w:rsidRDefault="00C95B85"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rPr>
        <w:t xml:space="preserve">RICARDO, D. </w:t>
      </w:r>
      <w:r w:rsidRPr="00750C80">
        <w:rPr>
          <w:rFonts w:ascii="Times New Roman" w:hAnsi="Times New Roman" w:cs="Times New Roman"/>
          <w:i/>
          <w:sz w:val="24"/>
          <w:szCs w:val="24"/>
        </w:rPr>
        <w:t>Princípios de Economia Política e Tributação</w:t>
      </w:r>
      <w:r w:rsidRPr="00750C80">
        <w:rPr>
          <w:rFonts w:ascii="Times New Roman" w:hAnsi="Times New Roman" w:cs="Times New Roman"/>
          <w:sz w:val="24"/>
          <w:szCs w:val="24"/>
        </w:rPr>
        <w:t>:</w:t>
      </w:r>
      <w:r w:rsidR="00BA6257" w:rsidRPr="00750C80">
        <w:rPr>
          <w:rFonts w:ascii="Times New Roman" w:hAnsi="Times New Roman" w:cs="Times New Roman"/>
          <w:sz w:val="24"/>
          <w:szCs w:val="24"/>
        </w:rPr>
        <w:t xml:space="preserve"> Nova Cultura. </w:t>
      </w:r>
      <w:r w:rsidR="00BA6257" w:rsidRPr="00750C80">
        <w:rPr>
          <w:rFonts w:ascii="Times New Roman" w:hAnsi="Times New Roman" w:cs="Times New Roman"/>
          <w:sz w:val="24"/>
          <w:szCs w:val="24"/>
          <w:lang w:val="en-US"/>
        </w:rPr>
        <w:t>São Paulo, 1996.</w:t>
      </w:r>
    </w:p>
    <w:p w14:paraId="77A7FF19" w14:textId="77777777" w:rsidR="00843214" w:rsidRPr="00750C80" w:rsidRDefault="00843214"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lang w:val="en-US"/>
        </w:rPr>
        <w:t xml:space="preserve">RODRIK, D. Growth strategies. </w:t>
      </w:r>
      <w:r w:rsidRPr="00750C80">
        <w:rPr>
          <w:rFonts w:ascii="Times New Roman" w:hAnsi="Times New Roman" w:cs="Times New Roman"/>
          <w:i/>
          <w:sz w:val="24"/>
          <w:szCs w:val="24"/>
          <w:lang w:val="en-US"/>
        </w:rPr>
        <w:t>Handbook of economic growth</w:t>
      </w:r>
      <w:r w:rsidR="00BA6257" w:rsidRPr="00750C80">
        <w:rPr>
          <w:rFonts w:ascii="Times New Roman" w:hAnsi="Times New Roman" w:cs="Times New Roman"/>
          <w:sz w:val="24"/>
          <w:szCs w:val="24"/>
          <w:lang w:val="en-US"/>
        </w:rPr>
        <w:t>, v. 1, p. 967-1014, 2005.</w:t>
      </w:r>
    </w:p>
    <w:p w14:paraId="77A7FF1A"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SABBATINI, R. Multilateralismo, regionalismo e MERCOSUL. </w:t>
      </w:r>
      <w:r w:rsidRPr="00750C80">
        <w:rPr>
          <w:rFonts w:ascii="Times New Roman" w:hAnsi="Times New Roman" w:cs="Times New Roman"/>
          <w:bCs/>
          <w:i/>
          <w:sz w:val="24"/>
          <w:szCs w:val="24"/>
        </w:rPr>
        <w:t>Internacionalização produtiva da indústria brasileira nos anos 1990</w:t>
      </w:r>
      <w:r w:rsidRPr="00750C80">
        <w:rPr>
          <w:rFonts w:ascii="Times New Roman" w:hAnsi="Times New Roman" w:cs="Times New Roman"/>
          <w:b/>
          <w:bCs/>
          <w:sz w:val="24"/>
          <w:szCs w:val="24"/>
        </w:rPr>
        <w:t xml:space="preserve">. </w:t>
      </w:r>
      <w:r w:rsidR="00BA6257" w:rsidRPr="00750C80">
        <w:rPr>
          <w:rFonts w:ascii="Times New Roman" w:hAnsi="Times New Roman" w:cs="Times New Roman"/>
          <w:sz w:val="24"/>
          <w:szCs w:val="24"/>
        </w:rPr>
        <w:t>São Paulo: FAPESP, 2001.</w:t>
      </w:r>
    </w:p>
    <w:p w14:paraId="77A7FF1B"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SENHORAS, E. M.; VITTE, C. C. S</w:t>
      </w:r>
      <w:r w:rsidRPr="00750C80">
        <w:rPr>
          <w:rFonts w:ascii="Times New Roman" w:hAnsi="Times New Roman" w:cs="Times New Roman"/>
          <w:b/>
          <w:bCs/>
          <w:sz w:val="24"/>
          <w:szCs w:val="24"/>
        </w:rPr>
        <w:t xml:space="preserve">. </w:t>
      </w:r>
      <w:r w:rsidRPr="00750C80">
        <w:rPr>
          <w:rFonts w:ascii="Times New Roman" w:hAnsi="Times New Roman" w:cs="Times New Roman"/>
          <w:bCs/>
          <w:i/>
          <w:sz w:val="24"/>
          <w:szCs w:val="24"/>
        </w:rPr>
        <w:t>O Novo Regionalismo Internacional da Teoria à Prática:</w:t>
      </w:r>
      <w:r w:rsidRPr="00750C80">
        <w:rPr>
          <w:rFonts w:ascii="Times New Roman" w:hAnsi="Times New Roman" w:cs="Times New Roman"/>
          <w:b/>
          <w:bCs/>
          <w:sz w:val="24"/>
          <w:szCs w:val="24"/>
        </w:rPr>
        <w:t xml:space="preserve"> </w:t>
      </w:r>
      <w:r w:rsidRPr="00750C80">
        <w:rPr>
          <w:rFonts w:ascii="Times New Roman" w:hAnsi="Times New Roman" w:cs="Times New Roman"/>
          <w:sz w:val="24"/>
          <w:szCs w:val="24"/>
        </w:rPr>
        <w:t xml:space="preserve">Um estudo de caso de integração regional e </w:t>
      </w:r>
      <w:proofErr w:type="spellStart"/>
      <w:r w:rsidRPr="00750C80">
        <w:rPr>
          <w:rFonts w:ascii="Times New Roman" w:hAnsi="Times New Roman" w:cs="Times New Roman"/>
          <w:sz w:val="24"/>
          <w:szCs w:val="24"/>
        </w:rPr>
        <w:t>panregionalismo</w:t>
      </w:r>
      <w:proofErr w:type="spellEnd"/>
      <w:r w:rsidRPr="00750C80">
        <w:rPr>
          <w:rFonts w:ascii="Times New Roman" w:hAnsi="Times New Roman" w:cs="Times New Roman"/>
          <w:sz w:val="24"/>
          <w:szCs w:val="24"/>
        </w:rPr>
        <w:t xml:space="preserve"> na encruzilhada america</w:t>
      </w:r>
      <w:r w:rsidR="00BA6257" w:rsidRPr="00750C80">
        <w:rPr>
          <w:rFonts w:ascii="Times New Roman" w:hAnsi="Times New Roman" w:cs="Times New Roman"/>
          <w:sz w:val="24"/>
          <w:szCs w:val="24"/>
        </w:rPr>
        <w:t>na. Campinas: IE/Unicamp, 2007.</w:t>
      </w:r>
    </w:p>
    <w:p w14:paraId="77A7FF1C"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SCHMITZ, A. R. </w:t>
      </w:r>
      <w:r w:rsidRPr="00750C80">
        <w:rPr>
          <w:rFonts w:ascii="Times New Roman" w:hAnsi="Times New Roman" w:cs="Times New Roman"/>
          <w:bCs/>
          <w:i/>
          <w:sz w:val="24"/>
          <w:szCs w:val="24"/>
        </w:rPr>
        <w:t>Uma análise da criação e desvio de comércio do Brasil para os casos do MERCOSUL e Estados Unidos</w:t>
      </w:r>
      <w:r w:rsidR="00BA6257" w:rsidRPr="00750C80">
        <w:rPr>
          <w:rFonts w:ascii="Times New Roman" w:hAnsi="Times New Roman" w:cs="Times New Roman"/>
          <w:sz w:val="24"/>
          <w:szCs w:val="24"/>
        </w:rPr>
        <w:t>. Ijuí: UNIJUÍ, 2010.</w:t>
      </w:r>
    </w:p>
    <w:p w14:paraId="77A7FF1D"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SMITH, A. </w:t>
      </w:r>
      <w:r w:rsidRPr="00750C80">
        <w:rPr>
          <w:rFonts w:ascii="Times New Roman" w:hAnsi="Times New Roman" w:cs="Times New Roman"/>
          <w:bCs/>
          <w:i/>
          <w:sz w:val="24"/>
          <w:szCs w:val="24"/>
        </w:rPr>
        <w:t>A Riqueza das Nações</w:t>
      </w:r>
      <w:r w:rsidRPr="00750C80">
        <w:rPr>
          <w:rFonts w:ascii="Times New Roman" w:hAnsi="Times New Roman" w:cs="Times New Roman"/>
          <w:sz w:val="24"/>
          <w:szCs w:val="24"/>
        </w:rPr>
        <w:t>: Investigação Sobre Sua Natureza e Causa</w:t>
      </w:r>
      <w:r w:rsidR="00BA6257" w:rsidRPr="00750C80">
        <w:rPr>
          <w:rFonts w:ascii="Times New Roman" w:hAnsi="Times New Roman" w:cs="Times New Roman"/>
          <w:sz w:val="24"/>
          <w:szCs w:val="24"/>
        </w:rPr>
        <w:t>: Nova Cultura. São Paulo,1996.</w:t>
      </w:r>
    </w:p>
    <w:p w14:paraId="77A7FF1E" w14:textId="77777777" w:rsidR="00C95B85" w:rsidRPr="00750C80" w:rsidRDefault="00C95B85"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rPr>
        <w:t xml:space="preserve">SOUZA, N. A; SILVA, L. M. N. M. Integração contemporânea da América Latina: teoria e prática. In: </w:t>
      </w:r>
      <w:r w:rsidRPr="00750C80">
        <w:rPr>
          <w:rFonts w:ascii="Times New Roman" w:hAnsi="Times New Roman" w:cs="Times New Roman"/>
          <w:bCs/>
          <w:i/>
          <w:sz w:val="24"/>
          <w:szCs w:val="24"/>
        </w:rPr>
        <w:t>Revista de Relações Internacionais da UFGD</w:t>
      </w:r>
      <w:r w:rsidRPr="00750C80">
        <w:rPr>
          <w:rFonts w:ascii="Times New Roman" w:hAnsi="Times New Roman" w:cs="Times New Roman"/>
          <w:i/>
          <w:sz w:val="24"/>
          <w:szCs w:val="24"/>
        </w:rPr>
        <w:t>.</w:t>
      </w:r>
      <w:r w:rsidRPr="00750C80">
        <w:rPr>
          <w:rFonts w:ascii="Times New Roman" w:hAnsi="Times New Roman" w:cs="Times New Roman"/>
          <w:sz w:val="24"/>
          <w:szCs w:val="24"/>
        </w:rPr>
        <w:t xml:space="preserve"> Dourados, 2013. Disponível em: &lt;http://www.periodicos.ufgd.edu.br/index.php/moncoes&gt;. </w:t>
      </w:r>
      <w:proofErr w:type="spellStart"/>
      <w:r w:rsidR="00BA6257" w:rsidRPr="00750C80">
        <w:rPr>
          <w:rFonts w:ascii="Times New Roman" w:hAnsi="Times New Roman" w:cs="Times New Roman"/>
          <w:sz w:val="24"/>
          <w:szCs w:val="24"/>
          <w:lang w:val="en-US"/>
        </w:rPr>
        <w:t>Acesso</w:t>
      </w:r>
      <w:proofErr w:type="spellEnd"/>
      <w:r w:rsidR="00BA6257" w:rsidRPr="00750C80">
        <w:rPr>
          <w:rFonts w:ascii="Times New Roman" w:hAnsi="Times New Roman" w:cs="Times New Roman"/>
          <w:sz w:val="24"/>
          <w:szCs w:val="24"/>
          <w:lang w:val="en-US"/>
        </w:rPr>
        <w:t xml:space="preserve"> </w:t>
      </w:r>
      <w:proofErr w:type="spellStart"/>
      <w:r w:rsidR="00BA6257" w:rsidRPr="00750C80">
        <w:rPr>
          <w:rFonts w:ascii="Times New Roman" w:hAnsi="Times New Roman" w:cs="Times New Roman"/>
          <w:sz w:val="24"/>
          <w:szCs w:val="24"/>
          <w:lang w:val="en-US"/>
        </w:rPr>
        <w:t>em</w:t>
      </w:r>
      <w:proofErr w:type="spellEnd"/>
      <w:r w:rsidR="00BA6257" w:rsidRPr="00750C80">
        <w:rPr>
          <w:rFonts w:ascii="Times New Roman" w:hAnsi="Times New Roman" w:cs="Times New Roman"/>
          <w:sz w:val="24"/>
          <w:szCs w:val="24"/>
          <w:lang w:val="en-US"/>
        </w:rPr>
        <w:t xml:space="preserve">: 16 de </w:t>
      </w:r>
      <w:proofErr w:type="spellStart"/>
      <w:r w:rsidR="00BA6257" w:rsidRPr="00750C80">
        <w:rPr>
          <w:rFonts w:ascii="Times New Roman" w:hAnsi="Times New Roman" w:cs="Times New Roman"/>
          <w:sz w:val="24"/>
          <w:szCs w:val="24"/>
          <w:lang w:val="en-US"/>
        </w:rPr>
        <w:t>junho</w:t>
      </w:r>
      <w:proofErr w:type="spellEnd"/>
      <w:r w:rsidR="00BA6257" w:rsidRPr="00750C80">
        <w:rPr>
          <w:rFonts w:ascii="Times New Roman" w:hAnsi="Times New Roman" w:cs="Times New Roman"/>
          <w:sz w:val="24"/>
          <w:szCs w:val="24"/>
          <w:lang w:val="en-US"/>
        </w:rPr>
        <w:t xml:space="preserve"> de 2016.</w:t>
      </w:r>
    </w:p>
    <w:p w14:paraId="77A7FF1F" w14:textId="77777777" w:rsidR="00975ADE" w:rsidRPr="00750C80" w:rsidRDefault="00975ADE" w:rsidP="00BA6257">
      <w:pPr>
        <w:spacing w:after="120" w:line="360" w:lineRule="auto"/>
        <w:rPr>
          <w:rFonts w:ascii="Times New Roman" w:eastAsia="Times New Roman" w:hAnsi="Times New Roman" w:cs="Times New Roman"/>
          <w:sz w:val="24"/>
          <w:szCs w:val="24"/>
          <w:lang w:eastAsia="pt-BR"/>
        </w:rPr>
      </w:pPr>
      <w:r w:rsidRPr="00750C80">
        <w:rPr>
          <w:rFonts w:ascii="Times New Roman" w:eastAsia="Times New Roman" w:hAnsi="Times New Roman" w:cs="Times New Roman"/>
          <w:sz w:val="24"/>
          <w:szCs w:val="24"/>
          <w:lang w:val="en-US" w:eastAsia="pt-BR"/>
        </w:rPr>
        <w:t xml:space="preserve">TINBERGEN, J. </w:t>
      </w:r>
      <w:proofErr w:type="gramStart"/>
      <w:r w:rsidRPr="00750C80">
        <w:rPr>
          <w:rFonts w:ascii="Times New Roman" w:eastAsia="Times New Roman" w:hAnsi="Times New Roman" w:cs="Times New Roman"/>
          <w:sz w:val="24"/>
          <w:szCs w:val="24"/>
          <w:lang w:val="en-US" w:eastAsia="pt-BR"/>
        </w:rPr>
        <w:t>Shaping</w:t>
      </w:r>
      <w:proofErr w:type="gramEnd"/>
      <w:r w:rsidRPr="00750C80">
        <w:rPr>
          <w:rFonts w:ascii="Times New Roman" w:eastAsia="Times New Roman" w:hAnsi="Times New Roman" w:cs="Times New Roman"/>
          <w:sz w:val="24"/>
          <w:szCs w:val="24"/>
          <w:lang w:val="en-US" w:eastAsia="pt-BR"/>
        </w:rPr>
        <w:t xml:space="preserve"> the world economy; suggestions for an international economic policy. </w:t>
      </w:r>
      <w:r w:rsidRPr="00750C80">
        <w:rPr>
          <w:rFonts w:ascii="Times New Roman" w:eastAsia="Times New Roman" w:hAnsi="Times New Roman" w:cs="Times New Roman"/>
          <w:bCs/>
          <w:i/>
          <w:sz w:val="24"/>
          <w:szCs w:val="24"/>
          <w:lang w:eastAsia="pt-BR"/>
        </w:rPr>
        <w:t>Books (Jan Tinbergen)</w:t>
      </w:r>
      <w:r w:rsidR="00BA6257" w:rsidRPr="00750C80">
        <w:rPr>
          <w:rFonts w:ascii="Times New Roman" w:eastAsia="Times New Roman" w:hAnsi="Times New Roman" w:cs="Times New Roman"/>
          <w:sz w:val="24"/>
          <w:szCs w:val="24"/>
          <w:lang w:eastAsia="pt-BR"/>
        </w:rPr>
        <w:t>, 1962.</w:t>
      </w:r>
    </w:p>
    <w:p w14:paraId="77A7FF20" w14:textId="77777777" w:rsidR="00C95B85" w:rsidRPr="00750C80"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VALDEZ, R. C. C. </w:t>
      </w:r>
      <w:r w:rsidRPr="00750C80">
        <w:rPr>
          <w:rFonts w:ascii="Times New Roman" w:hAnsi="Times New Roman" w:cs="Times New Roman"/>
          <w:bCs/>
          <w:i/>
          <w:sz w:val="24"/>
          <w:szCs w:val="24"/>
        </w:rPr>
        <w:t>Integração Regional Pragmática</w:t>
      </w:r>
      <w:r w:rsidRPr="00750C80">
        <w:rPr>
          <w:rFonts w:ascii="Times New Roman" w:hAnsi="Times New Roman" w:cs="Times New Roman"/>
          <w:sz w:val="24"/>
          <w:szCs w:val="24"/>
        </w:rPr>
        <w:t>: a integração possível para o continente sul-americ</w:t>
      </w:r>
      <w:r w:rsidR="00BA6257" w:rsidRPr="00750C80">
        <w:rPr>
          <w:rFonts w:ascii="Times New Roman" w:hAnsi="Times New Roman" w:cs="Times New Roman"/>
          <w:sz w:val="24"/>
          <w:szCs w:val="24"/>
        </w:rPr>
        <w:t>ano. Porto Alegre: UFRGS, 2012.</w:t>
      </w:r>
    </w:p>
    <w:p w14:paraId="77A7FF21" w14:textId="77777777" w:rsidR="00C95B85" w:rsidRPr="00750C80" w:rsidRDefault="00C95B85" w:rsidP="00BA6257">
      <w:pPr>
        <w:spacing w:after="120" w:line="360" w:lineRule="auto"/>
        <w:rPr>
          <w:rFonts w:ascii="Times New Roman" w:hAnsi="Times New Roman" w:cs="Times New Roman"/>
          <w:sz w:val="24"/>
          <w:szCs w:val="24"/>
          <w:lang w:val="en-US"/>
        </w:rPr>
      </w:pPr>
      <w:r w:rsidRPr="00750C80">
        <w:rPr>
          <w:rFonts w:ascii="Times New Roman" w:hAnsi="Times New Roman" w:cs="Times New Roman"/>
          <w:sz w:val="24"/>
          <w:szCs w:val="24"/>
        </w:rPr>
        <w:t xml:space="preserve">VIZENTINI, P. G. F. O Brasil, o MERCOSUL e a Integração da América do Sul. In: </w:t>
      </w:r>
      <w:r w:rsidRPr="00750C80">
        <w:rPr>
          <w:rFonts w:ascii="Times New Roman" w:hAnsi="Times New Roman" w:cs="Times New Roman"/>
          <w:bCs/>
          <w:i/>
          <w:sz w:val="24"/>
          <w:szCs w:val="24"/>
        </w:rPr>
        <w:t>Revista de Estudos e Pesquisas Sobre as Américas</w:t>
      </w:r>
      <w:r w:rsidRPr="00750C80">
        <w:rPr>
          <w:rFonts w:ascii="Times New Roman" w:hAnsi="Times New Roman" w:cs="Times New Roman"/>
          <w:i/>
          <w:sz w:val="24"/>
          <w:szCs w:val="24"/>
        </w:rPr>
        <w:t>,</w:t>
      </w:r>
      <w:r w:rsidRPr="00750C80">
        <w:rPr>
          <w:rFonts w:ascii="Times New Roman" w:hAnsi="Times New Roman" w:cs="Times New Roman"/>
          <w:sz w:val="24"/>
          <w:szCs w:val="24"/>
        </w:rPr>
        <w:t xml:space="preserve"> Vol</w:t>
      </w:r>
      <w:r w:rsidR="00BA6257" w:rsidRPr="00750C80">
        <w:rPr>
          <w:rFonts w:ascii="Times New Roman" w:hAnsi="Times New Roman" w:cs="Times New Roman"/>
          <w:sz w:val="24"/>
          <w:szCs w:val="24"/>
        </w:rPr>
        <w:t xml:space="preserve">. 1, n. 1. </w:t>
      </w:r>
      <w:r w:rsidR="00BA6257" w:rsidRPr="00750C80">
        <w:rPr>
          <w:rFonts w:ascii="Times New Roman" w:hAnsi="Times New Roman" w:cs="Times New Roman"/>
          <w:sz w:val="24"/>
          <w:szCs w:val="24"/>
          <w:lang w:val="en-US"/>
        </w:rPr>
        <w:t xml:space="preserve">Brasília: </w:t>
      </w:r>
      <w:proofErr w:type="spellStart"/>
      <w:r w:rsidR="00BA6257" w:rsidRPr="00750C80">
        <w:rPr>
          <w:rFonts w:ascii="Times New Roman" w:hAnsi="Times New Roman" w:cs="Times New Roman"/>
          <w:sz w:val="24"/>
          <w:szCs w:val="24"/>
          <w:lang w:val="en-US"/>
        </w:rPr>
        <w:t>UnB</w:t>
      </w:r>
      <w:proofErr w:type="spellEnd"/>
      <w:r w:rsidR="00BA6257" w:rsidRPr="00750C80">
        <w:rPr>
          <w:rFonts w:ascii="Times New Roman" w:hAnsi="Times New Roman" w:cs="Times New Roman"/>
          <w:sz w:val="24"/>
          <w:szCs w:val="24"/>
          <w:lang w:val="en-US"/>
        </w:rPr>
        <w:t>, 2007.</w:t>
      </w:r>
    </w:p>
    <w:p w14:paraId="77A7FF22" w14:textId="77777777" w:rsidR="0064665A" w:rsidRPr="00750C80" w:rsidRDefault="0064665A"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lang w:val="en-US"/>
        </w:rPr>
        <w:t xml:space="preserve">WOOLDRIDGE, J. M.   </w:t>
      </w:r>
      <w:r w:rsidRPr="00750C80">
        <w:rPr>
          <w:rFonts w:ascii="Times New Roman" w:hAnsi="Times New Roman" w:cs="Times New Roman"/>
          <w:i/>
          <w:sz w:val="24"/>
          <w:szCs w:val="24"/>
          <w:lang w:val="en-US"/>
        </w:rPr>
        <w:t>Econometric Analysis of Cross Section and Panel Data</w:t>
      </w:r>
      <w:r w:rsidRPr="00750C80">
        <w:rPr>
          <w:rFonts w:ascii="Times New Roman" w:hAnsi="Times New Roman" w:cs="Times New Roman"/>
          <w:sz w:val="24"/>
          <w:szCs w:val="24"/>
          <w:lang w:val="en-US"/>
        </w:rPr>
        <w:t xml:space="preserve">.  </w:t>
      </w:r>
      <w:r w:rsidR="00BA6257" w:rsidRPr="00750C80">
        <w:rPr>
          <w:rFonts w:ascii="Times New Roman" w:hAnsi="Times New Roman" w:cs="Times New Roman"/>
          <w:sz w:val="24"/>
          <w:szCs w:val="24"/>
        </w:rPr>
        <w:t>Cambridge, MA: MIT Press, 2002.</w:t>
      </w:r>
    </w:p>
    <w:p w14:paraId="77A7FF23" w14:textId="77777777" w:rsidR="00C95B85" w:rsidRPr="00C978DF" w:rsidRDefault="00C95B85" w:rsidP="00BA6257">
      <w:pPr>
        <w:spacing w:after="120" w:line="360" w:lineRule="auto"/>
        <w:rPr>
          <w:rFonts w:ascii="Times New Roman" w:hAnsi="Times New Roman" w:cs="Times New Roman"/>
          <w:sz w:val="24"/>
          <w:szCs w:val="24"/>
        </w:rPr>
      </w:pPr>
      <w:r w:rsidRPr="00750C80">
        <w:rPr>
          <w:rFonts w:ascii="Times New Roman" w:hAnsi="Times New Roman" w:cs="Times New Roman"/>
          <w:sz w:val="24"/>
          <w:szCs w:val="24"/>
        </w:rPr>
        <w:t xml:space="preserve">WOOLDRIDGE, J. M. </w:t>
      </w:r>
      <w:r w:rsidRPr="00750C80">
        <w:rPr>
          <w:rFonts w:ascii="Times New Roman" w:hAnsi="Times New Roman" w:cs="Times New Roman"/>
          <w:i/>
          <w:sz w:val="24"/>
          <w:szCs w:val="24"/>
        </w:rPr>
        <w:t>Introdução à Econometria</w:t>
      </w:r>
      <w:r w:rsidRPr="00750C80">
        <w:rPr>
          <w:rFonts w:ascii="Times New Roman" w:hAnsi="Times New Roman" w:cs="Times New Roman"/>
          <w:sz w:val="24"/>
          <w:szCs w:val="24"/>
        </w:rPr>
        <w:t xml:space="preserve">: Uma abordagem moderna. São Paulo: </w:t>
      </w:r>
      <w:proofErr w:type="spellStart"/>
      <w:r w:rsidRPr="00750C80">
        <w:rPr>
          <w:rFonts w:ascii="Times New Roman" w:hAnsi="Times New Roman" w:cs="Times New Roman"/>
          <w:sz w:val="24"/>
          <w:szCs w:val="24"/>
        </w:rPr>
        <w:t>Cengage</w:t>
      </w:r>
      <w:proofErr w:type="spellEnd"/>
      <w:r w:rsidRPr="00750C80">
        <w:rPr>
          <w:rFonts w:ascii="Times New Roman" w:hAnsi="Times New Roman" w:cs="Times New Roman"/>
          <w:sz w:val="24"/>
          <w:szCs w:val="24"/>
        </w:rPr>
        <w:t xml:space="preserve"> Learning, 2010.</w:t>
      </w:r>
    </w:p>
    <w:sectPr w:rsidR="00C95B85" w:rsidRPr="00C978DF" w:rsidSect="00C978DF">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67CB07" w16cid:durableId="1E3292E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22A83" w14:textId="77777777" w:rsidR="00507E9A" w:rsidRDefault="00507E9A" w:rsidP="00650CF2">
      <w:pPr>
        <w:spacing w:after="0" w:line="240" w:lineRule="auto"/>
      </w:pPr>
      <w:r>
        <w:separator/>
      </w:r>
    </w:p>
  </w:endnote>
  <w:endnote w:type="continuationSeparator" w:id="0">
    <w:p w14:paraId="075048AC" w14:textId="77777777" w:rsidR="00507E9A" w:rsidRDefault="00507E9A" w:rsidP="00650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7FF33" w14:textId="77777777" w:rsidR="00941827" w:rsidRDefault="0094182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7FF34" w14:textId="77777777" w:rsidR="00941827" w:rsidRDefault="0094182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7FF36" w14:textId="77777777" w:rsidR="00941827" w:rsidRDefault="0094182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5E41A" w14:textId="77777777" w:rsidR="00507E9A" w:rsidRDefault="00507E9A" w:rsidP="00650CF2">
      <w:pPr>
        <w:spacing w:after="0" w:line="240" w:lineRule="auto"/>
      </w:pPr>
      <w:r>
        <w:separator/>
      </w:r>
    </w:p>
  </w:footnote>
  <w:footnote w:type="continuationSeparator" w:id="0">
    <w:p w14:paraId="1297250E" w14:textId="77777777" w:rsidR="00507E9A" w:rsidRDefault="00507E9A" w:rsidP="00650CF2">
      <w:pPr>
        <w:spacing w:after="0" w:line="240" w:lineRule="auto"/>
      </w:pPr>
      <w:r>
        <w:continuationSeparator/>
      </w:r>
    </w:p>
  </w:footnote>
  <w:footnote w:id="1">
    <w:p w14:paraId="3B23BACF" w14:textId="1E235332" w:rsidR="00941827" w:rsidRDefault="00941827" w:rsidP="00941827">
      <w:pPr>
        <w:pStyle w:val="Textodenotaderodap"/>
      </w:pPr>
      <w:r>
        <w:rPr>
          <w:rStyle w:val="Refdenotaderodap"/>
        </w:rPr>
        <w:footnoteRef/>
      </w:r>
      <w:r>
        <w:t xml:space="preserve"> Mestrando em Economia e Desenvolvimento pela Universidade Federal de Santa Maria – UFSM/RS e Professor do </w:t>
      </w:r>
      <w:r w:rsidR="00CC27A7">
        <w:t>D</w:t>
      </w:r>
      <w:r>
        <w:t>epartamento de Economia da Universidade Federal do Piauí - UFPI.</w:t>
      </w:r>
      <w:r w:rsidR="001C58F4">
        <w:t xml:space="preserve"> Endereço: </w:t>
      </w:r>
      <w:r w:rsidR="001C58F4" w:rsidRPr="001C58F4">
        <w:t xml:space="preserve">R. João Crisóstomo e Silva, 159-309 - Ininga, Teresina </w:t>
      </w:r>
      <w:r w:rsidR="001C58F4">
        <w:t>–</w:t>
      </w:r>
      <w:r w:rsidR="001C58F4" w:rsidRPr="001C58F4">
        <w:t xml:space="preserve"> PI</w:t>
      </w:r>
      <w:r w:rsidR="001C58F4">
        <w:t>.</w:t>
      </w:r>
      <w:r>
        <w:t xml:space="preserve"> E-mail: victorssou@gmail.com.</w:t>
      </w:r>
    </w:p>
  </w:footnote>
  <w:footnote w:id="2">
    <w:p w14:paraId="64C25EAE" w14:textId="77777777" w:rsidR="00941827" w:rsidRDefault="00941827" w:rsidP="00941827">
      <w:pPr>
        <w:pStyle w:val="Textodenotaderodap"/>
      </w:pPr>
      <w:r>
        <w:rPr>
          <w:rStyle w:val="Refdenotaderodap"/>
        </w:rPr>
        <w:footnoteRef/>
      </w:r>
      <w:r>
        <w:t xml:space="preserve"> Doutorando em Economia Aplicada pela Universidade de São Paulo – ESALQ/USP. Endereço: Av. Pádua Dias, Nº 11.</w:t>
      </w:r>
    </w:p>
  </w:footnote>
  <w:footnote w:id="3">
    <w:p w14:paraId="0FB71DFE" w14:textId="77777777" w:rsidR="00941827" w:rsidRDefault="00941827" w:rsidP="00941827">
      <w:pPr>
        <w:pStyle w:val="Textodenotaderodap"/>
      </w:pPr>
      <w:r>
        <w:rPr>
          <w:rStyle w:val="Refdenotaderodap"/>
        </w:rPr>
        <w:footnoteRef/>
      </w:r>
      <w:r>
        <w:t xml:space="preserve"> Professor Doutor do Departamento de Economia na Universidade Federal de Santa Maria – UFSM/RS. Endereço: Av. Roraima, Nº 1000.</w:t>
      </w:r>
    </w:p>
  </w:footnote>
  <w:footnote w:id="4">
    <w:p w14:paraId="77A7FF37" w14:textId="77777777" w:rsidR="00941827" w:rsidRPr="00B44734" w:rsidRDefault="00941827" w:rsidP="00FB1A40">
      <w:pPr>
        <w:pStyle w:val="Textodenotaderodap"/>
        <w:jc w:val="both"/>
        <w:rPr>
          <w:rFonts w:ascii="Times New Roman" w:hAnsi="Times New Roman" w:cs="Times New Roman"/>
        </w:rPr>
      </w:pPr>
      <w:r w:rsidRPr="00B44734">
        <w:rPr>
          <w:rStyle w:val="Refdenotaderodap"/>
          <w:rFonts w:ascii="Times New Roman" w:hAnsi="Times New Roman" w:cs="Times New Roman"/>
        </w:rPr>
        <w:footnoteRef/>
      </w:r>
      <w:r w:rsidRPr="00B44734">
        <w:rPr>
          <w:rFonts w:ascii="Times New Roman" w:hAnsi="Times New Roman" w:cs="Times New Roman"/>
        </w:rPr>
        <w:t xml:space="preserve"> Referência à Comissão Econômica para América Latina e o Caribe (CEPAL), fundada em 1948 com o objetivo principal de fazer análises socioeconômicas e propor políticas intentando o desenvolvimento, na região (BIELSCHOWSKY, 1998). </w:t>
      </w:r>
    </w:p>
  </w:footnote>
  <w:footnote w:id="5">
    <w:p w14:paraId="77A7FF38" w14:textId="77777777" w:rsidR="00941827" w:rsidRPr="00B44734" w:rsidRDefault="00941827" w:rsidP="00362137">
      <w:pPr>
        <w:pStyle w:val="Textodenotaderodap"/>
        <w:jc w:val="both"/>
        <w:rPr>
          <w:rFonts w:ascii="Times New Roman" w:hAnsi="Times New Roman" w:cs="Times New Roman"/>
        </w:rPr>
      </w:pPr>
      <w:r w:rsidRPr="00B44734">
        <w:rPr>
          <w:rStyle w:val="Refdenotaderodap"/>
          <w:rFonts w:ascii="Times New Roman" w:hAnsi="Times New Roman" w:cs="Times New Roman"/>
        </w:rPr>
        <w:footnoteRef/>
      </w:r>
      <w:r w:rsidRPr="00B44734">
        <w:rPr>
          <w:rFonts w:ascii="Times New Roman" w:hAnsi="Times New Roman" w:cs="Times New Roman"/>
        </w:rPr>
        <w:t xml:space="preserve"> Na página 10 será explicitada a segmentação de bens por intensidade tecnológica, na seção de Metodologia.</w:t>
      </w:r>
    </w:p>
  </w:footnote>
  <w:footnote w:id="6">
    <w:p w14:paraId="77A7FF39" w14:textId="77777777" w:rsidR="00941827" w:rsidRPr="00B44734" w:rsidRDefault="00941827" w:rsidP="00362137">
      <w:pPr>
        <w:pStyle w:val="Textodenotaderodap"/>
        <w:jc w:val="both"/>
        <w:rPr>
          <w:rFonts w:ascii="Times New Roman" w:hAnsi="Times New Roman" w:cs="Times New Roman"/>
        </w:rPr>
      </w:pPr>
      <w:r w:rsidRPr="00B44734">
        <w:rPr>
          <w:rStyle w:val="Refdenotaderodap"/>
          <w:rFonts w:ascii="Times New Roman" w:hAnsi="Times New Roman" w:cs="Times New Roman"/>
        </w:rPr>
        <w:footnoteRef/>
      </w:r>
      <w:r w:rsidRPr="00B44734">
        <w:rPr>
          <w:rFonts w:ascii="Times New Roman" w:hAnsi="Times New Roman" w:cs="Times New Roman"/>
        </w:rPr>
        <w:t xml:space="preserve"> Neste trabalho não são trabalhados quatro países da América do Sul, por inexistência de dados suficientes para análise. Listam-se: Guiana, Guiana Francesa, Suriname e Paraguai. Os três primeiros apresentam ínfima participação no comércio exterior brasileiro e não acarretam prejuízo ao trabalho. O Paraguai, apesar de parceiro relevante, não pôde ser incluído na análise pelo problema supracitado.</w:t>
      </w:r>
    </w:p>
  </w:footnote>
  <w:footnote w:id="7">
    <w:p w14:paraId="77A7FF3A" w14:textId="77777777" w:rsidR="00941827" w:rsidRPr="00B44734" w:rsidRDefault="00941827" w:rsidP="00362137">
      <w:pPr>
        <w:pStyle w:val="Textodenotaderodap"/>
        <w:jc w:val="both"/>
        <w:rPr>
          <w:rFonts w:ascii="Times New Roman" w:hAnsi="Times New Roman" w:cs="Times New Roman"/>
        </w:rPr>
      </w:pPr>
      <w:r w:rsidRPr="00B44734">
        <w:rPr>
          <w:rStyle w:val="Refdenotaderodap"/>
          <w:rFonts w:ascii="Times New Roman" w:hAnsi="Times New Roman" w:cs="Times New Roman"/>
        </w:rPr>
        <w:footnoteRef/>
      </w:r>
      <w:r w:rsidRPr="00B44734">
        <w:rPr>
          <w:rFonts w:ascii="Times New Roman" w:hAnsi="Times New Roman" w:cs="Times New Roman"/>
        </w:rPr>
        <w:t xml:space="preserve"> Dispõem-se como razão Dólar sobre moeda local, em valores correntes.</w:t>
      </w:r>
    </w:p>
  </w:footnote>
  <w:footnote w:id="8">
    <w:p w14:paraId="77A7FF3B" w14:textId="77777777" w:rsidR="00941827" w:rsidRPr="00B44734" w:rsidRDefault="00941827" w:rsidP="00362137">
      <w:pPr>
        <w:pStyle w:val="Textodenotaderodap"/>
        <w:jc w:val="both"/>
        <w:rPr>
          <w:rFonts w:ascii="Times New Roman" w:hAnsi="Times New Roman" w:cs="Times New Roman"/>
        </w:rPr>
      </w:pPr>
      <w:r w:rsidRPr="00B44734">
        <w:rPr>
          <w:rStyle w:val="Refdenotaderodap"/>
          <w:rFonts w:ascii="Times New Roman" w:hAnsi="Times New Roman" w:cs="Times New Roman"/>
        </w:rPr>
        <w:footnoteRef/>
      </w:r>
      <w:r w:rsidRPr="00B44734">
        <w:rPr>
          <w:rFonts w:ascii="Times New Roman" w:hAnsi="Times New Roman" w:cs="Times New Roman"/>
        </w:rPr>
        <w:t xml:space="preserve"> A partir de 2000 o Dólar dos Estados Unidos passou a ser utilizado como moeda oficial no país.</w:t>
      </w:r>
    </w:p>
  </w:footnote>
  <w:footnote w:id="9">
    <w:p w14:paraId="1DB813A7" w14:textId="3A9B599F" w:rsidR="00941827" w:rsidRDefault="00941827">
      <w:pPr>
        <w:pStyle w:val="Textodenotaderodap"/>
      </w:pPr>
      <w:r w:rsidRPr="00EE3847">
        <w:rPr>
          <w:rStyle w:val="Refdenotaderodap"/>
        </w:rPr>
        <w:footnoteRef/>
      </w:r>
      <w:r w:rsidRPr="00EE3847">
        <w:t xml:space="preserve"> </w:t>
      </w:r>
      <w:r w:rsidRPr="00EE3847">
        <w:rPr>
          <w:rFonts w:ascii="Times New Roman" w:hAnsi="Times New Roman" w:cs="Times New Roman"/>
        </w:rPr>
        <w:t xml:space="preserve">Optou-se por incluir a relação formação bruta de capital fixo em relação à formação bruta de capital fixo do país parceiro comercial. Ou seja, a </w:t>
      </w:r>
      <w:r w:rsidRPr="00EE3847">
        <w:rPr>
          <w:rFonts w:ascii="Times New Roman" w:hAnsi="Times New Roman" w:cs="Times New Roman"/>
        </w:rPr>
        <w:t xml:space="preserve">variável </w:t>
      </w:r>
      <m:oMath>
        <m:sSub>
          <m:sSubPr>
            <m:ctrlPr>
              <w:rPr>
                <w:rFonts w:ascii="Cambria Math" w:hAnsi="Cambria Math" w:cs="Times New Roman"/>
                <w:i/>
              </w:rPr>
            </m:ctrlPr>
          </m:sSubPr>
          <m:e>
            <m:r>
              <w:rPr>
                <w:rFonts w:ascii="Cambria Math" w:hAnsi="Cambria Math" w:cs="Times New Roman"/>
              </w:rPr>
              <m:t>Capital_Fixo</m:t>
            </m:r>
          </m:e>
          <m:sub>
            <m:r>
              <w:rPr>
                <w:rFonts w:ascii="Cambria Math" w:hAnsi="Cambria Math" w:cs="Times New Roman"/>
              </w:rPr>
              <m:t>it</m:t>
            </m:r>
          </m:sub>
        </m:sSub>
      </m:oMath>
      <w:r w:rsidRPr="00EE3847">
        <w:rPr>
          <w:rFonts w:ascii="Times New Roman" w:eastAsiaTheme="minorEastAsia" w:hAnsi="Times New Roman" w:cs="Times New Roman"/>
        </w:rPr>
        <w:t xml:space="preserve"> = </w:t>
      </w:r>
      <m:oMath>
        <m:f>
          <m:fPr>
            <m:ctrlPr>
              <w:rPr>
                <w:rFonts w:ascii="Cambria Math" w:hAnsi="Cambria Math" w:cs="Times New Roman"/>
                <w:i/>
              </w:rPr>
            </m:ctrlPr>
          </m:fPr>
          <m:num>
            <m:r>
              <w:rPr>
                <w:rFonts w:ascii="Cambria Math" w:hAnsi="Cambria Math" w:cs="Times New Roman"/>
              </w:rPr>
              <m:t>FBK</m:t>
            </m:r>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BR</m:t>
                    </m:r>
                  </m:sub>
                </m:sSub>
              </m:e>
              <m:sub>
                <m:r>
                  <w:rPr>
                    <w:rFonts w:ascii="Cambria Math" w:hAnsi="Cambria Math" w:cs="Times New Roman"/>
                  </w:rPr>
                  <m:t>t</m:t>
                </m:r>
              </m:sub>
            </m:sSub>
          </m:num>
          <m:den>
            <m:r>
              <w:rPr>
                <w:rFonts w:ascii="Cambria Math" w:hAnsi="Cambria Math" w:cs="Times New Roman"/>
              </w:rPr>
              <m:t>FBK</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it</m:t>
                </m:r>
              </m:sub>
            </m:sSub>
          </m:den>
        </m:f>
      </m:oMath>
      <w:r w:rsidRPr="00EE3847">
        <w:rPr>
          <w:rFonts w:ascii="Times New Roman" w:eastAsiaTheme="minorEastAsia"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7FF30" w14:textId="77777777" w:rsidR="00941827" w:rsidRDefault="0094182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060674"/>
      <w:docPartObj>
        <w:docPartGallery w:val="Page Numbers (Top of Page)"/>
        <w:docPartUnique/>
      </w:docPartObj>
    </w:sdtPr>
    <w:sdtEndPr/>
    <w:sdtContent>
      <w:p w14:paraId="77A7FF31" w14:textId="0C85CC6C" w:rsidR="00941827" w:rsidRDefault="00941827">
        <w:pPr>
          <w:pStyle w:val="Cabealho"/>
          <w:jc w:val="right"/>
        </w:pPr>
        <w:r>
          <w:fldChar w:fldCharType="begin"/>
        </w:r>
        <w:r>
          <w:instrText>PAGE   \* MERGEFORMAT</w:instrText>
        </w:r>
        <w:r>
          <w:fldChar w:fldCharType="separate"/>
        </w:r>
        <w:r w:rsidR="008B1900">
          <w:rPr>
            <w:noProof/>
          </w:rPr>
          <w:t>30</w:t>
        </w:r>
        <w:r>
          <w:fldChar w:fldCharType="end"/>
        </w:r>
      </w:p>
    </w:sdtContent>
  </w:sdt>
  <w:p w14:paraId="77A7FF32" w14:textId="77777777" w:rsidR="00941827" w:rsidRDefault="0094182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7FF35" w14:textId="77777777" w:rsidR="00941827" w:rsidRDefault="0094182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C3584"/>
    <w:multiLevelType w:val="hybridMultilevel"/>
    <w:tmpl w:val="EFE6FE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D814F51"/>
    <w:multiLevelType w:val="hybridMultilevel"/>
    <w:tmpl w:val="151C3744"/>
    <w:lvl w:ilvl="0" w:tplc="04160001">
      <w:start w:val="1"/>
      <w:numFmt w:val="bullet"/>
      <w:lvlText w:val=""/>
      <w:lvlJc w:val="left"/>
      <w:pPr>
        <w:ind w:left="1426" w:hanging="360"/>
      </w:pPr>
      <w:rPr>
        <w:rFonts w:ascii="Symbol" w:hAnsi="Symbol" w:hint="default"/>
      </w:rPr>
    </w:lvl>
    <w:lvl w:ilvl="1" w:tplc="04160003" w:tentative="1">
      <w:start w:val="1"/>
      <w:numFmt w:val="bullet"/>
      <w:lvlText w:val="o"/>
      <w:lvlJc w:val="left"/>
      <w:pPr>
        <w:ind w:left="2146" w:hanging="360"/>
      </w:pPr>
      <w:rPr>
        <w:rFonts w:ascii="Courier New" w:hAnsi="Courier New" w:cs="Courier New" w:hint="default"/>
      </w:rPr>
    </w:lvl>
    <w:lvl w:ilvl="2" w:tplc="04160005" w:tentative="1">
      <w:start w:val="1"/>
      <w:numFmt w:val="bullet"/>
      <w:lvlText w:val=""/>
      <w:lvlJc w:val="left"/>
      <w:pPr>
        <w:ind w:left="2866" w:hanging="360"/>
      </w:pPr>
      <w:rPr>
        <w:rFonts w:ascii="Wingdings" w:hAnsi="Wingdings" w:hint="default"/>
      </w:rPr>
    </w:lvl>
    <w:lvl w:ilvl="3" w:tplc="04160001" w:tentative="1">
      <w:start w:val="1"/>
      <w:numFmt w:val="bullet"/>
      <w:lvlText w:val=""/>
      <w:lvlJc w:val="left"/>
      <w:pPr>
        <w:ind w:left="3586" w:hanging="360"/>
      </w:pPr>
      <w:rPr>
        <w:rFonts w:ascii="Symbol" w:hAnsi="Symbol" w:hint="default"/>
      </w:rPr>
    </w:lvl>
    <w:lvl w:ilvl="4" w:tplc="04160003" w:tentative="1">
      <w:start w:val="1"/>
      <w:numFmt w:val="bullet"/>
      <w:lvlText w:val="o"/>
      <w:lvlJc w:val="left"/>
      <w:pPr>
        <w:ind w:left="4306" w:hanging="360"/>
      </w:pPr>
      <w:rPr>
        <w:rFonts w:ascii="Courier New" w:hAnsi="Courier New" w:cs="Courier New" w:hint="default"/>
      </w:rPr>
    </w:lvl>
    <w:lvl w:ilvl="5" w:tplc="04160005" w:tentative="1">
      <w:start w:val="1"/>
      <w:numFmt w:val="bullet"/>
      <w:lvlText w:val=""/>
      <w:lvlJc w:val="left"/>
      <w:pPr>
        <w:ind w:left="5026" w:hanging="360"/>
      </w:pPr>
      <w:rPr>
        <w:rFonts w:ascii="Wingdings" w:hAnsi="Wingdings" w:hint="default"/>
      </w:rPr>
    </w:lvl>
    <w:lvl w:ilvl="6" w:tplc="04160001" w:tentative="1">
      <w:start w:val="1"/>
      <w:numFmt w:val="bullet"/>
      <w:lvlText w:val=""/>
      <w:lvlJc w:val="left"/>
      <w:pPr>
        <w:ind w:left="5746" w:hanging="360"/>
      </w:pPr>
      <w:rPr>
        <w:rFonts w:ascii="Symbol" w:hAnsi="Symbol" w:hint="default"/>
      </w:rPr>
    </w:lvl>
    <w:lvl w:ilvl="7" w:tplc="04160003" w:tentative="1">
      <w:start w:val="1"/>
      <w:numFmt w:val="bullet"/>
      <w:lvlText w:val="o"/>
      <w:lvlJc w:val="left"/>
      <w:pPr>
        <w:ind w:left="6466" w:hanging="360"/>
      </w:pPr>
      <w:rPr>
        <w:rFonts w:ascii="Courier New" w:hAnsi="Courier New" w:cs="Courier New" w:hint="default"/>
      </w:rPr>
    </w:lvl>
    <w:lvl w:ilvl="8" w:tplc="04160005" w:tentative="1">
      <w:start w:val="1"/>
      <w:numFmt w:val="bullet"/>
      <w:lvlText w:val=""/>
      <w:lvlJc w:val="left"/>
      <w:pPr>
        <w:ind w:left="7186" w:hanging="360"/>
      </w:pPr>
      <w:rPr>
        <w:rFonts w:ascii="Wingdings" w:hAnsi="Wingdings" w:hint="default"/>
      </w:rPr>
    </w:lvl>
  </w:abstractNum>
  <w:abstractNum w:abstractNumId="2" w15:restartNumberingAfterBreak="0">
    <w:nsid w:val="463E711B"/>
    <w:multiLevelType w:val="multilevel"/>
    <w:tmpl w:val="E7B6EA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2CD7F9E"/>
    <w:multiLevelType w:val="multilevel"/>
    <w:tmpl w:val="3E824F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629"/>
    <w:rsid w:val="000030CD"/>
    <w:rsid w:val="00007256"/>
    <w:rsid w:val="00007F50"/>
    <w:rsid w:val="00015F82"/>
    <w:rsid w:val="00017EDF"/>
    <w:rsid w:val="00020E51"/>
    <w:rsid w:val="000305FD"/>
    <w:rsid w:val="000451B8"/>
    <w:rsid w:val="0004549F"/>
    <w:rsid w:val="00053AE1"/>
    <w:rsid w:val="00066F84"/>
    <w:rsid w:val="00067E17"/>
    <w:rsid w:val="00075D6C"/>
    <w:rsid w:val="00077AA0"/>
    <w:rsid w:val="000818C9"/>
    <w:rsid w:val="00081D07"/>
    <w:rsid w:val="0008480F"/>
    <w:rsid w:val="00084A75"/>
    <w:rsid w:val="00090759"/>
    <w:rsid w:val="00091E40"/>
    <w:rsid w:val="000A177D"/>
    <w:rsid w:val="000B4708"/>
    <w:rsid w:val="000B4CD2"/>
    <w:rsid w:val="000B7E2A"/>
    <w:rsid w:val="000C3179"/>
    <w:rsid w:val="000C4020"/>
    <w:rsid w:val="000C6204"/>
    <w:rsid w:val="000C6BE8"/>
    <w:rsid w:val="000C72EF"/>
    <w:rsid w:val="000D0CA6"/>
    <w:rsid w:val="000D18B7"/>
    <w:rsid w:val="000D2D19"/>
    <w:rsid w:val="000D56B1"/>
    <w:rsid w:val="000E0744"/>
    <w:rsid w:val="000E218B"/>
    <w:rsid w:val="000F0C21"/>
    <w:rsid w:val="000F1C1F"/>
    <w:rsid w:val="000F53BD"/>
    <w:rsid w:val="000F5FF7"/>
    <w:rsid w:val="0010158E"/>
    <w:rsid w:val="00110453"/>
    <w:rsid w:val="00111BA6"/>
    <w:rsid w:val="00122D9E"/>
    <w:rsid w:val="00123983"/>
    <w:rsid w:val="001248B4"/>
    <w:rsid w:val="001302D1"/>
    <w:rsid w:val="00133DD0"/>
    <w:rsid w:val="001510C2"/>
    <w:rsid w:val="00153C94"/>
    <w:rsid w:val="00160886"/>
    <w:rsid w:val="00163872"/>
    <w:rsid w:val="001674F7"/>
    <w:rsid w:val="001729A4"/>
    <w:rsid w:val="00175EC4"/>
    <w:rsid w:val="0018010E"/>
    <w:rsid w:val="00181805"/>
    <w:rsid w:val="001859CE"/>
    <w:rsid w:val="001A064E"/>
    <w:rsid w:val="001A164B"/>
    <w:rsid w:val="001A308B"/>
    <w:rsid w:val="001B2589"/>
    <w:rsid w:val="001C01B1"/>
    <w:rsid w:val="001C58F4"/>
    <w:rsid w:val="001C59C3"/>
    <w:rsid w:val="001D7166"/>
    <w:rsid w:val="001E0DC7"/>
    <w:rsid w:val="001E1F9B"/>
    <w:rsid w:val="001E2CE2"/>
    <w:rsid w:val="001E2DE7"/>
    <w:rsid w:val="001E3357"/>
    <w:rsid w:val="001E410A"/>
    <w:rsid w:val="001F1E15"/>
    <w:rsid w:val="001F400B"/>
    <w:rsid w:val="001F5278"/>
    <w:rsid w:val="0020007E"/>
    <w:rsid w:val="00207200"/>
    <w:rsid w:val="00207A98"/>
    <w:rsid w:val="0022012C"/>
    <w:rsid w:val="002235E2"/>
    <w:rsid w:val="002311D0"/>
    <w:rsid w:val="00237F5C"/>
    <w:rsid w:val="00241134"/>
    <w:rsid w:val="00245583"/>
    <w:rsid w:val="0024597D"/>
    <w:rsid w:val="002461F3"/>
    <w:rsid w:val="002539C1"/>
    <w:rsid w:val="00256F94"/>
    <w:rsid w:val="00262880"/>
    <w:rsid w:val="002655D5"/>
    <w:rsid w:val="00273797"/>
    <w:rsid w:val="00280BBE"/>
    <w:rsid w:val="002812F6"/>
    <w:rsid w:val="00281364"/>
    <w:rsid w:val="002919F2"/>
    <w:rsid w:val="00295791"/>
    <w:rsid w:val="002A0466"/>
    <w:rsid w:val="002A05F0"/>
    <w:rsid w:val="002A362A"/>
    <w:rsid w:val="002B08BE"/>
    <w:rsid w:val="002B72EC"/>
    <w:rsid w:val="002C057B"/>
    <w:rsid w:val="002C43FC"/>
    <w:rsid w:val="002C5805"/>
    <w:rsid w:val="002E282A"/>
    <w:rsid w:val="002F2889"/>
    <w:rsid w:val="002F3B1B"/>
    <w:rsid w:val="003020C7"/>
    <w:rsid w:val="00302243"/>
    <w:rsid w:val="00302772"/>
    <w:rsid w:val="00305F49"/>
    <w:rsid w:val="00307820"/>
    <w:rsid w:val="00310FBB"/>
    <w:rsid w:val="00311E36"/>
    <w:rsid w:val="003177E8"/>
    <w:rsid w:val="0032049E"/>
    <w:rsid w:val="00321973"/>
    <w:rsid w:val="0033601D"/>
    <w:rsid w:val="00340DAD"/>
    <w:rsid w:val="00342772"/>
    <w:rsid w:val="00351C13"/>
    <w:rsid w:val="003542A5"/>
    <w:rsid w:val="003554CE"/>
    <w:rsid w:val="00361670"/>
    <w:rsid w:val="00362137"/>
    <w:rsid w:val="00370B40"/>
    <w:rsid w:val="00381EC9"/>
    <w:rsid w:val="00387E47"/>
    <w:rsid w:val="00395486"/>
    <w:rsid w:val="00397DD6"/>
    <w:rsid w:val="003A4D52"/>
    <w:rsid w:val="003B16D1"/>
    <w:rsid w:val="003B18A6"/>
    <w:rsid w:val="003B25F5"/>
    <w:rsid w:val="003B5797"/>
    <w:rsid w:val="003D69EA"/>
    <w:rsid w:val="003E281E"/>
    <w:rsid w:val="003E616D"/>
    <w:rsid w:val="003E6378"/>
    <w:rsid w:val="003E675F"/>
    <w:rsid w:val="003E6F7B"/>
    <w:rsid w:val="003E7E44"/>
    <w:rsid w:val="003F18BD"/>
    <w:rsid w:val="003F265E"/>
    <w:rsid w:val="003F6684"/>
    <w:rsid w:val="00404421"/>
    <w:rsid w:val="00404A01"/>
    <w:rsid w:val="00404A55"/>
    <w:rsid w:val="00415007"/>
    <w:rsid w:val="00416EBF"/>
    <w:rsid w:val="004222D6"/>
    <w:rsid w:val="00423DAC"/>
    <w:rsid w:val="004247E1"/>
    <w:rsid w:val="00427430"/>
    <w:rsid w:val="004354B0"/>
    <w:rsid w:val="0043750C"/>
    <w:rsid w:val="00442B08"/>
    <w:rsid w:val="004453B3"/>
    <w:rsid w:val="00446162"/>
    <w:rsid w:val="00447418"/>
    <w:rsid w:val="00453207"/>
    <w:rsid w:val="0045554D"/>
    <w:rsid w:val="0045760B"/>
    <w:rsid w:val="004578C8"/>
    <w:rsid w:val="00463825"/>
    <w:rsid w:val="00465520"/>
    <w:rsid w:val="004837E0"/>
    <w:rsid w:val="00483894"/>
    <w:rsid w:val="004909A1"/>
    <w:rsid w:val="004955EC"/>
    <w:rsid w:val="00496BC9"/>
    <w:rsid w:val="00497B2E"/>
    <w:rsid w:val="004A1133"/>
    <w:rsid w:val="004A4555"/>
    <w:rsid w:val="004C38A8"/>
    <w:rsid w:val="004C6FA2"/>
    <w:rsid w:val="004D07DE"/>
    <w:rsid w:val="004D1747"/>
    <w:rsid w:val="004D265F"/>
    <w:rsid w:val="004D3E2E"/>
    <w:rsid w:val="004E6FFB"/>
    <w:rsid w:val="004F1586"/>
    <w:rsid w:val="004F617D"/>
    <w:rsid w:val="00505521"/>
    <w:rsid w:val="00506B46"/>
    <w:rsid w:val="00507E9A"/>
    <w:rsid w:val="005156C1"/>
    <w:rsid w:val="0052228D"/>
    <w:rsid w:val="005225BD"/>
    <w:rsid w:val="0052274E"/>
    <w:rsid w:val="005323A1"/>
    <w:rsid w:val="005424B2"/>
    <w:rsid w:val="005478D6"/>
    <w:rsid w:val="005542B5"/>
    <w:rsid w:val="00554A10"/>
    <w:rsid w:val="005628C7"/>
    <w:rsid w:val="0056363F"/>
    <w:rsid w:val="00563656"/>
    <w:rsid w:val="00571ACD"/>
    <w:rsid w:val="00573612"/>
    <w:rsid w:val="0057427B"/>
    <w:rsid w:val="005760A7"/>
    <w:rsid w:val="00581D23"/>
    <w:rsid w:val="00582E54"/>
    <w:rsid w:val="00585080"/>
    <w:rsid w:val="00585DC4"/>
    <w:rsid w:val="00590571"/>
    <w:rsid w:val="005917F8"/>
    <w:rsid w:val="005A04D3"/>
    <w:rsid w:val="005A102C"/>
    <w:rsid w:val="005A300E"/>
    <w:rsid w:val="005A3CBF"/>
    <w:rsid w:val="005C416A"/>
    <w:rsid w:val="005C456E"/>
    <w:rsid w:val="005C7F1B"/>
    <w:rsid w:val="005D0F02"/>
    <w:rsid w:val="005D0F05"/>
    <w:rsid w:val="005D35D1"/>
    <w:rsid w:val="005D6815"/>
    <w:rsid w:val="005D7B6A"/>
    <w:rsid w:val="005E0E9A"/>
    <w:rsid w:val="005E3403"/>
    <w:rsid w:val="005F0DAD"/>
    <w:rsid w:val="005F442C"/>
    <w:rsid w:val="005F625A"/>
    <w:rsid w:val="005F6E4F"/>
    <w:rsid w:val="005F6FF1"/>
    <w:rsid w:val="005F79DE"/>
    <w:rsid w:val="00603115"/>
    <w:rsid w:val="00606BEB"/>
    <w:rsid w:val="006155F1"/>
    <w:rsid w:val="00621A6C"/>
    <w:rsid w:val="00631620"/>
    <w:rsid w:val="00632CA7"/>
    <w:rsid w:val="00633D7C"/>
    <w:rsid w:val="00635ECA"/>
    <w:rsid w:val="00640CA1"/>
    <w:rsid w:val="00644604"/>
    <w:rsid w:val="0064665A"/>
    <w:rsid w:val="00646E05"/>
    <w:rsid w:val="0064767C"/>
    <w:rsid w:val="00650CF2"/>
    <w:rsid w:val="0065483B"/>
    <w:rsid w:val="00663DBA"/>
    <w:rsid w:val="00665E0F"/>
    <w:rsid w:val="00670050"/>
    <w:rsid w:val="00671563"/>
    <w:rsid w:val="00672482"/>
    <w:rsid w:val="0067406B"/>
    <w:rsid w:val="00691644"/>
    <w:rsid w:val="006A37AC"/>
    <w:rsid w:val="006B0BAD"/>
    <w:rsid w:val="006C278A"/>
    <w:rsid w:val="006C7DBD"/>
    <w:rsid w:val="006D1E6F"/>
    <w:rsid w:val="006E1578"/>
    <w:rsid w:val="006E1FFA"/>
    <w:rsid w:val="006E219C"/>
    <w:rsid w:val="006E39E4"/>
    <w:rsid w:val="006F53F9"/>
    <w:rsid w:val="006F66C7"/>
    <w:rsid w:val="0070073A"/>
    <w:rsid w:val="007107D8"/>
    <w:rsid w:val="00712613"/>
    <w:rsid w:val="007134CD"/>
    <w:rsid w:val="00722648"/>
    <w:rsid w:val="00731D58"/>
    <w:rsid w:val="0074379A"/>
    <w:rsid w:val="00743888"/>
    <w:rsid w:val="00750C80"/>
    <w:rsid w:val="00752E19"/>
    <w:rsid w:val="007530F5"/>
    <w:rsid w:val="00755181"/>
    <w:rsid w:val="007626F0"/>
    <w:rsid w:val="0076710C"/>
    <w:rsid w:val="007733FB"/>
    <w:rsid w:val="00773E46"/>
    <w:rsid w:val="00777C20"/>
    <w:rsid w:val="00782171"/>
    <w:rsid w:val="00785A84"/>
    <w:rsid w:val="0079196A"/>
    <w:rsid w:val="007942B3"/>
    <w:rsid w:val="007A03F9"/>
    <w:rsid w:val="007A0676"/>
    <w:rsid w:val="007A0F98"/>
    <w:rsid w:val="007A101F"/>
    <w:rsid w:val="007A6314"/>
    <w:rsid w:val="007A7685"/>
    <w:rsid w:val="007B04AF"/>
    <w:rsid w:val="007B3507"/>
    <w:rsid w:val="007C603D"/>
    <w:rsid w:val="007D5764"/>
    <w:rsid w:val="007D5836"/>
    <w:rsid w:val="007E2AFF"/>
    <w:rsid w:val="007E6E7C"/>
    <w:rsid w:val="007E7E83"/>
    <w:rsid w:val="007F4063"/>
    <w:rsid w:val="00803CB4"/>
    <w:rsid w:val="00805E39"/>
    <w:rsid w:val="00807446"/>
    <w:rsid w:val="00807882"/>
    <w:rsid w:val="00810114"/>
    <w:rsid w:val="008204A4"/>
    <w:rsid w:val="008254A4"/>
    <w:rsid w:val="00826816"/>
    <w:rsid w:val="008300B1"/>
    <w:rsid w:val="0083451C"/>
    <w:rsid w:val="008357D0"/>
    <w:rsid w:val="00843214"/>
    <w:rsid w:val="00851BA8"/>
    <w:rsid w:val="00852767"/>
    <w:rsid w:val="008553C5"/>
    <w:rsid w:val="00862F4E"/>
    <w:rsid w:val="0086480F"/>
    <w:rsid w:val="008652A5"/>
    <w:rsid w:val="008668FF"/>
    <w:rsid w:val="00867891"/>
    <w:rsid w:val="00867D39"/>
    <w:rsid w:val="008739E6"/>
    <w:rsid w:val="00873CF0"/>
    <w:rsid w:val="008776B9"/>
    <w:rsid w:val="00883BA6"/>
    <w:rsid w:val="008855A1"/>
    <w:rsid w:val="008911C1"/>
    <w:rsid w:val="008B1900"/>
    <w:rsid w:val="008B4CC3"/>
    <w:rsid w:val="008B4EB1"/>
    <w:rsid w:val="008C03F7"/>
    <w:rsid w:val="008D16E8"/>
    <w:rsid w:val="008D30B5"/>
    <w:rsid w:val="008D4D7C"/>
    <w:rsid w:val="008D7D5D"/>
    <w:rsid w:val="008E579B"/>
    <w:rsid w:val="008F411F"/>
    <w:rsid w:val="008F4F5F"/>
    <w:rsid w:val="008F5539"/>
    <w:rsid w:val="00901792"/>
    <w:rsid w:val="00905408"/>
    <w:rsid w:val="0090663F"/>
    <w:rsid w:val="00916127"/>
    <w:rsid w:val="00916E17"/>
    <w:rsid w:val="00921034"/>
    <w:rsid w:val="00921FCC"/>
    <w:rsid w:val="00931B94"/>
    <w:rsid w:val="00934600"/>
    <w:rsid w:val="00937DAD"/>
    <w:rsid w:val="00941827"/>
    <w:rsid w:val="00943BD8"/>
    <w:rsid w:val="00952459"/>
    <w:rsid w:val="0095326B"/>
    <w:rsid w:val="00954CC2"/>
    <w:rsid w:val="00962773"/>
    <w:rsid w:val="00975335"/>
    <w:rsid w:val="0097538C"/>
    <w:rsid w:val="00975ADE"/>
    <w:rsid w:val="00975C8D"/>
    <w:rsid w:val="00987532"/>
    <w:rsid w:val="00995A63"/>
    <w:rsid w:val="009A446C"/>
    <w:rsid w:val="009A4A4A"/>
    <w:rsid w:val="009B08D9"/>
    <w:rsid w:val="009B11EC"/>
    <w:rsid w:val="009B323A"/>
    <w:rsid w:val="009B506A"/>
    <w:rsid w:val="009C08FF"/>
    <w:rsid w:val="009C4728"/>
    <w:rsid w:val="009C4800"/>
    <w:rsid w:val="009C4E82"/>
    <w:rsid w:val="009D2A5D"/>
    <w:rsid w:val="009E29F1"/>
    <w:rsid w:val="009E3058"/>
    <w:rsid w:val="009F6764"/>
    <w:rsid w:val="009F77B8"/>
    <w:rsid w:val="009F7E3E"/>
    <w:rsid w:val="00A05F85"/>
    <w:rsid w:val="00A1048D"/>
    <w:rsid w:val="00A1163B"/>
    <w:rsid w:val="00A11CEA"/>
    <w:rsid w:val="00A12448"/>
    <w:rsid w:val="00A13F1E"/>
    <w:rsid w:val="00A174D8"/>
    <w:rsid w:val="00A17DD7"/>
    <w:rsid w:val="00A21CB6"/>
    <w:rsid w:val="00A331D0"/>
    <w:rsid w:val="00A34FEA"/>
    <w:rsid w:val="00A61339"/>
    <w:rsid w:val="00A63DF7"/>
    <w:rsid w:val="00A67DC0"/>
    <w:rsid w:val="00A81494"/>
    <w:rsid w:val="00A827CE"/>
    <w:rsid w:val="00A83125"/>
    <w:rsid w:val="00A83405"/>
    <w:rsid w:val="00A91AA6"/>
    <w:rsid w:val="00AB354A"/>
    <w:rsid w:val="00AC2ED7"/>
    <w:rsid w:val="00AD30E5"/>
    <w:rsid w:val="00AD6194"/>
    <w:rsid w:val="00AD61A9"/>
    <w:rsid w:val="00AE051C"/>
    <w:rsid w:val="00AE16AE"/>
    <w:rsid w:val="00AE2479"/>
    <w:rsid w:val="00AE769F"/>
    <w:rsid w:val="00AF620E"/>
    <w:rsid w:val="00B00302"/>
    <w:rsid w:val="00B01C4B"/>
    <w:rsid w:val="00B02A32"/>
    <w:rsid w:val="00B02AF2"/>
    <w:rsid w:val="00B04481"/>
    <w:rsid w:val="00B04749"/>
    <w:rsid w:val="00B04AEA"/>
    <w:rsid w:val="00B12E59"/>
    <w:rsid w:val="00B133B8"/>
    <w:rsid w:val="00B156A3"/>
    <w:rsid w:val="00B1696E"/>
    <w:rsid w:val="00B231E6"/>
    <w:rsid w:val="00B24224"/>
    <w:rsid w:val="00B34DFB"/>
    <w:rsid w:val="00B34EE1"/>
    <w:rsid w:val="00B44734"/>
    <w:rsid w:val="00B52687"/>
    <w:rsid w:val="00B615B3"/>
    <w:rsid w:val="00B64F95"/>
    <w:rsid w:val="00B66C81"/>
    <w:rsid w:val="00B70827"/>
    <w:rsid w:val="00B74581"/>
    <w:rsid w:val="00B80C54"/>
    <w:rsid w:val="00B81DE6"/>
    <w:rsid w:val="00B825B5"/>
    <w:rsid w:val="00B9165B"/>
    <w:rsid w:val="00B93220"/>
    <w:rsid w:val="00B94232"/>
    <w:rsid w:val="00B94629"/>
    <w:rsid w:val="00BA1F9C"/>
    <w:rsid w:val="00BA41D3"/>
    <w:rsid w:val="00BA5C8E"/>
    <w:rsid w:val="00BA6257"/>
    <w:rsid w:val="00BA6996"/>
    <w:rsid w:val="00BA7422"/>
    <w:rsid w:val="00BB78C0"/>
    <w:rsid w:val="00BC0DE3"/>
    <w:rsid w:val="00BC17F3"/>
    <w:rsid w:val="00BD5E78"/>
    <w:rsid w:val="00BD65D2"/>
    <w:rsid w:val="00BE0492"/>
    <w:rsid w:val="00BE5443"/>
    <w:rsid w:val="00BF01A5"/>
    <w:rsid w:val="00BF391A"/>
    <w:rsid w:val="00C047E2"/>
    <w:rsid w:val="00C10519"/>
    <w:rsid w:val="00C15479"/>
    <w:rsid w:val="00C15CAB"/>
    <w:rsid w:val="00C22D58"/>
    <w:rsid w:val="00C32E65"/>
    <w:rsid w:val="00C33E39"/>
    <w:rsid w:val="00C36D2D"/>
    <w:rsid w:val="00C376E3"/>
    <w:rsid w:val="00C40AF3"/>
    <w:rsid w:val="00C41D09"/>
    <w:rsid w:val="00C445AE"/>
    <w:rsid w:val="00C51016"/>
    <w:rsid w:val="00C57DA9"/>
    <w:rsid w:val="00C64DF9"/>
    <w:rsid w:val="00C757F8"/>
    <w:rsid w:val="00C75CAE"/>
    <w:rsid w:val="00C834EC"/>
    <w:rsid w:val="00C8357D"/>
    <w:rsid w:val="00C835C0"/>
    <w:rsid w:val="00C8496F"/>
    <w:rsid w:val="00C91E94"/>
    <w:rsid w:val="00C92118"/>
    <w:rsid w:val="00C94A1B"/>
    <w:rsid w:val="00C958E1"/>
    <w:rsid w:val="00C95B85"/>
    <w:rsid w:val="00C978DF"/>
    <w:rsid w:val="00CA1F50"/>
    <w:rsid w:val="00CA4930"/>
    <w:rsid w:val="00CB1942"/>
    <w:rsid w:val="00CC27A7"/>
    <w:rsid w:val="00CC3006"/>
    <w:rsid w:val="00CC481C"/>
    <w:rsid w:val="00CC49B8"/>
    <w:rsid w:val="00CC6002"/>
    <w:rsid w:val="00CD0BA6"/>
    <w:rsid w:val="00CD5966"/>
    <w:rsid w:val="00CE03A0"/>
    <w:rsid w:val="00CE497E"/>
    <w:rsid w:val="00CE784F"/>
    <w:rsid w:val="00CF3214"/>
    <w:rsid w:val="00CF329F"/>
    <w:rsid w:val="00CF47E2"/>
    <w:rsid w:val="00D104ED"/>
    <w:rsid w:val="00D14D78"/>
    <w:rsid w:val="00D21A34"/>
    <w:rsid w:val="00D23989"/>
    <w:rsid w:val="00D24777"/>
    <w:rsid w:val="00D26C4A"/>
    <w:rsid w:val="00D2799B"/>
    <w:rsid w:val="00D42461"/>
    <w:rsid w:val="00D43B45"/>
    <w:rsid w:val="00D44F84"/>
    <w:rsid w:val="00D45DBC"/>
    <w:rsid w:val="00D4661F"/>
    <w:rsid w:val="00D467DB"/>
    <w:rsid w:val="00D4689D"/>
    <w:rsid w:val="00D472CE"/>
    <w:rsid w:val="00D530F2"/>
    <w:rsid w:val="00D54C37"/>
    <w:rsid w:val="00D675DA"/>
    <w:rsid w:val="00D67AE8"/>
    <w:rsid w:val="00D67B0F"/>
    <w:rsid w:val="00D67E31"/>
    <w:rsid w:val="00D70DDE"/>
    <w:rsid w:val="00D73D41"/>
    <w:rsid w:val="00D73FE5"/>
    <w:rsid w:val="00D76E0C"/>
    <w:rsid w:val="00D77148"/>
    <w:rsid w:val="00D81371"/>
    <w:rsid w:val="00D82E07"/>
    <w:rsid w:val="00D947AD"/>
    <w:rsid w:val="00D9536B"/>
    <w:rsid w:val="00DA0BBE"/>
    <w:rsid w:val="00DA2E25"/>
    <w:rsid w:val="00DA3139"/>
    <w:rsid w:val="00DA5D83"/>
    <w:rsid w:val="00DB14C2"/>
    <w:rsid w:val="00DC167E"/>
    <w:rsid w:val="00DC1AD2"/>
    <w:rsid w:val="00DC202E"/>
    <w:rsid w:val="00DD076C"/>
    <w:rsid w:val="00DE04D9"/>
    <w:rsid w:val="00DE14DD"/>
    <w:rsid w:val="00DE1531"/>
    <w:rsid w:val="00DE187A"/>
    <w:rsid w:val="00DF0F7A"/>
    <w:rsid w:val="00DF11E5"/>
    <w:rsid w:val="00DF1F1F"/>
    <w:rsid w:val="00DF2D73"/>
    <w:rsid w:val="00E0399B"/>
    <w:rsid w:val="00E03D9E"/>
    <w:rsid w:val="00E10284"/>
    <w:rsid w:val="00E10FE4"/>
    <w:rsid w:val="00E123B6"/>
    <w:rsid w:val="00E127B8"/>
    <w:rsid w:val="00E15529"/>
    <w:rsid w:val="00E15887"/>
    <w:rsid w:val="00E351D4"/>
    <w:rsid w:val="00E5107A"/>
    <w:rsid w:val="00E5376A"/>
    <w:rsid w:val="00E545BC"/>
    <w:rsid w:val="00E55634"/>
    <w:rsid w:val="00E62965"/>
    <w:rsid w:val="00E65025"/>
    <w:rsid w:val="00E67674"/>
    <w:rsid w:val="00E72A3C"/>
    <w:rsid w:val="00E76363"/>
    <w:rsid w:val="00E770ED"/>
    <w:rsid w:val="00E82EEE"/>
    <w:rsid w:val="00E861CB"/>
    <w:rsid w:val="00E86C34"/>
    <w:rsid w:val="00E92199"/>
    <w:rsid w:val="00E96110"/>
    <w:rsid w:val="00EA4035"/>
    <w:rsid w:val="00EB42E1"/>
    <w:rsid w:val="00EB70E9"/>
    <w:rsid w:val="00EB7DD4"/>
    <w:rsid w:val="00EC06FE"/>
    <w:rsid w:val="00EC2712"/>
    <w:rsid w:val="00ED066F"/>
    <w:rsid w:val="00ED40BA"/>
    <w:rsid w:val="00ED40F6"/>
    <w:rsid w:val="00EE08FF"/>
    <w:rsid w:val="00EE3847"/>
    <w:rsid w:val="00EE5FDF"/>
    <w:rsid w:val="00EF0013"/>
    <w:rsid w:val="00EF246E"/>
    <w:rsid w:val="00EF68D4"/>
    <w:rsid w:val="00EF6F76"/>
    <w:rsid w:val="00F014DC"/>
    <w:rsid w:val="00F06719"/>
    <w:rsid w:val="00F1119C"/>
    <w:rsid w:val="00F116AB"/>
    <w:rsid w:val="00F17BC5"/>
    <w:rsid w:val="00F20333"/>
    <w:rsid w:val="00F22E8A"/>
    <w:rsid w:val="00F24235"/>
    <w:rsid w:val="00F26ADE"/>
    <w:rsid w:val="00F428CB"/>
    <w:rsid w:val="00F4474D"/>
    <w:rsid w:val="00F477FC"/>
    <w:rsid w:val="00F57B2B"/>
    <w:rsid w:val="00F6663E"/>
    <w:rsid w:val="00F741B5"/>
    <w:rsid w:val="00F81A81"/>
    <w:rsid w:val="00F81C75"/>
    <w:rsid w:val="00F860CE"/>
    <w:rsid w:val="00F95775"/>
    <w:rsid w:val="00F97849"/>
    <w:rsid w:val="00FA786E"/>
    <w:rsid w:val="00FB041C"/>
    <w:rsid w:val="00FB1A40"/>
    <w:rsid w:val="00FB541E"/>
    <w:rsid w:val="00FB790B"/>
    <w:rsid w:val="00FC08EF"/>
    <w:rsid w:val="00FD56EF"/>
    <w:rsid w:val="00FD72C0"/>
    <w:rsid w:val="00FE1877"/>
    <w:rsid w:val="00FE2464"/>
    <w:rsid w:val="00FF00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7FD4D"/>
  <w15:docId w15:val="{A2EFA28D-40C9-4DC2-A014-BBE47642A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650CF2"/>
    <w:rPr>
      <w:sz w:val="16"/>
      <w:szCs w:val="16"/>
    </w:rPr>
  </w:style>
  <w:style w:type="paragraph" w:styleId="Textodecomentrio">
    <w:name w:val="annotation text"/>
    <w:basedOn w:val="Normal"/>
    <w:link w:val="TextodecomentrioChar"/>
    <w:uiPriority w:val="99"/>
    <w:semiHidden/>
    <w:unhideWhenUsed/>
    <w:rsid w:val="00650CF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50CF2"/>
    <w:rPr>
      <w:sz w:val="20"/>
      <w:szCs w:val="20"/>
    </w:rPr>
  </w:style>
  <w:style w:type="paragraph" w:styleId="Assuntodocomentrio">
    <w:name w:val="annotation subject"/>
    <w:basedOn w:val="Textodecomentrio"/>
    <w:next w:val="Textodecomentrio"/>
    <w:link w:val="AssuntodocomentrioChar"/>
    <w:uiPriority w:val="99"/>
    <w:semiHidden/>
    <w:unhideWhenUsed/>
    <w:rsid w:val="00650CF2"/>
    <w:rPr>
      <w:b/>
      <w:bCs/>
    </w:rPr>
  </w:style>
  <w:style w:type="character" w:customStyle="1" w:styleId="AssuntodocomentrioChar">
    <w:name w:val="Assunto do comentário Char"/>
    <w:basedOn w:val="TextodecomentrioChar"/>
    <w:link w:val="Assuntodocomentrio"/>
    <w:uiPriority w:val="99"/>
    <w:semiHidden/>
    <w:rsid w:val="00650CF2"/>
    <w:rPr>
      <w:b/>
      <w:bCs/>
      <w:sz w:val="20"/>
      <w:szCs w:val="20"/>
    </w:rPr>
  </w:style>
  <w:style w:type="paragraph" w:styleId="Textodebalo">
    <w:name w:val="Balloon Text"/>
    <w:basedOn w:val="Normal"/>
    <w:link w:val="TextodebaloChar"/>
    <w:uiPriority w:val="99"/>
    <w:semiHidden/>
    <w:unhideWhenUsed/>
    <w:rsid w:val="00650CF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50CF2"/>
    <w:rPr>
      <w:rFonts w:ascii="Tahoma" w:hAnsi="Tahoma" w:cs="Tahoma"/>
      <w:sz w:val="16"/>
      <w:szCs w:val="16"/>
    </w:rPr>
  </w:style>
  <w:style w:type="paragraph" w:styleId="Textodenotaderodap">
    <w:name w:val="footnote text"/>
    <w:basedOn w:val="Normal"/>
    <w:link w:val="TextodenotaderodapChar"/>
    <w:uiPriority w:val="99"/>
    <w:semiHidden/>
    <w:unhideWhenUsed/>
    <w:rsid w:val="00650CF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50CF2"/>
    <w:rPr>
      <w:sz w:val="20"/>
      <w:szCs w:val="20"/>
    </w:rPr>
  </w:style>
  <w:style w:type="character" w:styleId="Refdenotaderodap">
    <w:name w:val="footnote reference"/>
    <w:basedOn w:val="Fontepargpadro"/>
    <w:uiPriority w:val="99"/>
    <w:semiHidden/>
    <w:unhideWhenUsed/>
    <w:rsid w:val="00650CF2"/>
    <w:rPr>
      <w:vertAlign w:val="superscript"/>
    </w:rPr>
  </w:style>
  <w:style w:type="paragraph" w:styleId="Cabealho">
    <w:name w:val="header"/>
    <w:basedOn w:val="Normal"/>
    <w:link w:val="CabealhoChar"/>
    <w:uiPriority w:val="99"/>
    <w:unhideWhenUsed/>
    <w:rsid w:val="00650C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0CF2"/>
  </w:style>
  <w:style w:type="paragraph" w:styleId="Rodap">
    <w:name w:val="footer"/>
    <w:basedOn w:val="Normal"/>
    <w:link w:val="RodapChar"/>
    <w:uiPriority w:val="99"/>
    <w:unhideWhenUsed/>
    <w:rsid w:val="00650CF2"/>
    <w:pPr>
      <w:tabs>
        <w:tab w:val="center" w:pos="4252"/>
        <w:tab w:val="right" w:pos="8504"/>
      </w:tabs>
      <w:spacing w:after="0" w:line="240" w:lineRule="auto"/>
    </w:pPr>
  </w:style>
  <w:style w:type="character" w:customStyle="1" w:styleId="RodapChar">
    <w:name w:val="Rodapé Char"/>
    <w:basedOn w:val="Fontepargpadro"/>
    <w:link w:val="Rodap"/>
    <w:uiPriority w:val="99"/>
    <w:rsid w:val="00650CF2"/>
  </w:style>
  <w:style w:type="paragraph" w:styleId="PargrafodaLista">
    <w:name w:val="List Paragraph"/>
    <w:basedOn w:val="Normal"/>
    <w:uiPriority w:val="34"/>
    <w:qFormat/>
    <w:rsid w:val="004453B3"/>
    <w:pPr>
      <w:ind w:left="720"/>
      <w:contextualSpacing/>
    </w:pPr>
  </w:style>
  <w:style w:type="character" w:styleId="TextodoEspaoReservado">
    <w:name w:val="Placeholder Text"/>
    <w:basedOn w:val="Fontepargpadro"/>
    <w:uiPriority w:val="99"/>
    <w:semiHidden/>
    <w:rsid w:val="00663DBA"/>
    <w:rPr>
      <w:color w:val="808080"/>
    </w:rPr>
  </w:style>
  <w:style w:type="table" w:styleId="Tabelacomgrade">
    <w:name w:val="Table Grid"/>
    <w:basedOn w:val="Tabelanormal"/>
    <w:uiPriority w:val="59"/>
    <w:rsid w:val="00A33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
    <w:name w:val="Light List"/>
    <w:basedOn w:val="Tabelanormal"/>
    <w:uiPriority w:val="61"/>
    <w:rsid w:val="00F9577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Fontepargpadro"/>
    <w:uiPriority w:val="99"/>
    <w:unhideWhenUsed/>
    <w:rsid w:val="00F95775"/>
    <w:rPr>
      <w:color w:val="0000FF" w:themeColor="hyperlink"/>
      <w:u w:val="single"/>
    </w:rPr>
  </w:style>
  <w:style w:type="table" w:styleId="SombreamentoClaro-nfase6">
    <w:name w:val="Light Shading Accent 6"/>
    <w:basedOn w:val="Tabelanormal"/>
    <w:uiPriority w:val="60"/>
    <w:rsid w:val="00F95775"/>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fontstyle01">
    <w:name w:val="fontstyle01"/>
    <w:basedOn w:val="Fontepargpadro"/>
    <w:rsid w:val="008D30B5"/>
    <w:rPr>
      <w:rFonts w:ascii="TimesNewRomanPSMT" w:hAnsi="TimesNewRomanPSMT" w:hint="default"/>
      <w:b w:val="0"/>
      <w:bCs w:val="0"/>
      <w:i w:val="0"/>
      <w:iCs w:val="0"/>
      <w:color w:val="000000"/>
      <w:sz w:val="24"/>
      <w:szCs w:val="24"/>
    </w:rPr>
  </w:style>
  <w:style w:type="character" w:customStyle="1" w:styleId="fontstyle21">
    <w:name w:val="fontstyle21"/>
    <w:basedOn w:val="Fontepargpadro"/>
    <w:rsid w:val="008D30B5"/>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694">
      <w:bodyDiv w:val="1"/>
      <w:marLeft w:val="0"/>
      <w:marRight w:val="0"/>
      <w:marTop w:val="0"/>
      <w:marBottom w:val="0"/>
      <w:divBdr>
        <w:top w:val="none" w:sz="0" w:space="0" w:color="auto"/>
        <w:left w:val="none" w:sz="0" w:space="0" w:color="auto"/>
        <w:bottom w:val="none" w:sz="0" w:space="0" w:color="auto"/>
        <w:right w:val="none" w:sz="0" w:space="0" w:color="auto"/>
      </w:divBdr>
      <w:divsChild>
        <w:div w:id="1413819642">
          <w:marLeft w:val="0"/>
          <w:marRight w:val="0"/>
          <w:marTop w:val="0"/>
          <w:marBottom w:val="0"/>
          <w:divBdr>
            <w:top w:val="none" w:sz="0" w:space="0" w:color="auto"/>
            <w:left w:val="none" w:sz="0" w:space="0" w:color="auto"/>
            <w:bottom w:val="none" w:sz="0" w:space="0" w:color="auto"/>
            <w:right w:val="none" w:sz="0" w:space="0" w:color="auto"/>
          </w:divBdr>
        </w:div>
      </w:divsChild>
    </w:div>
    <w:div w:id="199245474">
      <w:bodyDiv w:val="1"/>
      <w:marLeft w:val="0"/>
      <w:marRight w:val="0"/>
      <w:marTop w:val="0"/>
      <w:marBottom w:val="0"/>
      <w:divBdr>
        <w:top w:val="none" w:sz="0" w:space="0" w:color="auto"/>
        <w:left w:val="none" w:sz="0" w:space="0" w:color="auto"/>
        <w:bottom w:val="none" w:sz="0" w:space="0" w:color="auto"/>
        <w:right w:val="none" w:sz="0" w:space="0" w:color="auto"/>
      </w:divBdr>
    </w:div>
    <w:div w:id="668945664">
      <w:bodyDiv w:val="1"/>
      <w:marLeft w:val="0"/>
      <w:marRight w:val="0"/>
      <w:marTop w:val="0"/>
      <w:marBottom w:val="0"/>
      <w:divBdr>
        <w:top w:val="none" w:sz="0" w:space="0" w:color="auto"/>
        <w:left w:val="none" w:sz="0" w:space="0" w:color="auto"/>
        <w:bottom w:val="none" w:sz="0" w:space="0" w:color="auto"/>
        <w:right w:val="none" w:sz="0" w:space="0" w:color="auto"/>
      </w:divBdr>
    </w:div>
    <w:div w:id="700545922">
      <w:bodyDiv w:val="1"/>
      <w:marLeft w:val="0"/>
      <w:marRight w:val="0"/>
      <w:marTop w:val="0"/>
      <w:marBottom w:val="0"/>
      <w:divBdr>
        <w:top w:val="none" w:sz="0" w:space="0" w:color="auto"/>
        <w:left w:val="none" w:sz="0" w:space="0" w:color="auto"/>
        <w:bottom w:val="none" w:sz="0" w:space="0" w:color="auto"/>
        <w:right w:val="none" w:sz="0" w:space="0" w:color="auto"/>
      </w:divBdr>
    </w:div>
    <w:div w:id="1077677613">
      <w:bodyDiv w:val="1"/>
      <w:marLeft w:val="0"/>
      <w:marRight w:val="0"/>
      <w:marTop w:val="0"/>
      <w:marBottom w:val="0"/>
      <w:divBdr>
        <w:top w:val="none" w:sz="0" w:space="0" w:color="auto"/>
        <w:left w:val="none" w:sz="0" w:space="0" w:color="auto"/>
        <w:bottom w:val="none" w:sz="0" w:space="0" w:color="auto"/>
        <w:right w:val="none" w:sz="0" w:space="0" w:color="auto"/>
      </w:divBdr>
      <w:divsChild>
        <w:div w:id="15886642">
          <w:marLeft w:val="0"/>
          <w:marRight w:val="0"/>
          <w:marTop w:val="0"/>
          <w:marBottom w:val="0"/>
          <w:divBdr>
            <w:top w:val="none" w:sz="0" w:space="0" w:color="auto"/>
            <w:left w:val="none" w:sz="0" w:space="0" w:color="auto"/>
            <w:bottom w:val="none" w:sz="0" w:space="0" w:color="auto"/>
            <w:right w:val="none" w:sz="0" w:space="0" w:color="auto"/>
          </w:divBdr>
        </w:div>
      </w:divsChild>
    </w:div>
    <w:div w:id="1213536528">
      <w:bodyDiv w:val="1"/>
      <w:marLeft w:val="0"/>
      <w:marRight w:val="0"/>
      <w:marTop w:val="0"/>
      <w:marBottom w:val="0"/>
      <w:divBdr>
        <w:top w:val="none" w:sz="0" w:space="0" w:color="auto"/>
        <w:left w:val="none" w:sz="0" w:space="0" w:color="auto"/>
        <w:bottom w:val="none" w:sz="0" w:space="0" w:color="auto"/>
        <w:right w:val="none" w:sz="0" w:space="0" w:color="auto"/>
      </w:divBdr>
    </w:div>
    <w:div w:id="1489515182">
      <w:bodyDiv w:val="1"/>
      <w:marLeft w:val="0"/>
      <w:marRight w:val="0"/>
      <w:marTop w:val="0"/>
      <w:marBottom w:val="0"/>
      <w:divBdr>
        <w:top w:val="none" w:sz="0" w:space="0" w:color="auto"/>
        <w:left w:val="none" w:sz="0" w:space="0" w:color="auto"/>
        <w:bottom w:val="none" w:sz="0" w:space="0" w:color="auto"/>
        <w:right w:val="none" w:sz="0" w:space="0" w:color="auto"/>
      </w:divBdr>
    </w:div>
    <w:div w:id="1498039033">
      <w:bodyDiv w:val="1"/>
      <w:marLeft w:val="0"/>
      <w:marRight w:val="0"/>
      <w:marTop w:val="0"/>
      <w:marBottom w:val="0"/>
      <w:divBdr>
        <w:top w:val="none" w:sz="0" w:space="0" w:color="auto"/>
        <w:left w:val="none" w:sz="0" w:space="0" w:color="auto"/>
        <w:bottom w:val="none" w:sz="0" w:space="0" w:color="auto"/>
        <w:right w:val="none" w:sz="0" w:space="0" w:color="auto"/>
      </w:divBdr>
    </w:div>
    <w:div w:id="1547835786">
      <w:bodyDiv w:val="1"/>
      <w:marLeft w:val="0"/>
      <w:marRight w:val="0"/>
      <w:marTop w:val="0"/>
      <w:marBottom w:val="0"/>
      <w:divBdr>
        <w:top w:val="none" w:sz="0" w:space="0" w:color="auto"/>
        <w:left w:val="none" w:sz="0" w:space="0" w:color="auto"/>
        <w:bottom w:val="none" w:sz="0" w:space="0" w:color="auto"/>
        <w:right w:val="none" w:sz="0" w:space="0" w:color="auto"/>
      </w:divBdr>
    </w:div>
    <w:div w:id="1555235615">
      <w:bodyDiv w:val="1"/>
      <w:marLeft w:val="0"/>
      <w:marRight w:val="0"/>
      <w:marTop w:val="0"/>
      <w:marBottom w:val="0"/>
      <w:divBdr>
        <w:top w:val="none" w:sz="0" w:space="0" w:color="auto"/>
        <w:left w:val="none" w:sz="0" w:space="0" w:color="auto"/>
        <w:bottom w:val="none" w:sz="0" w:space="0" w:color="auto"/>
        <w:right w:val="none" w:sz="0" w:space="0" w:color="auto"/>
      </w:divBdr>
    </w:div>
    <w:div w:id="1620642004">
      <w:bodyDiv w:val="1"/>
      <w:marLeft w:val="0"/>
      <w:marRight w:val="0"/>
      <w:marTop w:val="0"/>
      <w:marBottom w:val="0"/>
      <w:divBdr>
        <w:top w:val="none" w:sz="0" w:space="0" w:color="auto"/>
        <w:left w:val="none" w:sz="0" w:space="0" w:color="auto"/>
        <w:bottom w:val="none" w:sz="0" w:space="0" w:color="auto"/>
        <w:right w:val="none" w:sz="0" w:space="0" w:color="auto"/>
      </w:divBdr>
    </w:div>
    <w:div w:id="1694843786">
      <w:bodyDiv w:val="1"/>
      <w:marLeft w:val="0"/>
      <w:marRight w:val="0"/>
      <w:marTop w:val="0"/>
      <w:marBottom w:val="0"/>
      <w:divBdr>
        <w:top w:val="none" w:sz="0" w:space="0" w:color="auto"/>
        <w:left w:val="none" w:sz="0" w:space="0" w:color="auto"/>
        <w:bottom w:val="none" w:sz="0" w:space="0" w:color="auto"/>
        <w:right w:val="none" w:sz="0" w:space="0" w:color="auto"/>
      </w:divBdr>
    </w:div>
    <w:div w:id="192113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usuario%202015\Documents\Economia\Disciplinas%20PPGED%20UFSM%202016-17\Complexidade\Exp%20e%20Imp%20por%20pa&#237;s%20-%20grupos%20detalhados%20de%20produtos\DADOS%20PARA%20AM&#201;RICA%20DO%20SUL\Exporta&#231;&#245;es%20totais%20por%20intens.%20e%20IVC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uario%202015\Documents\Economia\Disciplinas%20PPGED%20UFSM%202016-17\Complexidade\Exp%20e%20Imp%20por%20pa&#237;s%20-%20grupos%20detalhados%20de%20produtos\DADOS%20PARA%20AM&#201;RICA%20DO%20SUL\Exporta&#231;&#245;es%20totais%20por%20intens.%20e%20IVC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uario%202015\Documents\Economia\Disciplinas%20PPGED%20UFSM%202016-17\Complexidade\Exp%20e%20Imp%20por%20pa&#237;s%20-%20grupos%20detalhados%20de%20produtos\DADOS%20PARA%20AM&#201;RICA%20DO%20SUL\IDCR%20alta%20por%20pa&#237;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447775353382029E-2"/>
          <c:y val="5.3596522737337053E-2"/>
          <c:w val="0.91110906627911825"/>
          <c:h val="0.69362204724409449"/>
        </c:manualLayout>
      </c:layout>
      <c:lineChart>
        <c:grouping val="standard"/>
        <c:varyColors val="0"/>
        <c:ser>
          <c:idx val="0"/>
          <c:order val="0"/>
          <c:tx>
            <c:v>PIB industrial sobre PIB total</c:v>
          </c:tx>
          <c:spPr>
            <a:ln w="25400">
              <a:solidFill>
                <a:schemeClr val="tx1"/>
              </a:solidFill>
            </a:ln>
          </c:spPr>
          <c:marker>
            <c:symbol val="diamond"/>
            <c:size val="5"/>
            <c:spPr>
              <a:solidFill>
                <a:schemeClr val="tx1"/>
              </a:solidFill>
              <a:ln>
                <a:solidFill>
                  <a:schemeClr val="tx1"/>
                </a:solidFill>
              </a:ln>
            </c:spPr>
          </c:marker>
          <c:cat>
            <c:numRef>
              <c:f>'Industria sobre PIB'!$B$1:$AP$1</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'Industria sobre PIB'!$B$2:$AQ$2</c:f>
              <c:numCache>
                <c:formatCode>General</c:formatCode>
                <c:ptCount val="42"/>
                <c:pt idx="0">
                  <c:v>38.299999999999997</c:v>
                </c:pt>
                <c:pt idx="1">
                  <c:v>38.799999999999997</c:v>
                </c:pt>
                <c:pt idx="2">
                  <c:v>39.5</c:v>
                </c:pt>
                <c:pt idx="3">
                  <c:v>41.9</c:v>
                </c:pt>
                <c:pt idx="4">
                  <c:v>43.2</c:v>
                </c:pt>
                <c:pt idx="5">
                  <c:v>43.3</c:v>
                </c:pt>
                <c:pt idx="6">
                  <c:v>43</c:v>
                </c:pt>
                <c:pt idx="7">
                  <c:v>41.8</c:v>
                </c:pt>
                <c:pt idx="8">
                  <c:v>43.1</c:v>
                </c:pt>
                <c:pt idx="9">
                  <c:v>43.6</c:v>
                </c:pt>
                <c:pt idx="10">
                  <c:v>44</c:v>
                </c:pt>
                <c:pt idx="11">
                  <c:v>44.2</c:v>
                </c:pt>
                <c:pt idx="12">
                  <c:v>45.7</c:v>
                </c:pt>
                <c:pt idx="13">
                  <c:v>44.3</c:v>
                </c:pt>
                <c:pt idx="14">
                  <c:v>46.1</c:v>
                </c:pt>
                <c:pt idx="15">
                  <c:v>47.9</c:v>
                </c:pt>
                <c:pt idx="16">
                  <c:v>47.1</c:v>
                </c:pt>
                <c:pt idx="17">
                  <c:v>47.5</c:v>
                </c:pt>
                <c:pt idx="18">
                  <c:v>46.7</c:v>
                </c:pt>
                <c:pt idx="19">
                  <c:v>46.3</c:v>
                </c:pt>
                <c:pt idx="20">
                  <c:v>38.700000000000003</c:v>
                </c:pt>
                <c:pt idx="21">
                  <c:v>36.200000000000003</c:v>
                </c:pt>
                <c:pt idx="22">
                  <c:v>38.700000000000003</c:v>
                </c:pt>
                <c:pt idx="23">
                  <c:v>41.6</c:v>
                </c:pt>
                <c:pt idx="24">
                  <c:v>40</c:v>
                </c:pt>
                <c:pt idx="25">
                  <c:v>27.5</c:v>
                </c:pt>
                <c:pt idx="26">
                  <c:v>26</c:v>
                </c:pt>
                <c:pt idx="27">
                  <c:v>26.1</c:v>
                </c:pt>
                <c:pt idx="28">
                  <c:v>25.7</c:v>
                </c:pt>
                <c:pt idx="29">
                  <c:v>25.9</c:v>
                </c:pt>
                <c:pt idx="30">
                  <c:v>27.7</c:v>
                </c:pt>
                <c:pt idx="31">
                  <c:v>26.9</c:v>
                </c:pt>
                <c:pt idx="32">
                  <c:v>27.1</c:v>
                </c:pt>
                <c:pt idx="33">
                  <c:v>27.8</c:v>
                </c:pt>
                <c:pt idx="34">
                  <c:v>30.1</c:v>
                </c:pt>
                <c:pt idx="35">
                  <c:v>29.3</c:v>
                </c:pt>
                <c:pt idx="36">
                  <c:v>28.8</c:v>
                </c:pt>
                <c:pt idx="37">
                  <c:v>27.8</c:v>
                </c:pt>
                <c:pt idx="38">
                  <c:v>27.9</c:v>
                </c:pt>
                <c:pt idx="39">
                  <c:v>26.8</c:v>
                </c:pt>
                <c:pt idx="40">
                  <c:v>28.1</c:v>
                </c:pt>
                <c:pt idx="41">
                  <c:v>27.5</c:v>
                </c:pt>
              </c:numCache>
            </c:numRef>
          </c:val>
          <c:smooth val="0"/>
          <c:extLst xmlns:c16r2="http://schemas.microsoft.com/office/drawing/2015/06/chart">
            <c:ext xmlns:c16="http://schemas.microsoft.com/office/drawing/2014/chart" uri="{C3380CC4-5D6E-409C-BE32-E72D297353CC}">
              <c16:uniqueId val="{00000000-D8FD-4DC9-8443-F77C534DE4BA}"/>
            </c:ext>
          </c:extLst>
        </c:ser>
        <c:dLbls>
          <c:showLegendKey val="0"/>
          <c:showVal val="0"/>
          <c:showCatName val="0"/>
          <c:showSerName val="0"/>
          <c:showPercent val="0"/>
          <c:showBubbleSize val="0"/>
        </c:dLbls>
        <c:marker val="1"/>
        <c:smooth val="0"/>
        <c:axId val="-1194833152"/>
        <c:axId val="-1194824448"/>
      </c:lineChart>
      <c:catAx>
        <c:axId val="-1194833152"/>
        <c:scaling>
          <c:orientation val="minMax"/>
        </c:scaling>
        <c:delete val="0"/>
        <c:axPos val="b"/>
        <c:numFmt formatCode="General" sourceLinked="0"/>
        <c:majorTickMark val="out"/>
        <c:minorTickMark val="none"/>
        <c:tickLblPos val="nextTo"/>
        <c:crossAx val="-1194824448"/>
        <c:crosses val="autoZero"/>
        <c:auto val="1"/>
        <c:lblAlgn val="ctr"/>
        <c:lblOffset val="100"/>
        <c:noMultiLvlLbl val="0"/>
      </c:catAx>
      <c:valAx>
        <c:axId val="-1194824448"/>
        <c:scaling>
          <c:orientation val="minMax"/>
        </c:scaling>
        <c:delete val="0"/>
        <c:axPos val="l"/>
        <c:majorGridlines>
          <c:spPr>
            <a:ln w="12700">
              <a:solidFill>
                <a:schemeClr val="tx1">
                  <a:tint val="75000"/>
                  <a:shade val="95000"/>
                  <a:satMod val="105000"/>
                  <a:alpha val="41000"/>
                </a:schemeClr>
              </a:solidFill>
              <a:prstDash val="dash"/>
            </a:ln>
          </c:spPr>
        </c:majorGridlines>
        <c:numFmt formatCode="General" sourceLinked="1"/>
        <c:majorTickMark val="out"/>
        <c:minorTickMark val="none"/>
        <c:tickLblPos val="nextTo"/>
        <c:crossAx val="-1194833152"/>
        <c:crosses val="autoZero"/>
        <c:crossBetween val="between"/>
      </c:valAx>
    </c:plotArea>
    <c:legend>
      <c:legendPos val="r"/>
      <c:layout>
        <c:manualLayout>
          <c:xMode val="edge"/>
          <c:yMode val="edge"/>
          <c:x val="0.30701091479418735"/>
          <c:y val="0.8633650104081817"/>
          <c:w val="0.41347875250913535"/>
          <c:h val="0.13516012765972002"/>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802869855117392E-2"/>
          <c:y val="2.897581350718257E-2"/>
          <c:w val="0.91457827672531034"/>
          <c:h val="0.6010511136700798"/>
        </c:manualLayout>
      </c:layout>
      <c:lineChart>
        <c:grouping val="standard"/>
        <c:varyColors val="0"/>
        <c:ser>
          <c:idx val="0"/>
          <c:order val="0"/>
          <c:tx>
            <c:v>Não industriais</c:v>
          </c:tx>
          <c:spPr>
            <a:ln w="15875">
              <a:solidFill>
                <a:schemeClr val="tx1"/>
              </a:solidFill>
            </a:ln>
          </c:spPr>
          <c:marker>
            <c:symbol val="circle"/>
            <c:size val="5"/>
            <c:spPr>
              <a:solidFill>
                <a:schemeClr val="tx1"/>
              </a:solidFill>
              <a:ln>
                <a:solidFill>
                  <a:schemeClr val="tx1"/>
                </a:solidFill>
              </a:ln>
            </c:spPr>
          </c:marker>
          <c:cat>
            <c:numRef>
              <c:f>'Part. AS nas Exportações BRA'!$A$2:$A$42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'Exportações Brasil-Mundo'!$H$2:$H$42</c:f>
              <c:numCache>
                <c:formatCode>0%</c:formatCode>
                <c:ptCount val="41"/>
                <c:pt idx="0">
                  <c:v>0.17585558452455871</c:v>
                </c:pt>
                <c:pt idx="1">
                  <c:v>0.15440868445975717</c:v>
                </c:pt>
                <c:pt idx="2">
                  <c:v>0.14001623000470628</c:v>
                </c:pt>
                <c:pt idx="3">
                  <c:v>0.17805659974101407</c:v>
                </c:pt>
                <c:pt idx="4">
                  <c:v>0.18168688780523012</c:v>
                </c:pt>
                <c:pt idx="5">
                  <c:v>0.18213391413435107</c:v>
                </c:pt>
                <c:pt idx="6">
                  <c:v>0.15914865950180718</c:v>
                </c:pt>
                <c:pt idx="7">
                  <c:v>0.14966026285745526</c:v>
                </c:pt>
                <c:pt idx="8">
                  <c:v>9.5187386731358486E-2</c:v>
                </c:pt>
                <c:pt idx="9">
                  <c:v>8.5451736093578715E-2</c:v>
                </c:pt>
                <c:pt idx="10">
                  <c:v>6.9635776988946144E-2</c:v>
                </c:pt>
                <c:pt idx="11">
                  <c:v>6.3202452017931496E-2</c:v>
                </c:pt>
                <c:pt idx="12">
                  <c:v>6.2124203123832565E-2</c:v>
                </c:pt>
                <c:pt idx="13">
                  <c:v>0.18274801427303083</c:v>
                </c:pt>
                <c:pt idx="14">
                  <c:v>0.16463619738143276</c:v>
                </c:pt>
                <c:pt idx="15">
                  <c:v>0.18364627258636682</c:v>
                </c:pt>
                <c:pt idx="16">
                  <c:v>0.15880608756151091</c:v>
                </c:pt>
                <c:pt idx="17">
                  <c:v>0.15476833577009283</c:v>
                </c:pt>
                <c:pt idx="18">
                  <c:v>0.12476290113747132</c:v>
                </c:pt>
                <c:pt idx="19">
                  <c:v>0.12086429408371004</c:v>
                </c:pt>
                <c:pt idx="20">
                  <c:v>0.11148431859755208</c:v>
                </c:pt>
                <c:pt idx="21">
                  <c:v>0.10869486046743254</c:v>
                </c:pt>
                <c:pt idx="22">
                  <c:v>9.5908340154630525E-2</c:v>
                </c:pt>
                <c:pt idx="23">
                  <c:v>9.316543908263257E-2</c:v>
                </c:pt>
                <c:pt idx="24">
                  <c:v>0.11788999035640642</c:v>
                </c:pt>
                <c:pt idx="25">
                  <c:v>9.5956075940797497E-2</c:v>
                </c:pt>
                <c:pt idx="26">
                  <c:v>9.913473678534207E-2</c:v>
                </c:pt>
                <c:pt idx="27">
                  <c:v>0.13614254256958802</c:v>
                </c:pt>
                <c:pt idx="28">
                  <c:v>0.12203474573947977</c:v>
                </c:pt>
                <c:pt idx="29">
                  <c:v>0.11678862268857192</c:v>
                </c:pt>
                <c:pt idx="30">
                  <c:v>0.10131122509572758</c:v>
                </c:pt>
                <c:pt idx="31">
                  <c:v>0.11309114933807272</c:v>
                </c:pt>
                <c:pt idx="32">
                  <c:v>0.10988598501333317</c:v>
                </c:pt>
                <c:pt idx="33">
                  <c:v>0.11714095945405642</c:v>
                </c:pt>
                <c:pt idx="34">
                  <c:v>0.11638458585579196</c:v>
                </c:pt>
                <c:pt idx="35">
                  <c:v>9.8765980100861364E-2</c:v>
                </c:pt>
                <c:pt idx="36">
                  <c:v>9.3500150900254972E-2</c:v>
                </c:pt>
                <c:pt idx="37">
                  <c:v>0.10571994499768357</c:v>
                </c:pt>
                <c:pt idx="38">
                  <c:v>0.11366439541009474</c:v>
                </c:pt>
                <c:pt idx="39">
                  <c:v>0.14791705710544847</c:v>
                </c:pt>
                <c:pt idx="40">
                  <c:v>0.12274092030545448</c:v>
                </c:pt>
              </c:numCache>
            </c:numRef>
          </c:val>
          <c:smooth val="0"/>
          <c:extLst xmlns:c16r2="http://schemas.microsoft.com/office/drawing/2015/06/chart">
            <c:ext xmlns:c16="http://schemas.microsoft.com/office/drawing/2014/chart" uri="{C3380CC4-5D6E-409C-BE32-E72D297353CC}">
              <c16:uniqueId val="{00000000-3CD7-4A51-9ECF-87FA48EA5237}"/>
            </c:ext>
          </c:extLst>
        </c:ser>
        <c:ser>
          <c:idx val="1"/>
          <c:order val="1"/>
          <c:tx>
            <c:v>Baixa intensidade tecnológica</c:v>
          </c:tx>
          <c:spPr>
            <a:ln w="15875">
              <a:solidFill>
                <a:srgbClr val="FF0000"/>
              </a:solidFill>
            </a:ln>
          </c:spPr>
          <c:marker>
            <c:symbol val="circle"/>
            <c:size val="5"/>
            <c:spPr>
              <a:solidFill>
                <a:srgbClr val="FF0000"/>
              </a:solidFill>
              <a:ln>
                <a:solidFill>
                  <a:srgbClr val="FF0000"/>
                </a:solidFill>
              </a:ln>
            </c:spPr>
          </c:marker>
          <c:cat>
            <c:numRef>
              <c:f>'Part. AS nas Exportações BRA'!$A$2:$A$42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'Exportações Brasil-Mundo'!$I$2:$I$42</c:f>
              <c:numCache>
                <c:formatCode>0%</c:formatCode>
                <c:ptCount val="41"/>
                <c:pt idx="0">
                  <c:v>0.6087075579130331</c:v>
                </c:pt>
                <c:pt idx="1">
                  <c:v>0.61391697120494415</c:v>
                </c:pt>
                <c:pt idx="2">
                  <c:v>0.655805213168136</c:v>
                </c:pt>
                <c:pt idx="3">
                  <c:v>0.62789186289670318</c:v>
                </c:pt>
                <c:pt idx="4">
                  <c:v>0.55255507813934979</c:v>
                </c:pt>
                <c:pt idx="5">
                  <c:v>0.48531738873136004</c:v>
                </c:pt>
                <c:pt idx="6">
                  <c:v>0.54974186325984409</c:v>
                </c:pt>
                <c:pt idx="7">
                  <c:v>0.56838201161400603</c:v>
                </c:pt>
                <c:pt idx="8">
                  <c:v>0.53807912747861442</c:v>
                </c:pt>
                <c:pt idx="9">
                  <c:v>0.50676944584534578</c:v>
                </c:pt>
                <c:pt idx="10">
                  <c:v>0.51577637451712244</c:v>
                </c:pt>
                <c:pt idx="11">
                  <c:v>0.46858114652202065</c:v>
                </c:pt>
                <c:pt idx="12">
                  <c:v>0.44544175888975568</c:v>
                </c:pt>
                <c:pt idx="13">
                  <c:v>0.35952182893974777</c:v>
                </c:pt>
                <c:pt idx="14">
                  <c:v>0.36374629466225394</c:v>
                </c:pt>
                <c:pt idx="15">
                  <c:v>0.3108708714109682</c:v>
                </c:pt>
                <c:pt idx="16">
                  <c:v>0.33353685911501951</c:v>
                </c:pt>
                <c:pt idx="17">
                  <c:v>0.31835709557935571</c:v>
                </c:pt>
                <c:pt idx="18">
                  <c:v>0.31644046304894968</c:v>
                </c:pt>
                <c:pt idx="19">
                  <c:v>0.29441297199104821</c:v>
                </c:pt>
                <c:pt idx="20">
                  <c:v>0.31204294048821624</c:v>
                </c:pt>
                <c:pt idx="21">
                  <c:v>0.2940588767850939</c:v>
                </c:pt>
                <c:pt idx="22">
                  <c:v>0.31614682266495159</c:v>
                </c:pt>
                <c:pt idx="23">
                  <c:v>0.3287259094043895</c:v>
                </c:pt>
                <c:pt idx="24">
                  <c:v>0.33117748813659781</c:v>
                </c:pt>
                <c:pt idx="25">
                  <c:v>0.36344380376887886</c:v>
                </c:pt>
                <c:pt idx="26">
                  <c:v>0.35526126783692474</c:v>
                </c:pt>
                <c:pt idx="27">
                  <c:v>0.3181082213151466</c:v>
                </c:pt>
                <c:pt idx="28">
                  <c:v>0.31082778334418532</c:v>
                </c:pt>
                <c:pt idx="29">
                  <c:v>0.32339345444538509</c:v>
                </c:pt>
                <c:pt idx="30">
                  <c:v>0.28653749008135959</c:v>
                </c:pt>
                <c:pt idx="31">
                  <c:v>0.30901742485502665</c:v>
                </c:pt>
                <c:pt idx="32">
                  <c:v>0.3036123556845331</c:v>
                </c:pt>
                <c:pt idx="33">
                  <c:v>0.30608191483503616</c:v>
                </c:pt>
                <c:pt idx="34">
                  <c:v>0.29015385155844015</c:v>
                </c:pt>
                <c:pt idx="35">
                  <c:v>0.26983551474439738</c:v>
                </c:pt>
                <c:pt idx="36">
                  <c:v>0.25937520374084028</c:v>
                </c:pt>
                <c:pt idx="37">
                  <c:v>0.25592131641669791</c:v>
                </c:pt>
                <c:pt idx="38">
                  <c:v>0.24273620075952954</c:v>
                </c:pt>
                <c:pt idx="39">
                  <c:v>0.27461917322348334</c:v>
                </c:pt>
                <c:pt idx="40">
                  <c:v>0.25499819543544494</c:v>
                </c:pt>
              </c:numCache>
            </c:numRef>
          </c:val>
          <c:smooth val="0"/>
          <c:extLst xmlns:c16r2="http://schemas.microsoft.com/office/drawing/2015/06/chart">
            <c:ext xmlns:c16="http://schemas.microsoft.com/office/drawing/2014/chart" uri="{C3380CC4-5D6E-409C-BE32-E72D297353CC}">
              <c16:uniqueId val="{00000001-3CD7-4A51-9ECF-87FA48EA5237}"/>
            </c:ext>
          </c:extLst>
        </c:ser>
        <c:ser>
          <c:idx val="2"/>
          <c:order val="2"/>
          <c:tx>
            <c:v>Média-baixa intensidade tecnológica</c:v>
          </c:tx>
          <c:spPr>
            <a:ln w="15875">
              <a:solidFill>
                <a:srgbClr val="FFC000"/>
              </a:solidFill>
            </a:ln>
          </c:spPr>
          <c:marker>
            <c:symbol val="circle"/>
            <c:size val="5"/>
            <c:spPr>
              <a:solidFill>
                <a:srgbClr val="FFC000"/>
              </a:solidFill>
              <a:ln>
                <a:noFill/>
              </a:ln>
            </c:spPr>
          </c:marker>
          <c:cat>
            <c:numRef>
              <c:f>'Part. AS nas Exportações BRA'!$A$2:$A$42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'Exportações Brasil-Mundo'!$J$2:$J$42</c:f>
              <c:numCache>
                <c:formatCode>0%</c:formatCode>
                <c:ptCount val="41"/>
                <c:pt idx="0">
                  <c:v>0.15819510623632713</c:v>
                </c:pt>
                <c:pt idx="1">
                  <c:v>0.15826825945431275</c:v>
                </c:pt>
                <c:pt idx="2">
                  <c:v>0.12669547423847191</c:v>
                </c:pt>
                <c:pt idx="3">
                  <c:v>0.11839344908076757</c:v>
                </c:pt>
                <c:pt idx="4">
                  <c:v>0.14477051851588391</c:v>
                </c:pt>
                <c:pt idx="5">
                  <c:v>0.19837496137305977</c:v>
                </c:pt>
                <c:pt idx="6">
                  <c:v>0.17442329885436039</c:v>
                </c:pt>
                <c:pt idx="7">
                  <c:v>0.14455211120981226</c:v>
                </c:pt>
                <c:pt idx="8">
                  <c:v>0.18754087898511299</c:v>
                </c:pt>
                <c:pt idx="9">
                  <c:v>0.21673758370512139</c:v>
                </c:pt>
                <c:pt idx="10">
                  <c:v>0.21140900700388446</c:v>
                </c:pt>
                <c:pt idx="11">
                  <c:v>0.24450853250101218</c:v>
                </c:pt>
                <c:pt idx="12">
                  <c:v>0.29344745843640324</c:v>
                </c:pt>
                <c:pt idx="13">
                  <c:v>0.27708241886268814</c:v>
                </c:pt>
                <c:pt idx="14">
                  <c:v>0.28686877061917421</c:v>
                </c:pt>
                <c:pt idx="15">
                  <c:v>0.29439867805321757</c:v>
                </c:pt>
                <c:pt idx="16">
                  <c:v>0.28083851301043589</c:v>
                </c:pt>
                <c:pt idx="17">
                  <c:v>0.26709230832105735</c:v>
                </c:pt>
                <c:pt idx="18">
                  <c:v>0.31266112554553122</c:v>
                </c:pt>
                <c:pt idx="19">
                  <c:v>0.32805757017215104</c:v>
                </c:pt>
                <c:pt idx="20">
                  <c:v>0.32713545897542734</c:v>
                </c:pt>
                <c:pt idx="21">
                  <c:v>0.35147802668014694</c:v>
                </c:pt>
                <c:pt idx="22">
                  <c:v>0.31846544233807822</c:v>
                </c:pt>
                <c:pt idx="23">
                  <c:v>0.30725020524881919</c:v>
                </c:pt>
                <c:pt idx="24">
                  <c:v>0.29041007166248856</c:v>
                </c:pt>
                <c:pt idx="25">
                  <c:v>0.28572511232916531</c:v>
                </c:pt>
                <c:pt idx="26">
                  <c:v>0.27865080421540883</c:v>
                </c:pt>
                <c:pt idx="27">
                  <c:v>0.25267336416594777</c:v>
                </c:pt>
                <c:pt idx="28">
                  <c:v>0.25221788943905032</c:v>
                </c:pt>
                <c:pt idx="29">
                  <c:v>0.24719574906931199</c:v>
                </c:pt>
                <c:pt idx="30">
                  <c:v>0.25755011887555551</c:v>
                </c:pt>
                <c:pt idx="31">
                  <c:v>0.24423036233088724</c:v>
                </c:pt>
                <c:pt idx="32">
                  <c:v>0.27680718202131116</c:v>
                </c:pt>
                <c:pt idx="33">
                  <c:v>0.2831732156449891</c:v>
                </c:pt>
                <c:pt idx="34">
                  <c:v>0.29587756894634898</c:v>
                </c:pt>
                <c:pt idx="35">
                  <c:v>0.31567919156242852</c:v>
                </c:pt>
                <c:pt idx="36">
                  <c:v>0.33801515063327481</c:v>
                </c:pt>
                <c:pt idx="37">
                  <c:v>0.34472786042173759</c:v>
                </c:pt>
                <c:pt idx="38">
                  <c:v>0.37255520900064815</c:v>
                </c:pt>
                <c:pt idx="39">
                  <c:v>0.33441616780334421</c:v>
                </c:pt>
                <c:pt idx="40">
                  <c:v>0.39215883022684578</c:v>
                </c:pt>
              </c:numCache>
            </c:numRef>
          </c:val>
          <c:smooth val="0"/>
          <c:extLst xmlns:c16r2="http://schemas.microsoft.com/office/drawing/2015/06/chart">
            <c:ext xmlns:c16="http://schemas.microsoft.com/office/drawing/2014/chart" uri="{C3380CC4-5D6E-409C-BE32-E72D297353CC}">
              <c16:uniqueId val="{00000002-3CD7-4A51-9ECF-87FA48EA5237}"/>
            </c:ext>
          </c:extLst>
        </c:ser>
        <c:ser>
          <c:idx val="3"/>
          <c:order val="3"/>
          <c:tx>
            <c:v>Média-alta intensidade tecnológica</c:v>
          </c:tx>
          <c:spPr>
            <a:ln w="15875">
              <a:solidFill>
                <a:srgbClr val="92D050"/>
              </a:solidFill>
            </a:ln>
          </c:spPr>
          <c:marker>
            <c:symbol val="circle"/>
            <c:size val="5"/>
            <c:spPr>
              <a:solidFill>
                <a:srgbClr val="92D050"/>
              </a:solidFill>
              <a:ln>
                <a:noFill/>
              </a:ln>
            </c:spPr>
          </c:marker>
          <c:cat>
            <c:numRef>
              <c:f>'Part. AS nas Exportações BRA'!$A$2:$A$42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'Exportações Brasil-Mundo'!$K$2:$K$42</c:f>
              <c:numCache>
                <c:formatCode>0%</c:formatCode>
                <c:ptCount val="41"/>
                <c:pt idx="0">
                  <c:v>3.5168494710659595E-2</c:v>
                </c:pt>
                <c:pt idx="1">
                  <c:v>4.4857023167579134E-2</c:v>
                </c:pt>
                <c:pt idx="2">
                  <c:v>5.0245303751334909E-2</c:v>
                </c:pt>
                <c:pt idx="3">
                  <c:v>4.5118199000096386E-2</c:v>
                </c:pt>
                <c:pt idx="4">
                  <c:v>7.4813950683934302E-2</c:v>
                </c:pt>
                <c:pt idx="5">
                  <c:v>9.1917931908299708E-2</c:v>
                </c:pt>
                <c:pt idx="6">
                  <c:v>8.1476995523880505E-2</c:v>
                </c:pt>
                <c:pt idx="7">
                  <c:v>9.6579638227135486E-2</c:v>
                </c:pt>
                <c:pt idx="8">
                  <c:v>0.13105878310103461</c:v>
                </c:pt>
                <c:pt idx="9">
                  <c:v>0.14221801512459709</c:v>
                </c:pt>
                <c:pt idx="10">
                  <c:v>0.15207168688859007</c:v>
                </c:pt>
                <c:pt idx="11">
                  <c:v>0.16845695555400272</c:v>
                </c:pt>
                <c:pt idx="12">
                  <c:v>0.14756890033919046</c:v>
                </c:pt>
                <c:pt idx="13">
                  <c:v>0.13823552074326015</c:v>
                </c:pt>
                <c:pt idx="14">
                  <c:v>0.14012245356217617</c:v>
                </c:pt>
                <c:pt idx="15">
                  <c:v>0.16376228685812902</c:v>
                </c:pt>
                <c:pt idx="16">
                  <c:v>0.1585655584569263</c:v>
                </c:pt>
                <c:pt idx="17">
                  <c:v>0.19405720300572593</c:v>
                </c:pt>
                <c:pt idx="18">
                  <c:v>0.18787929173652196</c:v>
                </c:pt>
                <c:pt idx="19">
                  <c:v>0.19054583304288741</c:v>
                </c:pt>
                <c:pt idx="20">
                  <c:v>0.1812956813747289</c:v>
                </c:pt>
                <c:pt idx="21">
                  <c:v>0.18058743772844493</c:v>
                </c:pt>
                <c:pt idx="22">
                  <c:v>0.20903440902347104</c:v>
                </c:pt>
                <c:pt idx="23">
                  <c:v>0.20787717670916792</c:v>
                </c:pt>
                <c:pt idx="24">
                  <c:v>0.20001238660760357</c:v>
                </c:pt>
                <c:pt idx="25">
                  <c:v>0.19681607285180266</c:v>
                </c:pt>
                <c:pt idx="26">
                  <c:v>0.2036946501486229</c:v>
                </c:pt>
                <c:pt idx="27">
                  <c:v>0.22456753513885114</c:v>
                </c:pt>
                <c:pt idx="28">
                  <c:v>0.23360198666608142</c:v>
                </c:pt>
                <c:pt idx="29">
                  <c:v>0.20767577522857242</c:v>
                </c:pt>
                <c:pt idx="30">
                  <c:v>0.2088712075261201</c:v>
                </c:pt>
                <c:pt idx="31">
                  <c:v>0.19214341562690287</c:v>
                </c:pt>
                <c:pt idx="32">
                  <c:v>0.19376796526104836</c:v>
                </c:pt>
                <c:pt idx="33">
                  <c:v>0.20622112031701365</c:v>
                </c:pt>
                <c:pt idx="34">
                  <c:v>0.21257892773490691</c:v>
                </c:pt>
                <c:pt idx="35">
                  <c:v>0.22356739086592026</c:v>
                </c:pt>
                <c:pt idx="36">
                  <c:v>0.22011313549021749</c:v>
                </c:pt>
                <c:pt idx="37">
                  <c:v>0.20841097124214797</c:v>
                </c:pt>
                <c:pt idx="38">
                  <c:v>0.19250071829113286</c:v>
                </c:pt>
                <c:pt idx="39">
                  <c:v>0.16302861619990544</c:v>
                </c:pt>
                <c:pt idx="40">
                  <c:v>0.16653826575105532</c:v>
                </c:pt>
              </c:numCache>
            </c:numRef>
          </c:val>
          <c:smooth val="0"/>
          <c:extLst xmlns:c16r2="http://schemas.microsoft.com/office/drawing/2015/06/chart">
            <c:ext xmlns:c16="http://schemas.microsoft.com/office/drawing/2014/chart" uri="{C3380CC4-5D6E-409C-BE32-E72D297353CC}">
              <c16:uniqueId val="{00000003-3CD7-4A51-9ECF-87FA48EA5237}"/>
            </c:ext>
          </c:extLst>
        </c:ser>
        <c:ser>
          <c:idx val="4"/>
          <c:order val="4"/>
          <c:tx>
            <c:v>Alta intensidade tecnológica</c:v>
          </c:tx>
          <c:spPr>
            <a:ln w="15875">
              <a:solidFill>
                <a:srgbClr val="00B0F0"/>
              </a:solidFill>
            </a:ln>
          </c:spPr>
          <c:marker>
            <c:symbol val="circle"/>
            <c:size val="5"/>
            <c:spPr>
              <a:solidFill>
                <a:srgbClr val="00B0F0"/>
              </a:solidFill>
              <a:ln>
                <a:noFill/>
              </a:ln>
            </c:spPr>
          </c:marker>
          <c:cat>
            <c:numRef>
              <c:f>'Part. AS nas Exportações BRA'!$A$2:$A$42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'Exportações Brasil-Mundo'!$L$2:$L$42</c:f>
              <c:numCache>
                <c:formatCode>0%</c:formatCode>
                <c:ptCount val="41"/>
                <c:pt idx="0">
                  <c:v>2.2073256615421498E-2</c:v>
                </c:pt>
                <c:pt idx="1">
                  <c:v>2.8549061713406751E-2</c:v>
                </c:pt>
                <c:pt idx="2">
                  <c:v>2.7237778837350842E-2</c:v>
                </c:pt>
                <c:pt idx="3">
                  <c:v>3.0539889281418806E-2</c:v>
                </c:pt>
                <c:pt idx="4">
                  <c:v>4.6173564855601895E-2</c:v>
                </c:pt>
                <c:pt idx="5">
                  <c:v>4.2255803852929416E-2</c:v>
                </c:pt>
                <c:pt idx="6">
                  <c:v>3.520918286010781E-2</c:v>
                </c:pt>
                <c:pt idx="7">
                  <c:v>4.0825976091590922E-2</c:v>
                </c:pt>
                <c:pt idx="8">
                  <c:v>4.8133823703879461E-2</c:v>
                </c:pt>
                <c:pt idx="9">
                  <c:v>4.8823219231357046E-2</c:v>
                </c:pt>
                <c:pt idx="10">
                  <c:v>5.1107154601456886E-2</c:v>
                </c:pt>
                <c:pt idx="11">
                  <c:v>5.5250913405032985E-2</c:v>
                </c:pt>
                <c:pt idx="12">
                  <c:v>5.1417679210818072E-2</c:v>
                </c:pt>
                <c:pt idx="13">
                  <c:v>4.2412217181273089E-2</c:v>
                </c:pt>
                <c:pt idx="14">
                  <c:v>4.462628377496293E-2</c:v>
                </c:pt>
                <c:pt idx="15">
                  <c:v>4.7321891091318409E-2</c:v>
                </c:pt>
                <c:pt idx="16">
                  <c:v>6.8252981856107398E-2</c:v>
                </c:pt>
                <c:pt idx="17">
                  <c:v>6.572505732376821E-2</c:v>
                </c:pt>
                <c:pt idx="18">
                  <c:v>5.8256218531525857E-2</c:v>
                </c:pt>
                <c:pt idx="19">
                  <c:v>6.6119330710203317E-2</c:v>
                </c:pt>
                <c:pt idx="20">
                  <c:v>6.8041600564075447E-2</c:v>
                </c:pt>
                <c:pt idx="21">
                  <c:v>6.5180798338881643E-2</c:v>
                </c:pt>
                <c:pt idx="22">
                  <c:v>6.0444985818868639E-2</c:v>
                </c:pt>
                <c:pt idx="23">
                  <c:v>6.2981269554990851E-2</c:v>
                </c:pt>
                <c:pt idx="24">
                  <c:v>6.0510063236903666E-2</c:v>
                </c:pt>
                <c:pt idx="25">
                  <c:v>5.805893510935569E-2</c:v>
                </c:pt>
                <c:pt idx="26">
                  <c:v>6.3258541013701416E-2</c:v>
                </c:pt>
                <c:pt idx="27">
                  <c:v>6.8508336810466475E-2</c:v>
                </c:pt>
                <c:pt idx="28">
                  <c:v>8.1317594811203181E-2</c:v>
                </c:pt>
                <c:pt idx="29">
                  <c:v>0.1049463985681586</c:v>
                </c:pt>
                <c:pt idx="30">
                  <c:v>0.14572995842123723</c:v>
                </c:pt>
                <c:pt idx="31">
                  <c:v>0.1415176478491105</c:v>
                </c:pt>
                <c:pt idx="32">
                  <c:v>0.11592651201977419</c:v>
                </c:pt>
                <c:pt idx="33">
                  <c:v>8.7382789748904691E-2</c:v>
                </c:pt>
                <c:pt idx="34">
                  <c:v>8.5005065904512012E-2</c:v>
                </c:pt>
                <c:pt idx="35">
                  <c:v>9.2151922726392485E-2</c:v>
                </c:pt>
                <c:pt idx="36">
                  <c:v>8.8996359235412478E-2</c:v>
                </c:pt>
                <c:pt idx="37">
                  <c:v>8.5219906921732966E-2</c:v>
                </c:pt>
                <c:pt idx="38">
                  <c:v>7.8543476538594684E-2</c:v>
                </c:pt>
                <c:pt idx="39">
                  <c:v>8.0018985667818524E-2</c:v>
                </c:pt>
                <c:pt idx="40">
                  <c:v>6.3563788281199449E-2</c:v>
                </c:pt>
              </c:numCache>
            </c:numRef>
          </c:val>
          <c:smooth val="0"/>
          <c:extLst xmlns:c16r2="http://schemas.microsoft.com/office/drawing/2015/06/chart">
            <c:ext xmlns:c16="http://schemas.microsoft.com/office/drawing/2014/chart" uri="{C3380CC4-5D6E-409C-BE32-E72D297353CC}">
              <c16:uniqueId val="{00000004-3CD7-4A51-9ECF-87FA48EA5237}"/>
            </c:ext>
          </c:extLst>
        </c:ser>
        <c:dLbls>
          <c:showLegendKey val="0"/>
          <c:showVal val="0"/>
          <c:showCatName val="0"/>
          <c:showSerName val="0"/>
          <c:showPercent val="0"/>
          <c:showBubbleSize val="0"/>
        </c:dLbls>
        <c:marker val="1"/>
        <c:smooth val="0"/>
        <c:axId val="-1194826080"/>
        <c:axId val="-1194830976"/>
      </c:lineChart>
      <c:catAx>
        <c:axId val="-1194826080"/>
        <c:scaling>
          <c:orientation val="minMax"/>
        </c:scaling>
        <c:delete val="0"/>
        <c:axPos val="b"/>
        <c:numFmt formatCode="General" sourceLinked="1"/>
        <c:majorTickMark val="out"/>
        <c:minorTickMark val="none"/>
        <c:tickLblPos val="nextTo"/>
        <c:crossAx val="-1194830976"/>
        <c:crosses val="autoZero"/>
        <c:auto val="1"/>
        <c:lblAlgn val="ctr"/>
        <c:lblOffset val="100"/>
        <c:noMultiLvlLbl val="0"/>
      </c:catAx>
      <c:valAx>
        <c:axId val="-1194830976"/>
        <c:scaling>
          <c:orientation val="minMax"/>
        </c:scaling>
        <c:delete val="0"/>
        <c:axPos val="l"/>
        <c:majorGridlines>
          <c:spPr>
            <a:ln>
              <a:gradFill>
                <a:gsLst>
                  <a:gs pos="0">
                    <a:schemeClr val="accent1">
                      <a:tint val="66000"/>
                      <a:satMod val="160000"/>
                      <a:alpha val="50000"/>
                    </a:schemeClr>
                  </a:gs>
                  <a:gs pos="50000">
                    <a:schemeClr val="accent1">
                      <a:tint val="44500"/>
                      <a:satMod val="160000"/>
                    </a:schemeClr>
                  </a:gs>
                  <a:gs pos="100000">
                    <a:schemeClr val="accent1">
                      <a:tint val="23500"/>
                      <a:satMod val="160000"/>
                    </a:schemeClr>
                  </a:gs>
                </a:gsLst>
                <a:lin ang="5400000" scaled="0"/>
              </a:gradFill>
              <a:prstDash val="sysDash"/>
            </a:ln>
          </c:spPr>
        </c:majorGridlines>
        <c:numFmt formatCode="0%" sourceLinked="1"/>
        <c:majorTickMark val="out"/>
        <c:minorTickMark val="none"/>
        <c:tickLblPos val="nextTo"/>
        <c:crossAx val="-1194826080"/>
        <c:crosses val="autoZero"/>
        <c:crossBetween val="between"/>
      </c:valAx>
    </c:plotArea>
    <c:legend>
      <c:legendPos val="r"/>
      <c:layout>
        <c:manualLayout>
          <c:xMode val="edge"/>
          <c:yMode val="edge"/>
          <c:x val="7.5821030183727031E-2"/>
          <c:y val="0.80057348562654951"/>
          <c:w val="0.8566439904129205"/>
          <c:h val="0.19766746547985853"/>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80284953526974E-2"/>
          <c:y val="4.2416503094706286E-2"/>
          <c:w val="0.91643060947086119"/>
          <c:h val="0.62592049557023777"/>
        </c:manualLayout>
      </c:layout>
      <c:lineChart>
        <c:grouping val="standard"/>
        <c:varyColors val="0"/>
        <c:ser>
          <c:idx val="0"/>
          <c:order val="0"/>
          <c:tx>
            <c:v>Não industriais</c:v>
          </c:tx>
          <c:spPr>
            <a:ln w="15875">
              <a:solidFill>
                <a:schemeClr val="tx1"/>
              </a:solidFill>
            </a:ln>
          </c:spPr>
          <c:marker>
            <c:symbol val="circle"/>
            <c:size val="5"/>
            <c:spPr>
              <a:solidFill>
                <a:schemeClr val="tx1"/>
              </a:solidFill>
              <a:ln>
                <a:solidFill>
                  <a:schemeClr val="tx1"/>
                </a:solidFill>
              </a:ln>
            </c:spPr>
          </c:marker>
          <c:cat>
            <c:numRef>
              <c:f>'Part. AS nas Exportações BRA'!$A$2:$A$42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'Part. AS nas Exportações BRA'!$B$2:$B$42</c:f>
              <c:numCache>
                <c:formatCode>0%</c:formatCode>
                <c:ptCount val="41"/>
                <c:pt idx="0">
                  <c:v>5.9763553094046226E-2</c:v>
                </c:pt>
                <c:pt idx="1">
                  <c:v>7.5823920942949319E-2</c:v>
                </c:pt>
                <c:pt idx="2">
                  <c:v>7.1032976246952262E-2</c:v>
                </c:pt>
                <c:pt idx="3">
                  <c:v>6.4605868895981022E-2</c:v>
                </c:pt>
                <c:pt idx="4">
                  <c:v>5.2349557180702853E-2</c:v>
                </c:pt>
                <c:pt idx="5">
                  <c:v>4.1489771161418922E-2</c:v>
                </c:pt>
                <c:pt idx="6">
                  <c:v>4.0344018764659893E-2</c:v>
                </c:pt>
                <c:pt idx="7">
                  <c:v>3.0286617120506877E-2</c:v>
                </c:pt>
                <c:pt idx="8">
                  <c:v>4.3710379624973678E-2</c:v>
                </c:pt>
                <c:pt idx="9">
                  <c:v>5.0967546474900274E-2</c:v>
                </c:pt>
                <c:pt idx="10">
                  <c:v>5.7628272247509875E-2</c:v>
                </c:pt>
                <c:pt idx="11">
                  <c:v>4.8701615633366079E-2</c:v>
                </c:pt>
                <c:pt idx="12">
                  <c:v>5.0853826934524414E-2</c:v>
                </c:pt>
                <c:pt idx="13">
                  <c:v>2.5998714587206748E-2</c:v>
                </c:pt>
                <c:pt idx="14">
                  <c:v>2.7307715929330359E-2</c:v>
                </c:pt>
                <c:pt idx="15">
                  <c:v>2.283991847411725E-2</c:v>
                </c:pt>
                <c:pt idx="16">
                  <c:v>4.0344574220795994E-2</c:v>
                </c:pt>
                <c:pt idx="17">
                  <c:v>3.773309097695695E-2</c:v>
                </c:pt>
                <c:pt idx="18">
                  <c:v>2.9108322606371646E-2</c:v>
                </c:pt>
                <c:pt idx="19">
                  <c:v>2.3234577008144689E-2</c:v>
                </c:pt>
                <c:pt idx="20">
                  <c:v>2.1250858661436445E-2</c:v>
                </c:pt>
                <c:pt idx="21">
                  <c:v>3.7493241585590205E-2</c:v>
                </c:pt>
                <c:pt idx="22">
                  <c:v>4.7528274842930526E-2</c:v>
                </c:pt>
                <c:pt idx="23">
                  <c:v>5.1579446428046974E-2</c:v>
                </c:pt>
                <c:pt idx="24">
                  <c:v>4.0201863571042079E-2</c:v>
                </c:pt>
                <c:pt idx="25">
                  <c:v>6.2517022085154611E-2</c:v>
                </c:pt>
                <c:pt idx="26">
                  <c:v>6.5825432215573146E-2</c:v>
                </c:pt>
                <c:pt idx="27">
                  <c:v>4.6266945598800922E-2</c:v>
                </c:pt>
                <c:pt idx="28">
                  <c:v>5.2012742796549438E-2</c:v>
                </c:pt>
                <c:pt idx="29">
                  <c:v>4.5613545414009748E-2</c:v>
                </c:pt>
                <c:pt idx="30">
                  <c:v>4.9643196890069553E-2</c:v>
                </c:pt>
                <c:pt idx="31">
                  <c:v>3.505128872624818E-2</c:v>
                </c:pt>
                <c:pt idx="32">
                  <c:v>3.1944879754880154E-2</c:v>
                </c:pt>
                <c:pt idx="33">
                  <c:v>2.9731899185005437E-2</c:v>
                </c:pt>
                <c:pt idx="34">
                  <c:v>2.6575376433954471E-2</c:v>
                </c:pt>
                <c:pt idx="35">
                  <c:v>2.3607039731673479E-2</c:v>
                </c:pt>
                <c:pt idx="36">
                  <c:v>2.7600599812844805E-2</c:v>
                </c:pt>
                <c:pt idx="37">
                  <c:v>3.6348480838603425E-2</c:v>
                </c:pt>
                <c:pt idx="38">
                  <c:v>4.0150315196768468E-2</c:v>
                </c:pt>
                <c:pt idx="39">
                  <c:v>4.626104990519022E-2</c:v>
                </c:pt>
                <c:pt idx="40">
                  <c:v>6.2045862730826795E-2</c:v>
                </c:pt>
              </c:numCache>
            </c:numRef>
          </c:val>
          <c:smooth val="0"/>
          <c:extLst xmlns:c16r2="http://schemas.microsoft.com/office/drawing/2015/06/chart">
            <c:ext xmlns:c16="http://schemas.microsoft.com/office/drawing/2014/chart" uri="{C3380CC4-5D6E-409C-BE32-E72D297353CC}">
              <c16:uniqueId val="{00000000-D8D5-423F-8A57-C36479C59B0C}"/>
            </c:ext>
          </c:extLst>
        </c:ser>
        <c:ser>
          <c:idx val="1"/>
          <c:order val="1"/>
          <c:tx>
            <c:v>Baixa intensidade tecnológica</c:v>
          </c:tx>
          <c:spPr>
            <a:ln w="15875">
              <a:solidFill>
                <a:srgbClr val="FF0000"/>
              </a:solidFill>
            </a:ln>
          </c:spPr>
          <c:marker>
            <c:symbol val="circle"/>
            <c:size val="5"/>
            <c:spPr>
              <a:solidFill>
                <a:srgbClr val="FF0000"/>
              </a:solidFill>
              <a:ln>
                <a:solidFill>
                  <a:srgbClr val="FF0000"/>
                </a:solidFill>
              </a:ln>
            </c:spPr>
          </c:marker>
          <c:cat>
            <c:numRef>
              <c:f>'Part. AS nas Exportações BRA'!$A$2:$A$42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'Part. AS nas Exportações BRA'!$C$2:$C$42</c:f>
              <c:numCache>
                <c:formatCode>0%</c:formatCode>
                <c:ptCount val="41"/>
                <c:pt idx="0">
                  <c:v>6.5858973498991044E-2</c:v>
                </c:pt>
                <c:pt idx="1">
                  <c:v>7.0042845012542376E-2</c:v>
                </c:pt>
                <c:pt idx="2">
                  <c:v>4.8989598607128065E-2</c:v>
                </c:pt>
                <c:pt idx="3">
                  <c:v>4.3141588195217177E-2</c:v>
                </c:pt>
                <c:pt idx="4">
                  <c:v>6.1340617782767511E-2</c:v>
                </c:pt>
                <c:pt idx="5">
                  <c:v>5.830963869420433E-2</c:v>
                </c:pt>
                <c:pt idx="6">
                  <c:v>4.8519770175989553E-2</c:v>
                </c:pt>
                <c:pt idx="7">
                  <c:v>4.9177711307218645E-2</c:v>
                </c:pt>
                <c:pt idx="8">
                  <c:v>5.2883555363624338E-2</c:v>
                </c:pt>
                <c:pt idx="9">
                  <c:v>7.1655561811248533E-2</c:v>
                </c:pt>
                <c:pt idx="10">
                  <c:v>5.9826744642615025E-2</c:v>
                </c:pt>
                <c:pt idx="11">
                  <c:v>6.8751229678153253E-2</c:v>
                </c:pt>
                <c:pt idx="12">
                  <c:v>5.8771484850856856E-2</c:v>
                </c:pt>
                <c:pt idx="13">
                  <c:v>4.1905411392657618E-2</c:v>
                </c:pt>
                <c:pt idx="14">
                  <c:v>4.4061539754016416E-2</c:v>
                </c:pt>
                <c:pt idx="15">
                  <c:v>3.9004128214438778E-2</c:v>
                </c:pt>
                <c:pt idx="16">
                  <c:v>6.8817217657988372E-2</c:v>
                </c:pt>
                <c:pt idx="17">
                  <c:v>4.2465202722104869E-2</c:v>
                </c:pt>
                <c:pt idx="18">
                  <c:v>3.6932171798515177E-2</c:v>
                </c:pt>
                <c:pt idx="19">
                  <c:v>4.7861039368341143E-2</c:v>
                </c:pt>
                <c:pt idx="20">
                  <c:v>3.4949946448479034E-2</c:v>
                </c:pt>
                <c:pt idx="21">
                  <c:v>7.4569980114787951E-2</c:v>
                </c:pt>
                <c:pt idx="22">
                  <c:v>9.6040649176700951E-2</c:v>
                </c:pt>
                <c:pt idx="23">
                  <c:v>0.1182282817365526</c:v>
                </c:pt>
                <c:pt idx="24">
                  <c:v>0.11156369667723766</c:v>
                </c:pt>
                <c:pt idx="25">
                  <c:v>0.10999236615996497</c:v>
                </c:pt>
                <c:pt idx="26">
                  <c:v>0.11855015179277181</c:v>
                </c:pt>
                <c:pt idx="27">
                  <c:v>0.13724676406438502</c:v>
                </c:pt>
                <c:pt idx="28">
                  <c:v>0.15743328239527002</c:v>
                </c:pt>
                <c:pt idx="29">
                  <c:v>0.13194756706738697</c:v>
                </c:pt>
                <c:pt idx="30">
                  <c:v>0.14980335057813565</c:v>
                </c:pt>
                <c:pt idx="31">
                  <c:v>0.12949982375773031</c:v>
                </c:pt>
                <c:pt idx="32">
                  <c:v>7.9164212055649802E-2</c:v>
                </c:pt>
                <c:pt idx="33">
                  <c:v>8.1192619369732918E-2</c:v>
                </c:pt>
                <c:pt idx="34">
                  <c:v>8.7071179783033498E-2</c:v>
                </c:pt>
                <c:pt idx="35">
                  <c:v>8.6449428099203418E-2</c:v>
                </c:pt>
                <c:pt idx="36">
                  <c:v>8.6387304348739466E-2</c:v>
                </c:pt>
                <c:pt idx="37">
                  <c:v>9.3877975228950528E-2</c:v>
                </c:pt>
                <c:pt idx="38">
                  <c:v>0.11266070086538141</c:v>
                </c:pt>
                <c:pt idx="39">
                  <c:v>9.0473395557772646E-2</c:v>
                </c:pt>
                <c:pt idx="40">
                  <c:v>9.6435332585177128E-2</c:v>
                </c:pt>
              </c:numCache>
            </c:numRef>
          </c:val>
          <c:smooth val="0"/>
          <c:extLst xmlns:c16r2="http://schemas.microsoft.com/office/drawing/2015/06/chart">
            <c:ext xmlns:c16="http://schemas.microsoft.com/office/drawing/2014/chart" uri="{C3380CC4-5D6E-409C-BE32-E72D297353CC}">
              <c16:uniqueId val="{00000001-D8D5-423F-8A57-C36479C59B0C}"/>
            </c:ext>
          </c:extLst>
        </c:ser>
        <c:ser>
          <c:idx val="2"/>
          <c:order val="2"/>
          <c:tx>
            <c:v>Média-baixa intensidade tecnológica</c:v>
          </c:tx>
          <c:spPr>
            <a:ln w="15875">
              <a:solidFill>
                <a:srgbClr val="FFC000"/>
              </a:solidFill>
            </a:ln>
          </c:spPr>
          <c:marker>
            <c:symbol val="circle"/>
            <c:size val="5"/>
            <c:spPr>
              <a:solidFill>
                <a:srgbClr val="FFC000"/>
              </a:solidFill>
              <a:ln>
                <a:noFill/>
              </a:ln>
            </c:spPr>
          </c:marker>
          <c:cat>
            <c:numRef>
              <c:f>'Part. AS nas Exportações BRA'!$A$2:$A$42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'Part. AS nas Exportações BRA'!$D$2:$D$42</c:f>
              <c:numCache>
                <c:formatCode>0%</c:formatCode>
                <c:ptCount val="41"/>
                <c:pt idx="0">
                  <c:v>0.17927800996909815</c:v>
                </c:pt>
                <c:pt idx="1">
                  <c:v>0.17378057142857142</c:v>
                </c:pt>
                <c:pt idx="2">
                  <c:v>0.1559928145562135</c:v>
                </c:pt>
                <c:pt idx="3">
                  <c:v>0.16192613463403582</c:v>
                </c:pt>
                <c:pt idx="4">
                  <c:v>0.16086988488927384</c:v>
                </c:pt>
                <c:pt idx="5">
                  <c:v>0.18067872887911052</c:v>
                </c:pt>
                <c:pt idx="6">
                  <c:v>0.10957275907007176</c:v>
                </c:pt>
                <c:pt idx="7">
                  <c:v>0.17051324652453601</c:v>
                </c:pt>
                <c:pt idx="8">
                  <c:v>0.15186677567716372</c:v>
                </c:pt>
                <c:pt idx="9">
                  <c:v>0.18911710421509806</c:v>
                </c:pt>
                <c:pt idx="10">
                  <c:v>0.18921547374376155</c:v>
                </c:pt>
                <c:pt idx="11">
                  <c:v>0.1616844509630864</c:v>
                </c:pt>
                <c:pt idx="12">
                  <c:v>0.12713820476357199</c:v>
                </c:pt>
                <c:pt idx="13">
                  <c:v>0.10846718895593199</c:v>
                </c:pt>
                <c:pt idx="14">
                  <c:v>0.11515555335659043</c:v>
                </c:pt>
                <c:pt idx="15">
                  <c:v>8.6267419770585538E-2</c:v>
                </c:pt>
                <c:pt idx="16">
                  <c:v>0.1406544080022078</c:v>
                </c:pt>
                <c:pt idx="17">
                  <c:v>0.14036112047871366</c:v>
                </c:pt>
                <c:pt idx="18">
                  <c:v>0.12262946616606703</c:v>
                </c:pt>
                <c:pt idx="19">
                  <c:v>0.11826897833352722</c:v>
                </c:pt>
                <c:pt idx="20">
                  <c:v>8.8857121856990032E-2</c:v>
                </c:pt>
                <c:pt idx="21">
                  <c:v>0.12102120465557423</c:v>
                </c:pt>
                <c:pt idx="22">
                  <c:v>0.16209859169310536</c:v>
                </c:pt>
                <c:pt idx="23">
                  <c:v>0.1950422319998012</c:v>
                </c:pt>
                <c:pt idx="24">
                  <c:v>0.20104717446829865</c:v>
                </c:pt>
                <c:pt idx="25">
                  <c:v>0.20214858999496749</c:v>
                </c:pt>
                <c:pt idx="26">
                  <c:v>0.19858668066525817</c:v>
                </c:pt>
                <c:pt idx="27">
                  <c:v>0.23822350770461312</c:v>
                </c:pt>
                <c:pt idx="28">
                  <c:v>0.22236593968405877</c:v>
                </c:pt>
                <c:pt idx="29">
                  <c:v>0.19297751178478575</c:v>
                </c:pt>
                <c:pt idx="30">
                  <c:v>0.19270054825186531</c:v>
                </c:pt>
                <c:pt idx="31">
                  <c:v>0.18774546134114228</c:v>
                </c:pt>
                <c:pt idx="32">
                  <c:v>0.12805379099773703</c:v>
                </c:pt>
                <c:pt idx="33">
                  <c:v>0.13457919735603324</c:v>
                </c:pt>
                <c:pt idx="34">
                  <c:v>0.14688812491042103</c:v>
                </c:pt>
                <c:pt idx="35">
                  <c:v>0.15119197192250411</c:v>
                </c:pt>
                <c:pt idx="36">
                  <c:v>0.17678096169717275</c:v>
                </c:pt>
                <c:pt idx="37">
                  <c:v>0.17347607319700287</c:v>
                </c:pt>
                <c:pt idx="38">
                  <c:v>0.15824940191514264</c:v>
                </c:pt>
                <c:pt idx="39">
                  <c:v>0.14638042977724453</c:v>
                </c:pt>
                <c:pt idx="40">
                  <c:v>0.1310664012520516</c:v>
                </c:pt>
              </c:numCache>
            </c:numRef>
          </c:val>
          <c:smooth val="0"/>
          <c:extLst xmlns:c16r2="http://schemas.microsoft.com/office/drawing/2015/06/chart">
            <c:ext xmlns:c16="http://schemas.microsoft.com/office/drawing/2014/chart" uri="{C3380CC4-5D6E-409C-BE32-E72D297353CC}">
              <c16:uniqueId val="{00000002-D8D5-423F-8A57-C36479C59B0C}"/>
            </c:ext>
          </c:extLst>
        </c:ser>
        <c:ser>
          <c:idx val="3"/>
          <c:order val="3"/>
          <c:tx>
            <c:v>Média-alta intensidade tecnológica</c:v>
          </c:tx>
          <c:spPr>
            <a:ln w="15875">
              <a:solidFill>
                <a:srgbClr val="92D050"/>
              </a:solidFill>
            </a:ln>
          </c:spPr>
          <c:marker>
            <c:symbol val="circle"/>
            <c:size val="5"/>
            <c:spPr>
              <a:solidFill>
                <a:srgbClr val="92D050"/>
              </a:solidFill>
              <a:ln>
                <a:noFill/>
              </a:ln>
            </c:spPr>
          </c:marker>
          <c:cat>
            <c:numRef>
              <c:f>'Part. AS nas Exportações BRA'!$A$2:$A$42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'Part. AS nas Exportações BRA'!$E$2:$E$42</c:f>
              <c:numCache>
                <c:formatCode>0%</c:formatCode>
                <c:ptCount val="41"/>
                <c:pt idx="0">
                  <c:v>0.4008926003642832</c:v>
                </c:pt>
                <c:pt idx="1">
                  <c:v>0.42161970354360556</c:v>
                </c:pt>
                <c:pt idx="2">
                  <c:v>0.47379343208940311</c:v>
                </c:pt>
                <c:pt idx="3">
                  <c:v>0.41017848385323008</c:v>
                </c:pt>
                <c:pt idx="4">
                  <c:v>0.38501805336021527</c:v>
                </c:pt>
                <c:pt idx="5">
                  <c:v>0.41175494665903584</c:v>
                </c:pt>
                <c:pt idx="6">
                  <c:v>0.35034729544074888</c:v>
                </c:pt>
                <c:pt idx="7">
                  <c:v>0.38483812728022759</c:v>
                </c:pt>
                <c:pt idx="8">
                  <c:v>0.32950536487854032</c:v>
                </c:pt>
                <c:pt idx="9">
                  <c:v>0.37526972689854465</c:v>
                </c:pt>
                <c:pt idx="10">
                  <c:v>0.39439860978665009</c:v>
                </c:pt>
                <c:pt idx="11">
                  <c:v>0.3871376626668942</c:v>
                </c:pt>
                <c:pt idx="12">
                  <c:v>0.32217638701507789</c:v>
                </c:pt>
                <c:pt idx="13">
                  <c:v>0.20267057327672497</c:v>
                </c:pt>
                <c:pt idx="14">
                  <c:v>0.2384193377942922</c:v>
                </c:pt>
                <c:pt idx="15">
                  <c:v>0.17913203818163032</c:v>
                </c:pt>
                <c:pt idx="16">
                  <c:v>0.2536641766416301</c:v>
                </c:pt>
                <c:pt idx="17">
                  <c:v>0.20487482970280058</c:v>
                </c:pt>
                <c:pt idx="18">
                  <c:v>0.21153741617698715</c:v>
                </c:pt>
                <c:pt idx="19">
                  <c:v>0.19325946663219945</c:v>
                </c:pt>
                <c:pt idx="20">
                  <c:v>0.19975860535121695</c:v>
                </c:pt>
                <c:pt idx="21">
                  <c:v>0.29599628465584465</c:v>
                </c:pt>
                <c:pt idx="22">
                  <c:v>0.39164192722756197</c:v>
                </c:pt>
                <c:pt idx="23">
                  <c:v>0.44753018981433251</c:v>
                </c:pt>
                <c:pt idx="24">
                  <c:v>0.42905335795960797</c:v>
                </c:pt>
                <c:pt idx="25">
                  <c:v>0.42916456481232818</c:v>
                </c:pt>
                <c:pt idx="26">
                  <c:v>0.45877263390023026</c:v>
                </c:pt>
                <c:pt idx="27">
                  <c:v>0.49605512758303855</c:v>
                </c:pt>
                <c:pt idx="28">
                  <c:v>0.47020592554228663</c:v>
                </c:pt>
                <c:pt idx="29">
                  <c:v>0.3707043592040381</c:v>
                </c:pt>
                <c:pt idx="30">
                  <c:v>0.36070112582028824</c:v>
                </c:pt>
                <c:pt idx="31">
                  <c:v>0.34926062682958836</c:v>
                </c:pt>
                <c:pt idx="32">
                  <c:v>0.24325162163493352</c:v>
                </c:pt>
                <c:pt idx="33">
                  <c:v>0.27867594025171383</c:v>
                </c:pt>
                <c:pt idx="34">
                  <c:v>0.34403195762267885</c:v>
                </c:pt>
                <c:pt idx="35">
                  <c:v>0.35546015000136871</c:v>
                </c:pt>
                <c:pt idx="36">
                  <c:v>0.3551287840741455</c:v>
                </c:pt>
                <c:pt idx="37">
                  <c:v>0.40066363131886529</c:v>
                </c:pt>
                <c:pt idx="38">
                  <c:v>0.40928802420245469</c:v>
                </c:pt>
                <c:pt idx="39">
                  <c:v>0.40932225057008703</c:v>
                </c:pt>
                <c:pt idx="40">
                  <c:v>0.46606992610820824</c:v>
                </c:pt>
              </c:numCache>
            </c:numRef>
          </c:val>
          <c:smooth val="0"/>
          <c:extLst xmlns:c16r2="http://schemas.microsoft.com/office/drawing/2015/06/chart">
            <c:ext xmlns:c16="http://schemas.microsoft.com/office/drawing/2014/chart" uri="{C3380CC4-5D6E-409C-BE32-E72D297353CC}">
              <c16:uniqueId val="{00000003-D8D5-423F-8A57-C36479C59B0C}"/>
            </c:ext>
          </c:extLst>
        </c:ser>
        <c:ser>
          <c:idx val="4"/>
          <c:order val="4"/>
          <c:tx>
            <c:v>Alta intensidade tecnológica</c:v>
          </c:tx>
          <c:spPr>
            <a:ln w="15875">
              <a:solidFill>
                <a:srgbClr val="00B0F0"/>
              </a:solidFill>
            </a:ln>
          </c:spPr>
          <c:marker>
            <c:symbol val="circle"/>
            <c:size val="5"/>
            <c:spPr>
              <a:solidFill>
                <a:srgbClr val="00B0F0"/>
              </a:solidFill>
              <a:ln>
                <a:noFill/>
              </a:ln>
            </c:spPr>
          </c:marker>
          <c:cat>
            <c:numRef>
              <c:f>'Part. AS nas Exportações BRA'!$A$2:$A$42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'Part. AS nas Exportações BRA'!$F$2:$F$42</c:f>
              <c:numCache>
                <c:formatCode>0%</c:formatCode>
                <c:ptCount val="41"/>
                <c:pt idx="0">
                  <c:v>0.41218498090793382</c:v>
                </c:pt>
                <c:pt idx="1">
                  <c:v>0.42834334372386529</c:v>
                </c:pt>
                <c:pt idx="2">
                  <c:v>0.27207077772316535</c:v>
                </c:pt>
                <c:pt idx="3">
                  <c:v>0.20387731354425098</c:v>
                </c:pt>
                <c:pt idx="4">
                  <c:v>0.20897418957631098</c:v>
                </c:pt>
                <c:pt idx="5">
                  <c:v>0.28688728678657255</c:v>
                </c:pt>
                <c:pt idx="6">
                  <c:v>0.2244865971088556</c:v>
                </c:pt>
                <c:pt idx="7">
                  <c:v>0.25420922004541374</c:v>
                </c:pt>
                <c:pt idx="8">
                  <c:v>0.20771417012582144</c:v>
                </c:pt>
                <c:pt idx="9">
                  <c:v>0.25148796956359815</c:v>
                </c:pt>
                <c:pt idx="10">
                  <c:v>0.31013952274363094</c:v>
                </c:pt>
                <c:pt idx="11">
                  <c:v>0.27918259125920036</c:v>
                </c:pt>
                <c:pt idx="12">
                  <c:v>0.25372722469029491</c:v>
                </c:pt>
                <c:pt idx="13">
                  <c:v>0.21746640362784081</c:v>
                </c:pt>
                <c:pt idx="14">
                  <c:v>0.18309861518811857</c:v>
                </c:pt>
                <c:pt idx="15">
                  <c:v>0.16917582440479911</c:v>
                </c:pt>
                <c:pt idx="16">
                  <c:v>0.18023030248645397</c:v>
                </c:pt>
                <c:pt idx="17">
                  <c:v>0.20288184842244045</c:v>
                </c:pt>
                <c:pt idx="18">
                  <c:v>0.17008034012172249</c:v>
                </c:pt>
                <c:pt idx="19">
                  <c:v>0.11265237606983666</c:v>
                </c:pt>
                <c:pt idx="20">
                  <c:v>0.11719517544482941</c:v>
                </c:pt>
                <c:pt idx="21">
                  <c:v>0.17731868239680165</c:v>
                </c:pt>
                <c:pt idx="22">
                  <c:v>0.21726121050705768</c:v>
                </c:pt>
                <c:pt idx="23">
                  <c:v>0.24132001408443129</c:v>
                </c:pt>
                <c:pt idx="24">
                  <c:v>0.2530911612136012</c:v>
                </c:pt>
                <c:pt idx="25">
                  <c:v>0.29768260973703359</c:v>
                </c:pt>
                <c:pt idx="26">
                  <c:v>0.31230947724735042</c:v>
                </c:pt>
                <c:pt idx="27">
                  <c:v>0.33278542578991016</c:v>
                </c:pt>
                <c:pt idx="28">
                  <c:v>0.27684484879486526</c:v>
                </c:pt>
                <c:pt idx="29">
                  <c:v>0.25476234137309567</c:v>
                </c:pt>
                <c:pt idx="30">
                  <c:v>0.22073578510329114</c:v>
                </c:pt>
                <c:pt idx="31">
                  <c:v>0.15762860022711375</c:v>
                </c:pt>
                <c:pt idx="32">
                  <c:v>0.11510779933354008</c:v>
                </c:pt>
                <c:pt idx="33">
                  <c:v>0.16582100282682585</c:v>
                </c:pt>
                <c:pt idx="34">
                  <c:v>0.20087394426794802</c:v>
                </c:pt>
                <c:pt idx="35">
                  <c:v>0.27987368177396643</c:v>
                </c:pt>
                <c:pt idx="36">
                  <c:v>0.34541789629824621</c:v>
                </c:pt>
                <c:pt idx="37">
                  <c:v>0.31637865257368752</c:v>
                </c:pt>
                <c:pt idx="38">
                  <c:v>0.30210330664088353</c:v>
                </c:pt>
                <c:pt idx="39">
                  <c:v>0.28641667924563124</c:v>
                </c:pt>
                <c:pt idx="40">
                  <c:v>0.34179100270887924</c:v>
                </c:pt>
              </c:numCache>
            </c:numRef>
          </c:val>
          <c:smooth val="0"/>
          <c:extLst xmlns:c16r2="http://schemas.microsoft.com/office/drawing/2015/06/chart">
            <c:ext xmlns:c16="http://schemas.microsoft.com/office/drawing/2014/chart" uri="{C3380CC4-5D6E-409C-BE32-E72D297353CC}">
              <c16:uniqueId val="{00000004-D8D5-423F-8A57-C36479C59B0C}"/>
            </c:ext>
          </c:extLst>
        </c:ser>
        <c:dLbls>
          <c:showLegendKey val="0"/>
          <c:showVal val="0"/>
          <c:showCatName val="0"/>
          <c:showSerName val="0"/>
          <c:showPercent val="0"/>
          <c:showBubbleSize val="0"/>
        </c:dLbls>
        <c:marker val="1"/>
        <c:smooth val="0"/>
        <c:axId val="-1194835328"/>
        <c:axId val="-1194822816"/>
      </c:lineChart>
      <c:catAx>
        <c:axId val="-1194835328"/>
        <c:scaling>
          <c:orientation val="minMax"/>
        </c:scaling>
        <c:delete val="0"/>
        <c:axPos val="b"/>
        <c:numFmt formatCode="General" sourceLinked="1"/>
        <c:majorTickMark val="out"/>
        <c:minorTickMark val="none"/>
        <c:tickLblPos val="nextTo"/>
        <c:txPr>
          <a:bodyPr rot="-5400000" vert="horz"/>
          <a:lstStyle/>
          <a:p>
            <a:pPr>
              <a:defRPr/>
            </a:pPr>
            <a:endParaRPr lang="pt-BR"/>
          </a:p>
        </c:txPr>
        <c:crossAx val="-1194822816"/>
        <c:crosses val="autoZero"/>
        <c:auto val="1"/>
        <c:lblAlgn val="ctr"/>
        <c:lblOffset val="100"/>
        <c:noMultiLvlLbl val="0"/>
      </c:catAx>
      <c:valAx>
        <c:axId val="-1194822816"/>
        <c:scaling>
          <c:orientation val="minMax"/>
        </c:scaling>
        <c:delete val="0"/>
        <c:axPos val="l"/>
        <c:majorGridlines>
          <c:spPr>
            <a:ln>
              <a:gradFill>
                <a:gsLst>
                  <a:gs pos="0">
                    <a:schemeClr val="accent1">
                      <a:tint val="66000"/>
                      <a:satMod val="160000"/>
                      <a:alpha val="50000"/>
                    </a:schemeClr>
                  </a:gs>
                  <a:gs pos="50000">
                    <a:schemeClr val="accent1">
                      <a:tint val="44500"/>
                      <a:satMod val="160000"/>
                    </a:schemeClr>
                  </a:gs>
                  <a:gs pos="100000">
                    <a:schemeClr val="accent1">
                      <a:tint val="23500"/>
                      <a:satMod val="160000"/>
                    </a:schemeClr>
                  </a:gs>
                </a:gsLst>
                <a:lin ang="5400000" scaled="0"/>
              </a:gradFill>
              <a:prstDash val="sysDash"/>
            </a:ln>
          </c:spPr>
        </c:majorGridlines>
        <c:numFmt formatCode="0%" sourceLinked="1"/>
        <c:majorTickMark val="out"/>
        <c:minorTickMark val="none"/>
        <c:tickLblPos val="nextTo"/>
        <c:crossAx val="-1194835328"/>
        <c:crosses val="autoZero"/>
        <c:crossBetween val="between"/>
      </c:valAx>
    </c:plotArea>
    <c:legend>
      <c:legendPos val="r"/>
      <c:layout>
        <c:manualLayout>
          <c:xMode val="edge"/>
          <c:yMode val="edge"/>
          <c:x val="1.7759926198960746E-2"/>
          <c:y val="0.81148763811930913"/>
          <c:w val="0.97898711339154143"/>
          <c:h val="0.18675307561863408"/>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8713260016051713E-2"/>
          <c:y val="4.0557149534390394E-2"/>
          <c:w val="0.96970922539641224"/>
          <c:h val="0.73137731569961517"/>
        </c:manualLayout>
      </c:layout>
      <c:lineChart>
        <c:grouping val="standard"/>
        <c:varyColors val="0"/>
        <c:ser>
          <c:idx val="0"/>
          <c:order val="0"/>
          <c:tx>
            <c:strRef>
              <c:f>'ICC BRA - AS Alta'!$B$1</c:f>
              <c:strCache>
                <c:ptCount val="1"/>
                <c:pt idx="0">
                  <c:v>Argentina</c:v>
                </c:pt>
              </c:strCache>
            </c:strRef>
          </c:tx>
          <c:spPr>
            <a:ln w="15875">
              <a:solidFill>
                <a:srgbClr val="FF0000"/>
              </a:solidFill>
            </a:ln>
          </c:spPr>
          <c:marker>
            <c:symbol val="square"/>
            <c:size val="4"/>
            <c:spPr>
              <a:solidFill>
                <a:srgbClr val="FF0000"/>
              </a:solidFill>
              <a:ln>
                <a:solidFill>
                  <a:srgbClr val="FF0000"/>
                </a:solidFill>
              </a:ln>
            </c:spPr>
          </c:marker>
          <c:cat>
            <c:numRef>
              <c:f>'ICC BRA - AS Alta'!$A$2:$A$42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'ICC BRA - AS Alta'!$B$2:$B$42</c:f>
              <c:numCache>
                <c:formatCode>General</c:formatCode>
                <c:ptCount val="41"/>
                <c:pt idx="0">
                  <c:v>0.93868406753985845</c:v>
                </c:pt>
                <c:pt idx="1">
                  <c:v>0.90930666557402795</c:v>
                </c:pt>
                <c:pt idx="2">
                  <c:v>0.84681493831032317</c:v>
                </c:pt>
                <c:pt idx="3">
                  <c:v>0.69420011307137264</c:v>
                </c:pt>
                <c:pt idx="4">
                  <c:v>1.333073390327836</c:v>
                </c:pt>
                <c:pt idx="5">
                  <c:v>0.88561694094363419</c:v>
                </c:pt>
                <c:pt idx="6">
                  <c:v>0.95654140176487701</c:v>
                </c:pt>
                <c:pt idx="7">
                  <c:v>1.0466869764688309</c:v>
                </c:pt>
                <c:pt idx="8">
                  <c:v>0.95772171023173303</c:v>
                </c:pt>
                <c:pt idx="9">
                  <c:v>1.0676079017171776</c:v>
                </c:pt>
                <c:pt idx="10">
                  <c:v>2.1742594513280009</c:v>
                </c:pt>
                <c:pt idx="11">
                  <c:v>1.6900240030994804</c:v>
                </c:pt>
                <c:pt idx="12">
                  <c:v>1.4118323080694395</c:v>
                </c:pt>
                <c:pt idx="13">
                  <c:v>1.8667830679028325</c:v>
                </c:pt>
                <c:pt idx="14">
                  <c:v>2.2549703248511173</c:v>
                </c:pt>
                <c:pt idx="15">
                  <c:v>2.2134223135294091</c:v>
                </c:pt>
                <c:pt idx="16">
                  <c:v>1.5353728845770369</c:v>
                </c:pt>
                <c:pt idx="17">
                  <c:v>1.2608660625687607</c:v>
                </c:pt>
                <c:pt idx="18">
                  <c:v>1.2102524583820318</c:v>
                </c:pt>
                <c:pt idx="19">
                  <c:v>1.6324112377483011</c:v>
                </c:pt>
                <c:pt idx="20">
                  <c:v>1.6185210678362643</c:v>
                </c:pt>
                <c:pt idx="21">
                  <c:v>2.4936651066557407</c:v>
                </c:pt>
                <c:pt idx="22">
                  <c:v>1.7638281233338435</c:v>
                </c:pt>
                <c:pt idx="23">
                  <c:v>1.7343197353020563</c:v>
                </c:pt>
                <c:pt idx="24">
                  <c:v>1.7353961957583539</c:v>
                </c:pt>
                <c:pt idx="25">
                  <c:v>1.872890148325419</c:v>
                </c:pt>
                <c:pt idx="26">
                  <c:v>1.858697659315675</c:v>
                </c:pt>
                <c:pt idx="27">
                  <c:v>1.6835057980850558</c:v>
                </c:pt>
                <c:pt idx="28">
                  <c:v>1.3149544461946303</c:v>
                </c:pt>
                <c:pt idx="29">
                  <c:v>1.9669637727543376</c:v>
                </c:pt>
                <c:pt idx="30">
                  <c:v>3.3114336269145932</c:v>
                </c:pt>
                <c:pt idx="31">
                  <c:v>2.4598709198213666</c:v>
                </c:pt>
                <c:pt idx="32">
                  <c:v>1.813858071923548</c:v>
                </c:pt>
                <c:pt idx="33">
                  <c:v>1.9307212899906165</c:v>
                </c:pt>
                <c:pt idx="34">
                  <c:v>2.3045616672328633</c:v>
                </c:pt>
                <c:pt idx="35">
                  <c:v>2.4617065075946125</c:v>
                </c:pt>
                <c:pt idx="36">
                  <c:v>2.3034075715893407</c:v>
                </c:pt>
                <c:pt idx="37">
                  <c:v>2.1704965980541426</c:v>
                </c:pt>
                <c:pt idx="38">
                  <c:v>2.1412223637812762</c:v>
                </c:pt>
                <c:pt idx="39">
                  <c:v>2.3659083469041797</c:v>
                </c:pt>
                <c:pt idx="40">
                  <c:v>2.422038137143534</c:v>
                </c:pt>
              </c:numCache>
            </c:numRef>
          </c:val>
          <c:smooth val="0"/>
          <c:extLst xmlns:c16r2="http://schemas.microsoft.com/office/drawing/2015/06/chart">
            <c:ext xmlns:c16="http://schemas.microsoft.com/office/drawing/2014/chart" uri="{C3380CC4-5D6E-409C-BE32-E72D297353CC}">
              <c16:uniqueId val="{00000000-5D49-4E43-B626-3C3B9D8D62AD}"/>
            </c:ext>
          </c:extLst>
        </c:ser>
        <c:ser>
          <c:idx val="1"/>
          <c:order val="1"/>
          <c:tx>
            <c:strRef>
              <c:f>'ICC BRA - AS Alta'!$C$1</c:f>
              <c:strCache>
                <c:ptCount val="1"/>
                <c:pt idx="0">
                  <c:v>Bolívia</c:v>
                </c:pt>
              </c:strCache>
            </c:strRef>
          </c:tx>
          <c:spPr>
            <a:ln w="15875">
              <a:solidFill>
                <a:schemeClr val="bg1">
                  <a:lumMod val="50000"/>
                </a:schemeClr>
              </a:solidFill>
            </a:ln>
          </c:spPr>
          <c:marker>
            <c:symbol val="circle"/>
            <c:size val="5"/>
            <c:spPr>
              <a:solidFill>
                <a:schemeClr val="bg1">
                  <a:lumMod val="50000"/>
                </a:schemeClr>
              </a:solidFill>
              <a:ln>
                <a:solidFill>
                  <a:schemeClr val="bg1">
                    <a:lumMod val="50000"/>
                  </a:schemeClr>
                </a:solidFill>
              </a:ln>
            </c:spPr>
          </c:marker>
          <c:cat>
            <c:numRef>
              <c:f>'ICC BRA - AS Alta'!$A$2:$A$42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'ICC BRA - AS Alta'!$C$2:$C$42</c:f>
              <c:numCache>
                <c:formatCode>General</c:formatCode>
                <c:ptCount val="41"/>
                <c:pt idx="0">
                  <c:v>1.6252519786651778</c:v>
                </c:pt>
                <c:pt idx="1">
                  <c:v>1.4964613662332542</c:v>
                </c:pt>
                <c:pt idx="2">
                  <c:v>1.6251328445556996</c:v>
                </c:pt>
                <c:pt idx="3">
                  <c:v>0</c:v>
                </c:pt>
                <c:pt idx="4">
                  <c:v>2.7013278071795042</c:v>
                </c:pt>
                <c:pt idx="5">
                  <c:v>2.005759188896048</c:v>
                </c:pt>
                <c:pt idx="6">
                  <c:v>2.9311872937169121</c:v>
                </c:pt>
                <c:pt idx="7">
                  <c:v>3.7693758330447444</c:v>
                </c:pt>
                <c:pt idx="8">
                  <c:v>2.6648171384399597</c:v>
                </c:pt>
                <c:pt idx="9">
                  <c:v>2.6187988463175111</c:v>
                </c:pt>
                <c:pt idx="10">
                  <c:v>2.5732978550120134</c:v>
                </c:pt>
                <c:pt idx="11">
                  <c:v>1.9447474503244493</c:v>
                </c:pt>
                <c:pt idx="12">
                  <c:v>1.862882717981843</c:v>
                </c:pt>
                <c:pt idx="13">
                  <c:v>1.9103727091921483</c:v>
                </c:pt>
                <c:pt idx="14">
                  <c:v>1.360748784448145</c:v>
                </c:pt>
                <c:pt idx="15">
                  <c:v>1.4900268151643465</c:v>
                </c:pt>
                <c:pt idx="16">
                  <c:v>2.0565786181180292</c:v>
                </c:pt>
                <c:pt idx="17">
                  <c:v>1.6769013050284378</c:v>
                </c:pt>
                <c:pt idx="18">
                  <c:v>2.6976253015824603</c:v>
                </c:pt>
                <c:pt idx="19">
                  <c:v>2.6925630543253778</c:v>
                </c:pt>
                <c:pt idx="20">
                  <c:v>4.3103632886477605</c:v>
                </c:pt>
                <c:pt idx="21">
                  <c:v>2.2504207050722309</c:v>
                </c:pt>
                <c:pt idx="22">
                  <c:v>1.7201834106081633</c:v>
                </c:pt>
                <c:pt idx="23">
                  <c:v>2.1911018313791266</c:v>
                </c:pt>
                <c:pt idx="24">
                  <c:v>1.7552011557110558</c:v>
                </c:pt>
                <c:pt idx="25">
                  <c:v>2.3617652689034592</c:v>
                </c:pt>
                <c:pt idx="26">
                  <c:v>3.611539160522149</c:v>
                </c:pt>
                <c:pt idx="27">
                  <c:v>2.8936897276836562</c:v>
                </c:pt>
                <c:pt idx="28">
                  <c:v>2.2056296020755188</c:v>
                </c:pt>
                <c:pt idx="29">
                  <c:v>2.0860484108235413</c:v>
                </c:pt>
                <c:pt idx="30">
                  <c:v>1.596089645453012</c:v>
                </c:pt>
                <c:pt idx="31">
                  <c:v>1.7699316950262169</c:v>
                </c:pt>
                <c:pt idx="32">
                  <c:v>1.4345062432203639</c:v>
                </c:pt>
                <c:pt idx="33">
                  <c:v>1.525645955809821</c:v>
                </c:pt>
                <c:pt idx="34">
                  <c:v>1.7839914788342774</c:v>
                </c:pt>
                <c:pt idx="35">
                  <c:v>1.4839829022674942</c:v>
                </c:pt>
                <c:pt idx="36">
                  <c:v>1.3278697174390384</c:v>
                </c:pt>
                <c:pt idx="37">
                  <c:v>1.4551093611753618</c:v>
                </c:pt>
                <c:pt idx="38">
                  <c:v>1.360751824081583</c:v>
                </c:pt>
                <c:pt idx="39">
                  <c:v>1.3760338459558539</c:v>
                </c:pt>
                <c:pt idx="40">
                  <c:v>1.4760649019280976</c:v>
                </c:pt>
              </c:numCache>
            </c:numRef>
          </c:val>
          <c:smooth val="0"/>
          <c:extLst xmlns:c16r2="http://schemas.microsoft.com/office/drawing/2015/06/chart">
            <c:ext xmlns:c16="http://schemas.microsoft.com/office/drawing/2014/chart" uri="{C3380CC4-5D6E-409C-BE32-E72D297353CC}">
              <c16:uniqueId val="{00000001-5D49-4E43-B626-3C3B9D8D62AD}"/>
            </c:ext>
          </c:extLst>
        </c:ser>
        <c:ser>
          <c:idx val="2"/>
          <c:order val="2"/>
          <c:tx>
            <c:strRef>
              <c:f>'ICC BRA - AS Alta'!$D$1</c:f>
              <c:strCache>
                <c:ptCount val="1"/>
                <c:pt idx="0">
                  <c:v>Chile</c:v>
                </c:pt>
              </c:strCache>
            </c:strRef>
          </c:tx>
          <c:spPr>
            <a:ln w="15875">
              <a:solidFill>
                <a:srgbClr val="92D050"/>
              </a:solidFill>
            </a:ln>
          </c:spPr>
          <c:marker>
            <c:symbol val="triangle"/>
            <c:size val="5"/>
            <c:spPr>
              <a:solidFill>
                <a:srgbClr val="92D050"/>
              </a:solidFill>
              <a:ln>
                <a:solidFill>
                  <a:srgbClr val="92D050"/>
                </a:solidFill>
              </a:ln>
            </c:spPr>
          </c:marker>
          <c:cat>
            <c:numRef>
              <c:f>'ICC BRA - AS Alta'!$A$2:$A$42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'ICC BRA - AS Alta'!$D$2:$D$42</c:f>
              <c:numCache>
                <c:formatCode>General</c:formatCode>
                <c:ptCount val="41"/>
                <c:pt idx="0">
                  <c:v>1.0197155628307522</c:v>
                </c:pt>
                <c:pt idx="1">
                  <c:v>1.0230068870243749</c:v>
                </c:pt>
                <c:pt idx="2">
                  <c:v>0.72953426669817001</c:v>
                </c:pt>
                <c:pt idx="3">
                  <c:v>0.66510202656407824</c:v>
                </c:pt>
                <c:pt idx="4">
                  <c:v>0.82499637435417394</c:v>
                </c:pt>
                <c:pt idx="5">
                  <c:v>1.0554404964691204</c:v>
                </c:pt>
                <c:pt idx="6">
                  <c:v>1.7757998375888466</c:v>
                </c:pt>
                <c:pt idx="7">
                  <c:v>1.512264082694045</c:v>
                </c:pt>
                <c:pt idx="8">
                  <c:v>1.1670014062741072</c:v>
                </c:pt>
                <c:pt idx="9">
                  <c:v>0.94648796235082222</c:v>
                </c:pt>
                <c:pt idx="10">
                  <c:v>0.88630627093839265</c:v>
                </c:pt>
                <c:pt idx="11">
                  <c:v>1.1322883173400982</c:v>
                </c:pt>
                <c:pt idx="12">
                  <c:v>1.900369862206057</c:v>
                </c:pt>
                <c:pt idx="13">
                  <c:v>1.4206618075739359</c:v>
                </c:pt>
                <c:pt idx="14">
                  <c:v>1.5838911794121022</c:v>
                </c:pt>
                <c:pt idx="15">
                  <c:v>1.3561517222084485</c:v>
                </c:pt>
                <c:pt idx="16">
                  <c:v>1.341678326769806</c:v>
                </c:pt>
                <c:pt idx="17">
                  <c:v>1.1724514793459004</c:v>
                </c:pt>
                <c:pt idx="18">
                  <c:v>1.2360602987742977</c:v>
                </c:pt>
                <c:pt idx="19">
                  <c:v>1.8744459719810302</c:v>
                </c:pt>
                <c:pt idx="20">
                  <c:v>1.90231261750701</c:v>
                </c:pt>
                <c:pt idx="21">
                  <c:v>1.1496848985613888</c:v>
                </c:pt>
                <c:pt idx="22">
                  <c:v>1.0130735529040122</c:v>
                </c:pt>
                <c:pt idx="23">
                  <c:v>1.1539123055456704</c:v>
                </c:pt>
                <c:pt idx="24">
                  <c:v>1.0642015809056484</c:v>
                </c:pt>
                <c:pt idx="25">
                  <c:v>1.2087445482325745</c:v>
                </c:pt>
                <c:pt idx="26">
                  <c:v>1.1492239699491726</c:v>
                </c:pt>
                <c:pt idx="27">
                  <c:v>1.1001669104653566</c:v>
                </c:pt>
                <c:pt idx="28">
                  <c:v>1.1273825953759256</c:v>
                </c:pt>
                <c:pt idx="29">
                  <c:v>1.0639874017032898</c:v>
                </c:pt>
                <c:pt idx="30">
                  <c:v>0.91274256633137851</c:v>
                </c:pt>
                <c:pt idx="31">
                  <c:v>0.88674654496434657</c:v>
                </c:pt>
                <c:pt idx="32">
                  <c:v>1.0470753535819755</c:v>
                </c:pt>
                <c:pt idx="33">
                  <c:v>0.9079637151945108</c:v>
                </c:pt>
                <c:pt idx="34">
                  <c:v>0.95753009020166679</c:v>
                </c:pt>
                <c:pt idx="35">
                  <c:v>1.0165044472268987</c:v>
                </c:pt>
                <c:pt idx="36">
                  <c:v>1.0108590376904358</c:v>
                </c:pt>
                <c:pt idx="37">
                  <c:v>0.98741400591215822</c:v>
                </c:pt>
                <c:pt idx="38">
                  <c:v>0.96578903115883596</c:v>
                </c:pt>
                <c:pt idx="39">
                  <c:v>1.0586113817665561</c:v>
                </c:pt>
                <c:pt idx="40">
                  <c:v>1.0514175884894696</c:v>
                </c:pt>
              </c:numCache>
            </c:numRef>
          </c:val>
          <c:smooth val="0"/>
          <c:extLst xmlns:c16r2="http://schemas.microsoft.com/office/drawing/2015/06/chart">
            <c:ext xmlns:c16="http://schemas.microsoft.com/office/drawing/2014/chart" uri="{C3380CC4-5D6E-409C-BE32-E72D297353CC}">
              <c16:uniqueId val="{00000002-5D49-4E43-B626-3C3B9D8D62AD}"/>
            </c:ext>
          </c:extLst>
        </c:ser>
        <c:ser>
          <c:idx val="3"/>
          <c:order val="3"/>
          <c:tx>
            <c:strRef>
              <c:f>'ICC BRA - AS Alta'!$E$1</c:f>
              <c:strCache>
                <c:ptCount val="1"/>
                <c:pt idx="0">
                  <c:v>Colômbia</c:v>
                </c:pt>
              </c:strCache>
            </c:strRef>
          </c:tx>
          <c:spPr>
            <a:ln w="15875">
              <a:solidFill>
                <a:schemeClr val="accent1"/>
              </a:solidFill>
            </a:ln>
          </c:spPr>
          <c:marker>
            <c:symbol val="triangle"/>
            <c:size val="4"/>
            <c:spPr>
              <a:solidFill>
                <a:srgbClr val="00B0F0"/>
              </a:solidFill>
              <a:ln>
                <a:solidFill>
                  <a:schemeClr val="accent1"/>
                </a:solidFill>
              </a:ln>
            </c:spPr>
          </c:marker>
          <c:cat>
            <c:numRef>
              <c:f>'ICC BRA - AS Alta'!$A$2:$A$42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'ICC BRA - AS Alta'!$E$2:$E$42</c:f>
              <c:numCache>
                <c:formatCode>General</c:formatCode>
                <c:ptCount val="41"/>
                <c:pt idx="0">
                  <c:v>2.0579170978326462</c:v>
                </c:pt>
                <c:pt idx="1">
                  <c:v>1.6051826648405763</c:v>
                </c:pt>
                <c:pt idx="2">
                  <c:v>1.8596592659254558</c:v>
                </c:pt>
                <c:pt idx="3">
                  <c:v>2.460262980819496</c:v>
                </c:pt>
                <c:pt idx="4">
                  <c:v>2.8663018695330909</c:v>
                </c:pt>
                <c:pt idx="5">
                  <c:v>2.2759133715375497</c:v>
                </c:pt>
                <c:pt idx="6">
                  <c:v>2.69648688287992</c:v>
                </c:pt>
                <c:pt idx="7">
                  <c:v>2.0056172157743677</c:v>
                </c:pt>
                <c:pt idx="8">
                  <c:v>0.97123788155415836</c:v>
                </c:pt>
                <c:pt idx="9">
                  <c:v>1.1347638447503243</c:v>
                </c:pt>
                <c:pt idx="10">
                  <c:v>1.2707333984576046</c:v>
                </c:pt>
                <c:pt idx="11">
                  <c:v>1.0761958822215807</c:v>
                </c:pt>
                <c:pt idx="12">
                  <c:v>1.3853808941452546</c:v>
                </c:pt>
                <c:pt idx="13">
                  <c:v>1.3906735231179008</c:v>
                </c:pt>
                <c:pt idx="14">
                  <c:v>1.3316583889856843</c:v>
                </c:pt>
                <c:pt idx="15">
                  <c:v>1.0759342514744075</c:v>
                </c:pt>
                <c:pt idx="16">
                  <c:v>1.2152379430295874</c:v>
                </c:pt>
                <c:pt idx="17">
                  <c:v>0.87282577929238636</c:v>
                </c:pt>
                <c:pt idx="18">
                  <c:v>0.80460520695050497</c:v>
                </c:pt>
                <c:pt idx="19">
                  <c:v>0.89987939716972842</c:v>
                </c:pt>
                <c:pt idx="20">
                  <c:v>1.0940563513858059</c:v>
                </c:pt>
                <c:pt idx="21">
                  <c:v>0.99739049876085284</c:v>
                </c:pt>
                <c:pt idx="22">
                  <c:v>0.72907105150090312</c:v>
                </c:pt>
                <c:pt idx="23">
                  <c:v>0.90141672019346597</c:v>
                </c:pt>
                <c:pt idx="24">
                  <c:v>1.1475904045693435</c:v>
                </c:pt>
                <c:pt idx="25">
                  <c:v>1.5309722932107335</c:v>
                </c:pt>
                <c:pt idx="26">
                  <c:v>1.8359595253455168</c:v>
                </c:pt>
                <c:pt idx="27">
                  <c:v>1.4619312353192215</c:v>
                </c:pt>
                <c:pt idx="28">
                  <c:v>1.6433098738886405</c:v>
                </c:pt>
                <c:pt idx="29">
                  <c:v>1.6659234887058922</c:v>
                </c:pt>
                <c:pt idx="30">
                  <c:v>1.4835855485771365</c:v>
                </c:pt>
                <c:pt idx="31">
                  <c:v>1.6816777195037356</c:v>
                </c:pt>
                <c:pt idx="32">
                  <c:v>1.9151756850936765</c:v>
                </c:pt>
                <c:pt idx="33">
                  <c:v>2.2102796074098983</c:v>
                </c:pt>
                <c:pt idx="34">
                  <c:v>1.4885216120821134</c:v>
                </c:pt>
                <c:pt idx="35">
                  <c:v>2.0505252089928994</c:v>
                </c:pt>
                <c:pt idx="36">
                  <c:v>2.0925340793786669</c:v>
                </c:pt>
                <c:pt idx="37">
                  <c:v>2.9562764428008834</c:v>
                </c:pt>
                <c:pt idx="38">
                  <c:v>2.707049923143162</c:v>
                </c:pt>
                <c:pt idx="39">
                  <c:v>2.4920443838632438</c:v>
                </c:pt>
                <c:pt idx="40">
                  <c:v>2.4257554933792056</c:v>
                </c:pt>
              </c:numCache>
            </c:numRef>
          </c:val>
          <c:smooth val="0"/>
          <c:extLst xmlns:c16r2="http://schemas.microsoft.com/office/drawing/2015/06/chart">
            <c:ext xmlns:c16="http://schemas.microsoft.com/office/drawing/2014/chart" uri="{C3380CC4-5D6E-409C-BE32-E72D297353CC}">
              <c16:uniqueId val="{00000003-5D49-4E43-B626-3C3B9D8D62AD}"/>
            </c:ext>
          </c:extLst>
        </c:ser>
        <c:ser>
          <c:idx val="4"/>
          <c:order val="4"/>
          <c:tx>
            <c:strRef>
              <c:f>'ICC BRA - AS Alta'!$F$1</c:f>
              <c:strCache>
                <c:ptCount val="1"/>
                <c:pt idx="0">
                  <c:v>Equador</c:v>
                </c:pt>
              </c:strCache>
            </c:strRef>
          </c:tx>
          <c:spPr>
            <a:ln w="15875">
              <a:solidFill>
                <a:schemeClr val="tx1"/>
              </a:solidFill>
            </a:ln>
          </c:spPr>
          <c:marker>
            <c:symbol val="square"/>
            <c:size val="5"/>
            <c:spPr>
              <a:solidFill>
                <a:schemeClr val="tx1"/>
              </a:solidFill>
              <a:ln>
                <a:solidFill>
                  <a:schemeClr val="tx1"/>
                </a:solidFill>
              </a:ln>
            </c:spPr>
          </c:marker>
          <c:cat>
            <c:numRef>
              <c:f>'ICC BRA - AS Alta'!$A$2:$A$42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'ICC BRA - AS Alta'!$F$2:$F$42</c:f>
              <c:numCache>
                <c:formatCode>General</c:formatCode>
                <c:ptCount val="41"/>
                <c:pt idx="0">
                  <c:v>1.6992324035066273</c:v>
                </c:pt>
                <c:pt idx="1">
                  <c:v>2.086588348118871</c:v>
                </c:pt>
                <c:pt idx="2">
                  <c:v>2.6544804551981929</c:v>
                </c:pt>
                <c:pt idx="3">
                  <c:v>3.218979503096417</c:v>
                </c:pt>
                <c:pt idx="4">
                  <c:v>3.942832513817236</c:v>
                </c:pt>
                <c:pt idx="5">
                  <c:v>3.9483787682836184</c:v>
                </c:pt>
                <c:pt idx="6">
                  <c:v>6.5416770066363172</c:v>
                </c:pt>
                <c:pt idx="7">
                  <c:v>5.3063281603765713</c:v>
                </c:pt>
                <c:pt idx="8">
                  <c:v>4.4335481816917399</c:v>
                </c:pt>
                <c:pt idx="9">
                  <c:v>4.0936348493029868</c:v>
                </c:pt>
                <c:pt idx="10">
                  <c:v>3.6073331632549706</c:v>
                </c:pt>
                <c:pt idx="11">
                  <c:v>4.6509651966210068</c:v>
                </c:pt>
                <c:pt idx="12">
                  <c:v>4.6479171451207115</c:v>
                </c:pt>
                <c:pt idx="13">
                  <c:v>3.9367045321230849</c:v>
                </c:pt>
                <c:pt idx="14">
                  <c:v>3.8716472764894836</c:v>
                </c:pt>
                <c:pt idx="15">
                  <c:v>2.1365322069489983</c:v>
                </c:pt>
                <c:pt idx="16">
                  <c:v>2.7655115972080306</c:v>
                </c:pt>
                <c:pt idx="17">
                  <c:v>4.6164281872866013</c:v>
                </c:pt>
                <c:pt idx="18">
                  <c:v>3.6929195589641708</c:v>
                </c:pt>
                <c:pt idx="19">
                  <c:v>2.6191167722304733</c:v>
                </c:pt>
                <c:pt idx="20">
                  <c:v>3.7697832981455783</c:v>
                </c:pt>
                <c:pt idx="21">
                  <c:v>4.170296209487911</c:v>
                </c:pt>
                <c:pt idx="22">
                  <c:v>2.1701911004569912</c:v>
                </c:pt>
                <c:pt idx="23">
                  <c:v>3.4676922356413606</c:v>
                </c:pt>
                <c:pt idx="24">
                  <c:v>2.30283971497211</c:v>
                </c:pt>
                <c:pt idx="25">
                  <c:v>2.6309174980479519</c:v>
                </c:pt>
                <c:pt idx="26">
                  <c:v>2.9843886825512018</c:v>
                </c:pt>
                <c:pt idx="27">
                  <c:v>2.5213660534012119</c:v>
                </c:pt>
                <c:pt idx="28">
                  <c:v>2.079523857410849</c:v>
                </c:pt>
                <c:pt idx="29">
                  <c:v>2.4437450147326385</c:v>
                </c:pt>
                <c:pt idx="30">
                  <c:v>2.6756547287662613</c:v>
                </c:pt>
                <c:pt idx="31">
                  <c:v>2.4255803436933712</c:v>
                </c:pt>
                <c:pt idx="32">
                  <c:v>2.5463467096828341</c:v>
                </c:pt>
                <c:pt idx="33">
                  <c:v>2.600776743891164</c:v>
                </c:pt>
                <c:pt idx="34">
                  <c:v>2.5401996457732126</c:v>
                </c:pt>
                <c:pt idx="35">
                  <c:v>2.3445616754228245</c:v>
                </c:pt>
                <c:pt idx="36">
                  <c:v>2.7976314844643686</c:v>
                </c:pt>
                <c:pt idx="37">
                  <c:v>2.3053193228398006</c:v>
                </c:pt>
                <c:pt idx="38">
                  <c:v>2.4816438475580371</c:v>
                </c:pt>
                <c:pt idx="39">
                  <c:v>2.5925382210687995</c:v>
                </c:pt>
                <c:pt idx="40">
                  <c:v>2.8994593337091592</c:v>
                </c:pt>
              </c:numCache>
            </c:numRef>
          </c:val>
          <c:smooth val="0"/>
          <c:extLst xmlns:c16r2="http://schemas.microsoft.com/office/drawing/2015/06/chart">
            <c:ext xmlns:c16="http://schemas.microsoft.com/office/drawing/2014/chart" uri="{C3380CC4-5D6E-409C-BE32-E72D297353CC}">
              <c16:uniqueId val="{00000004-5D49-4E43-B626-3C3B9D8D62AD}"/>
            </c:ext>
          </c:extLst>
        </c:ser>
        <c:ser>
          <c:idx val="6"/>
          <c:order val="5"/>
          <c:tx>
            <c:strRef>
              <c:f>'ICC BRA - AS Alta'!$H$1</c:f>
              <c:strCache>
                <c:ptCount val="1"/>
                <c:pt idx="0">
                  <c:v>Peru</c:v>
                </c:pt>
              </c:strCache>
            </c:strRef>
          </c:tx>
          <c:spPr>
            <a:ln w="15875">
              <a:solidFill>
                <a:schemeClr val="accent6">
                  <a:lumMod val="60000"/>
                  <a:lumOff val="40000"/>
                </a:schemeClr>
              </a:solidFill>
            </a:ln>
          </c:spPr>
          <c:marker>
            <c:symbol val="square"/>
            <c:size val="3"/>
            <c:spPr>
              <a:solidFill>
                <a:schemeClr val="accent6">
                  <a:lumMod val="60000"/>
                  <a:lumOff val="40000"/>
                </a:schemeClr>
              </a:solidFill>
              <a:ln>
                <a:solidFill>
                  <a:schemeClr val="accent6">
                    <a:lumMod val="60000"/>
                    <a:lumOff val="40000"/>
                  </a:schemeClr>
                </a:solidFill>
              </a:ln>
            </c:spPr>
          </c:marker>
          <c:cat>
            <c:numRef>
              <c:f>'ICC BRA - AS Alta'!$A$2:$A$42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'ICC BRA - AS Alta'!$H$2:$H$42</c:f>
              <c:numCache>
                <c:formatCode>General</c:formatCode>
                <c:ptCount val="41"/>
                <c:pt idx="0">
                  <c:v>1.2983030819192154</c:v>
                </c:pt>
                <c:pt idx="1">
                  <c:v>2.0518381713026734</c:v>
                </c:pt>
                <c:pt idx="2">
                  <c:v>1.4813468770537723</c:v>
                </c:pt>
                <c:pt idx="3">
                  <c:v>1.8397549145569398</c:v>
                </c:pt>
                <c:pt idx="4">
                  <c:v>1.8190333919459858</c:v>
                </c:pt>
                <c:pt idx="5">
                  <c:v>1.1656602785732664</c:v>
                </c:pt>
                <c:pt idx="6">
                  <c:v>1.3543342635903359</c:v>
                </c:pt>
                <c:pt idx="7">
                  <c:v>1.1072287844154867</c:v>
                </c:pt>
                <c:pt idx="8">
                  <c:v>2.1539530559537385</c:v>
                </c:pt>
                <c:pt idx="9">
                  <c:v>2.3967652208330277</c:v>
                </c:pt>
                <c:pt idx="10">
                  <c:v>2.1368040212117365</c:v>
                </c:pt>
                <c:pt idx="11">
                  <c:v>2.0283399344151674</c:v>
                </c:pt>
                <c:pt idx="12">
                  <c:v>2.7873093239924662</c:v>
                </c:pt>
                <c:pt idx="13">
                  <c:v>2.4318722809288684</c:v>
                </c:pt>
                <c:pt idx="14">
                  <c:v>2.3207941725728936</c:v>
                </c:pt>
                <c:pt idx="15">
                  <c:v>2.0734568022028785</c:v>
                </c:pt>
                <c:pt idx="16">
                  <c:v>1.4151179507014</c:v>
                </c:pt>
                <c:pt idx="17">
                  <c:v>1.8744751522080558</c:v>
                </c:pt>
                <c:pt idx="18">
                  <c:v>0.95171094650440768</c:v>
                </c:pt>
                <c:pt idx="19">
                  <c:v>1.3263197212173079</c:v>
                </c:pt>
                <c:pt idx="20">
                  <c:v>1.4330910916545687</c:v>
                </c:pt>
                <c:pt idx="21">
                  <c:v>1.5163135643528056</c:v>
                </c:pt>
                <c:pt idx="22">
                  <c:v>1.0016401317053862</c:v>
                </c:pt>
                <c:pt idx="23">
                  <c:v>1.2978915830248265</c:v>
                </c:pt>
                <c:pt idx="24">
                  <c:v>1.505045274152353</c:v>
                </c:pt>
                <c:pt idx="25">
                  <c:v>1.6175061274581879</c:v>
                </c:pt>
                <c:pt idx="26">
                  <c:v>1.4219142705343906</c:v>
                </c:pt>
                <c:pt idx="27">
                  <c:v>1.2424523364195736</c:v>
                </c:pt>
                <c:pt idx="28">
                  <c:v>1.2246012454946114</c:v>
                </c:pt>
                <c:pt idx="29">
                  <c:v>1.5476723229793807</c:v>
                </c:pt>
                <c:pt idx="30">
                  <c:v>1.6282314459319116</c:v>
                </c:pt>
                <c:pt idx="31">
                  <c:v>1.523860012229465</c:v>
                </c:pt>
                <c:pt idx="32">
                  <c:v>1.613977660090739</c:v>
                </c:pt>
                <c:pt idx="33">
                  <c:v>1.5661659006402187</c:v>
                </c:pt>
                <c:pt idx="34">
                  <c:v>1.3178283693992183</c:v>
                </c:pt>
                <c:pt idx="35">
                  <c:v>1.2857141278250468</c:v>
                </c:pt>
                <c:pt idx="36">
                  <c:v>1.1594701337092463</c:v>
                </c:pt>
                <c:pt idx="37">
                  <c:v>1.3330973879188339</c:v>
                </c:pt>
                <c:pt idx="38">
                  <c:v>1.4552968430154862</c:v>
                </c:pt>
                <c:pt idx="39">
                  <c:v>1.3763389155415591</c:v>
                </c:pt>
                <c:pt idx="40">
                  <c:v>1.3709164216947676</c:v>
                </c:pt>
              </c:numCache>
            </c:numRef>
          </c:val>
          <c:smooth val="0"/>
          <c:extLst xmlns:c16r2="http://schemas.microsoft.com/office/drawing/2015/06/chart">
            <c:ext xmlns:c16="http://schemas.microsoft.com/office/drawing/2014/chart" uri="{C3380CC4-5D6E-409C-BE32-E72D297353CC}">
              <c16:uniqueId val="{00000005-5D49-4E43-B626-3C3B9D8D62AD}"/>
            </c:ext>
          </c:extLst>
        </c:ser>
        <c:ser>
          <c:idx val="7"/>
          <c:order val="6"/>
          <c:tx>
            <c:strRef>
              <c:f>'ICC BRA - AS Alta'!$I$1</c:f>
              <c:strCache>
                <c:ptCount val="1"/>
                <c:pt idx="0">
                  <c:v>Uruguai</c:v>
                </c:pt>
              </c:strCache>
            </c:strRef>
          </c:tx>
          <c:spPr>
            <a:ln w="15875">
              <a:solidFill>
                <a:srgbClr val="FFC000"/>
              </a:solidFill>
            </a:ln>
          </c:spPr>
          <c:marker>
            <c:symbol val="circle"/>
            <c:size val="4"/>
            <c:spPr>
              <a:solidFill>
                <a:srgbClr val="FFC000"/>
              </a:solidFill>
              <a:ln>
                <a:solidFill>
                  <a:srgbClr val="FFC000"/>
                </a:solidFill>
              </a:ln>
            </c:spPr>
          </c:marker>
          <c:cat>
            <c:numRef>
              <c:f>'ICC BRA - AS Alta'!$A$2:$A$42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'ICC BRA - AS Alta'!$I$2:$I$42</c:f>
              <c:numCache>
                <c:formatCode>General</c:formatCode>
                <c:ptCount val="41"/>
                <c:pt idx="0">
                  <c:v>1.6531215220351596</c:v>
                </c:pt>
                <c:pt idx="1">
                  <c:v>1.6340522128810846</c:v>
                </c:pt>
                <c:pt idx="2">
                  <c:v>0.98060107014487696</c:v>
                </c:pt>
                <c:pt idx="3">
                  <c:v>0.89384649562185081</c:v>
                </c:pt>
                <c:pt idx="4">
                  <c:v>1.027451263585897</c:v>
                </c:pt>
                <c:pt idx="5">
                  <c:v>1.1230640863406898</c:v>
                </c:pt>
                <c:pt idx="6">
                  <c:v>1.8093414141858439</c:v>
                </c:pt>
                <c:pt idx="7">
                  <c:v>1.8892194263368849</c:v>
                </c:pt>
                <c:pt idx="8">
                  <c:v>1.4458675587795806</c:v>
                </c:pt>
                <c:pt idx="9">
                  <c:v>1.2146298645760492</c:v>
                </c:pt>
                <c:pt idx="10">
                  <c:v>1.4526446716358892</c:v>
                </c:pt>
                <c:pt idx="11">
                  <c:v>1.6644578245639208</c:v>
                </c:pt>
                <c:pt idx="12">
                  <c:v>2.0114012834089725</c:v>
                </c:pt>
                <c:pt idx="13">
                  <c:v>1.9870625496880561</c:v>
                </c:pt>
                <c:pt idx="14">
                  <c:v>2.2732266508436427</c:v>
                </c:pt>
                <c:pt idx="15">
                  <c:v>2.7452601893812192</c:v>
                </c:pt>
                <c:pt idx="16">
                  <c:v>2.3912429945785467</c:v>
                </c:pt>
                <c:pt idx="17">
                  <c:v>2.749118530403567</c:v>
                </c:pt>
                <c:pt idx="18">
                  <c:v>1.5610701491144305</c:v>
                </c:pt>
                <c:pt idx="19">
                  <c:v>3.1239602525889905</c:v>
                </c:pt>
                <c:pt idx="20">
                  <c:v>2.7876244324248063</c:v>
                </c:pt>
                <c:pt idx="21">
                  <c:v>2.1085199840917541</c:v>
                </c:pt>
                <c:pt idx="22">
                  <c:v>1.3620537439707801</c:v>
                </c:pt>
                <c:pt idx="23">
                  <c:v>1.5372723568234785</c:v>
                </c:pt>
                <c:pt idx="24">
                  <c:v>1.8528509090571452</c:v>
                </c:pt>
                <c:pt idx="25">
                  <c:v>1.7362379074872445</c:v>
                </c:pt>
                <c:pt idx="26">
                  <c:v>1.8433539860349093</c:v>
                </c:pt>
                <c:pt idx="27">
                  <c:v>1.9659349496024177</c:v>
                </c:pt>
                <c:pt idx="28">
                  <c:v>1.5258713744583159</c:v>
                </c:pt>
                <c:pt idx="29">
                  <c:v>1.7871124941369554</c:v>
                </c:pt>
                <c:pt idx="30">
                  <c:v>1.6489743484766273</c:v>
                </c:pt>
                <c:pt idx="31">
                  <c:v>1.6798494520237299</c:v>
                </c:pt>
                <c:pt idx="32">
                  <c:v>1.6372492327775221</c:v>
                </c:pt>
                <c:pt idx="33">
                  <c:v>1.3754079547753022</c:v>
                </c:pt>
                <c:pt idx="34">
                  <c:v>1.4363175736547282</c:v>
                </c:pt>
                <c:pt idx="35">
                  <c:v>1.4069330974156222</c:v>
                </c:pt>
                <c:pt idx="36">
                  <c:v>1.1012444785526891</c:v>
                </c:pt>
                <c:pt idx="37">
                  <c:v>1.1686646666718945</c:v>
                </c:pt>
                <c:pt idx="38">
                  <c:v>1.2869763241630097</c:v>
                </c:pt>
                <c:pt idx="39">
                  <c:v>1.1728213472911571</c:v>
                </c:pt>
                <c:pt idx="40">
                  <c:v>1.5767260079806447</c:v>
                </c:pt>
              </c:numCache>
            </c:numRef>
          </c:val>
          <c:smooth val="0"/>
          <c:extLst xmlns:c16r2="http://schemas.microsoft.com/office/drawing/2015/06/chart">
            <c:ext xmlns:c16="http://schemas.microsoft.com/office/drawing/2014/chart" uri="{C3380CC4-5D6E-409C-BE32-E72D297353CC}">
              <c16:uniqueId val="{00000006-5D49-4E43-B626-3C3B9D8D62AD}"/>
            </c:ext>
          </c:extLst>
        </c:ser>
        <c:ser>
          <c:idx val="8"/>
          <c:order val="7"/>
          <c:tx>
            <c:strRef>
              <c:f>'ICC BRA - AS Alta'!$J$1</c:f>
              <c:strCache>
                <c:ptCount val="1"/>
                <c:pt idx="0">
                  <c:v>Venezuela</c:v>
                </c:pt>
              </c:strCache>
            </c:strRef>
          </c:tx>
          <c:spPr>
            <a:ln w="15875">
              <a:solidFill>
                <a:srgbClr val="091EB7"/>
              </a:solidFill>
            </a:ln>
          </c:spPr>
          <c:marker>
            <c:symbol val="diamond"/>
            <c:size val="7"/>
            <c:spPr>
              <a:solidFill>
                <a:srgbClr val="091EB7"/>
              </a:solidFill>
              <a:ln>
                <a:solidFill>
                  <a:srgbClr val="091EB7"/>
                </a:solidFill>
              </a:ln>
            </c:spPr>
          </c:marker>
          <c:cat>
            <c:numRef>
              <c:f>'ICC BRA - AS Alta'!$A$2:$A$42</c:f>
              <c:numCache>
                <c:formatCode>General</c:formatCode>
                <c:ptCount val="4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numCache>
            </c:numRef>
          </c:cat>
          <c:val>
            <c:numRef>
              <c:f>'ICC BRA - AS Alta'!$J$2:$J$42</c:f>
              <c:numCache>
                <c:formatCode>General</c:formatCode>
                <c:ptCount val="41"/>
                <c:pt idx="0">
                  <c:v>2.4334039747610734</c:v>
                </c:pt>
                <c:pt idx="1">
                  <c:v>2.4402388118944076</c:v>
                </c:pt>
                <c:pt idx="2">
                  <c:v>3.2635686042323897</c:v>
                </c:pt>
                <c:pt idx="3">
                  <c:v>1.7434302696439461</c:v>
                </c:pt>
                <c:pt idx="4">
                  <c:v>2.8351983813782753</c:v>
                </c:pt>
                <c:pt idx="5">
                  <c:v>2.1862396196698004</c:v>
                </c:pt>
                <c:pt idx="6">
                  <c:v>2.7861583961001646</c:v>
                </c:pt>
                <c:pt idx="7">
                  <c:v>1.6776890941196863</c:v>
                </c:pt>
                <c:pt idx="8">
                  <c:v>1.6372400994194887</c:v>
                </c:pt>
                <c:pt idx="9">
                  <c:v>2.1044312902899112</c:v>
                </c:pt>
                <c:pt idx="10">
                  <c:v>2.9430643620578301</c:v>
                </c:pt>
                <c:pt idx="11">
                  <c:v>2.2411080484102031</c:v>
                </c:pt>
                <c:pt idx="12">
                  <c:v>3.2589405947905306</c:v>
                </c:pt>
                <c:pt idx="13">
                  <c:v>2.8060877685703072</c:v>
                </c:pt>
                <c:pt idx="14">
                  <c:v>3.0682212202812948</c:v>
                </c:pt>
                <c:pt idx="15">
                  <c:v>3.4337610895141442</c:v>
                </c:pt>
                <c:pt idx="16">
                  <c:v>2.5654146278925163</c:v>
                </c:pt>
                <c:pt idx="17">
                  <c:v>1.8680632705636544</c:v>
                </c:pt>
                <c:pt idx="18">
                  <c:v>1.7392043848001899</c:v>
                </c:pt>
                <c:pt idx="19">
                  <c:v>2.4622947705818898</c:v>
                </c:pt>
                <c:pt idx="20">
                  <c:v>2.5191902581558039</c:v>
                </c:pt>
                <c:pt idx="21">
                  <c:v>1.9880372034956413</c:v>
                </c:pt>
                <c:pt idx="22">
                  <c:v>1.5991647996600289</c:v>
                </c:pt>
                <c:pt idx="23">
                  <c:v>1.8643352467144905</c:v>
                </c:pt>
                <c:pt idx="24">
                  <c:v>2.132301096090444</c:v>
                </c:pt>
                <c:pt idx="25">
                  <c:v>1.7754939350839982</c:v>
                </c:pt>
                <c:pt idx="26">
                  <c:v>2.0150143447432316</c:v>
                </c:pt>
                <c:pt idx="27">
                  <c:v>2.1576228030490565</c:v>
                </c:pt>
                <c:pt idx="28">
                  <c:v>1.8528712817671893</c:v>
                </c:pt>
                <c:pt idx="29">
                  <c:v>2.4535812045443275</c:v>
                </c:pt>
                <c:pt idx="30">
                  <c:v>3.1862409175078059</c:v>
                </c:pt>
                <c:pt idx="31">
                  <c:v>2.2858446175140856</c:v>
                </c:pt>
                <c:pt idx="32">
                  <c:v>2.8814238660856311</c:v>
                </c:pt>
                <c:pt idx="33">
                  <c:v>3.0056526551413936</c:v>
                </c:pt>
                <c:pt idx="34">
                  <c:v>2.4328615637164641</c:v>
                </c:pt>
                <c:pt idx="35">
                  <c:v>2.9712225354807091</c:v>
                </c:pt>
                <c:pt idx="36">
                  <c:v>3.2770889041580178</c:v>
                </c:pt>
                <c:pt idx="37">
                  <c:v>2.7321757554776007</c:v>
                </c:pt>
                <c:pt idx="38">
                  <c:v>2.7313657007759793</c:v>
                </c:pt>
                <c:pt idx="39">
                  <c:v>2.6297297347698727</c:v>
                </c:pt>
                <c:pt idx="40">
                  <c:v>4.2795535335039396</c:v>
                </c:pt>
              </c:numCache>
            </c:numRef>
          </c:val>
          <c:smooth val="0"/>
          <c:extLst xmlns:c16r2="http://schemas.microsoft.com/office/drawing/2015/06/chart">
            <c:ext xmlns:c16="http://schemas.microsoft.com/office/drawing/2014/chart" uri="{C3380CC4-5D6E-409C-BE32-E72D297353CC}">
              <c16:uniqueId val="{00000007-5D49-4E43-B626-3C3B9D8D62AD}"/>
            </c:ext>
          </c:extLst>
        </c:ser>
        <c:dLbls>
          <c:showLegendKey val="0"/>
          <c:showVal val="0"/>
          <c:showCatName val="0"/>
          <c:showSerName val="0"/>
          <c:showPercent val="0"/>
          <c:showBubbleSize val="0"/>
        </c:dLbls>
        <c:marker val="1"/>
        <c:smooth val="0"/>
        <c:axId val="-1194829344"/>
        <c:axId val="-1194832608"/>
      </c:lineChart>
      <c:catAx>
        <c:axId val="-1194829344"/>
        <c:scaling>
          <c:orientation val="minMax"/>
        </c:scaling>
        <c:delete val="0"/>
        <c:axPos val="b"/>
        <c:numFmt formatCode="General" sourceLinked="1"/>
        <c:majorTickMark val="out"/>
        <c:minorTickMark val="none"/>
        <c:tickLblPos val="nextTo"/>
        <c:txPr>
          <a:bodyPr rot="-5400000" vert="horz"/>
          <a:lstStyle/>
          <a:p>
            <a:pPr>
              <a:defRPr/>
            </a:pPr>
            <a:endParaRPr lang="pt-BR"/>
          </a:p>
        </c:txPr>
        <c:crossAx val="-1194832608"/>
        <c:crosses val="autoZero"/>
        <c:auto val="1"/>
        <c:lblAlgn val="ctr"/>
        <c:lblOffset val="100"/>
        <c:noMultiLvlLbl val="0"/>
      </c:catAx>
      <c:valAx>
        <c:axId val="-1194832608"/>
        <c:scaling>
          <c:orientation val="minMax"/>
        </c:scaling>
        <c:delete val="0"/>
        <c:axPos val="l"/>
        <c:majorGridlines>
          <c:spPr>
            <a:ln>
              <a:solidFill>
                <a:schemeClr val="tx1">
                  <a:alpha val="50000"/>
                </a:schemeClr>
              </a:solidFill>
              <a:prstDash val="sysDash"/>
            </a:ln>
          </c:spPr>
        </c:majorGridlines>
        <c:numFmt formatCode="General" sourceLinked="1"/>
        <c:majorTickMark val="out"/>
        <c:minorTickMark val="none"/>
        <c:tickLblPos val="nextTo"/>
        <c:crossAx val="-1194829344"/>
        <c:crosses val="autoZero"/>
        <c:crossBetween val="between"/>
      </c:valAx>
    </c:plotArea>
    <c:legend>
      <c:legendPos val="r"/>
      <c:layout>
        <c:manualLayout>
          <c:xMode val="edge"/>
          <c:yMode val="edge"/>
          <c:x val="3.5612568057092037E-2"/>
          <c:y val="0.89215265567532209"/>
          <c:w val="0.89000726665365171"/>
          <c:h val="0.10784734432467787"/>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09490-656E-4341-AA02-177684F9A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11016</Words>
  <Characters>59490</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Barbosa</dc:creator>
  <cp:lastModifiedBy>João Victor</cp:lastModifiedBy>
  <cp:revision>4</cp:revision>
  <cp:lastPrinted>2016-12-16T17:42:00Z</cp:lastPrinted>
  <dcterms:created xsi:type="dcterms:W3CDTF">2018-02-17T22:57:00Z</dcterms:created>
  <dcterms:modified xsi:type="dcterms:W3CDTF">2018-02-17T23:06:00Z</dcterms:modified>
</cp:coreProperties>
</file>