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270" w:rsidRPr="00AD0270" w:rsidRDefault="00AD0270" w:rsidP="00AD0270">
      <w:pPr>
        <w:autoSpaceDE w:val="0"/>
        <w:autoSpaceDN w:val="0"/>
        <w:adjustRightInd w:val="0"/>
        <w:spacing w:line="360" w:lineRule="auto"/>
        <w:jc w:val="center"/>
        <w:rPr>
          <w:b/>
          <w:bCs/>
          <w:sz w:val="28"/>
          <w:szCs w:val="28"/>
        </w:rPr>
      </w:pPr>
      <w:r w:rsidRPr="00AD0270">
        <w:rPr>
          <w:b/>
          <w:bCs/>
          <w:sz w:val="28"/>
          <w:szCs w:val="28"/>
        </w:rPr>
        <w:t>Spillovers de volatilidades cambiais e efeito lead-lag no mercado acion</w:t>
      </w:r>
      <w:r>
        <w:rPr>
          <w:b/>
          <w:bCs/>
          <w:sz w:val="28"/>
          <w:szCs w:val="28"/>
        </w:rPr>
        <w:t>á</w:t>
      </w:r>
      <w:r w:rsidRPr="00AD0270">
        <w:rPr>
          <w:b/>
          <w:bCs/>
          <w:sz w:val="28"/>
          <w:szCs w:val="28"/>
        </w:rPr>
        <w:t>rio brasileiro.</w:t>
      </w:r>
    </w:p>
    <w:p w:rsidR="004E2A7C" w:rsidRPr="00AD0270" w:rsidRDefault="00655C76" w:rsidP="00655C76">
      <w:pPr>
        <w:pStyle w:val="NormalWeb"/>
        <w:spacing w:before="0" w:beforeAutospacing="0" w:after="0" w:afterAutospacing="0" w:line="360" w:lineRule="auto"/>
        <w:jc w:val="right"/>
      </w:pPr>
      <w:r w:rsidRPr="00AD0270">
        <w:rPr>
          <w:rFonts w:eastAsia="Calibri"/>
          <w:color w:val="auto"/>
        </w:rPr>
        <w:t xml:space="preserve"> </w:t>
      </w:r>
    </w:p>
    <w:p w:rsidR="006635BF" w:rsidRPr="00B74303" w:rsidRDefault="00186634" w:rsidP="004E2A8D">
      <w:pPr>
        <w:pStyle w:val="NormalWeb"/>
        <w:spacing w:before="0" w:beforeAutospacing="0" w:after="0" w:afterAutospacing="0" w:line="360" w:lineRule="auto"/>
        <w:jc w:val="right"/>
      </w:pPr>
      <w:r w:rsidRPr="00B74303">
        <w:t>André N</w:t>
      </w:r>
      <w:r w:rsidR="00AD0270" w:rsidRPr="00B74303">
        <w:t>unes</w:t>
      </w:r>
      <w:r w:rsidRPr="00B74303">
        <w:t xml:space="preserve"> Maranhão</w:t>
      </w:r>
      <w:r w:rsidRPr="00B74303">
        <w:rPr>
          <w:b/>
          <w:bCs/>
          <w:vertAlign w:val="superscript"/>
        </w:rPr>
        <w:t xml:space="preserve"> </w:t>
      </w:r>
      <w:r w:rsidR="00BC189B" w:rsidRPr="00B74303">
        <w:rPr>
          <w:rStyle w:val="Refdenotaderodap"/>
          <w:bCs/>
          <w:i/>
        </w:rPr>
        <w:footnoteReference w:customMarkFollows="1" w:id="1"/>
        <w:t>a</w:t>
      </w:r>
    </w:p>
    <w:p w:rsidR="00186634" w:rsidRPr="00B74303" w:rsidRDefault="00AD0270" w:rsidP="004E2A8D">
      <w:pPr>
        <w:pStyle w:val="NormalWeb"/>
        <w:spacing w:before="0" w:beforeAutospacing="0" w:after="0" w:afterAutospacing="0" w:line="360" w:lineRule="auto"/>
        <w:jc w:val="right"/>
      </w:pPr>
      <w:r w:rsidRPr="00B74303">
        <w:t>Wendy Sidon Meira de Oliveira</w:t>
      </w:r>
      <w:r w:rsidR="006960CE">
        <w:t xml:space="preserve"> </w:t>
      </w:r>
      <w:r w:rsidR="00BC189B" w:rsidRPr="00B74303">
        <w:rPr>
          <w:rStyle w:val="Refdenotaderodap"/>
          <w:i/>
        </w:rPr>
        <w:footnoteReference w:customMarkFollows="1" w:id="2"/>
        <w:t>b</w:t>
      </w:r>
    </w:p>
    <w:p w:rsidR="00930866" w:rsidRPr="00B74303" w:rsidRDefault="00930866" w:rsidP="003B6F82">
      <w:pPr>
        <w:pStyle w:val="Ttulo7"/>
        <w:tabs>
          <w:tab w:val="left" w:pos="1985"/>
        </w:tabs>
        <w:spacing w:before="0" w:after="0" w:line="276" w:lineRule="auto"/>
        <w:rPr>
          <w:rFonts w:ascii="Times New Roman" w:hAnsi="Times New Roman"/>
          <w:b/>
          <w:bCs/>
          <w:i/>
          <w:color w:val="000000"/>
          <w:sz w:val="20"/>
          <w:szCs w:val="20"/>
        </w:rPr>
      </w:pPr>
    </w:p>
    <w:p w:rsidR="00930866" w:rsidRPr="00F316A9" w:rsidRDefault="00930866" w:rsidP="003B6F82">
      <w:pPr>
        <w:pStyle w:val="Ttulo7"/>
        <w:tabs>
          <w:tab w:val="left" w:pos="1985"/>
        </w:tabs>
        <w:spacing w:before="0" w:after="0" w:line="276" w:lineRule="auto"/>
        <w:rPr>
          <w:rFonts w:ascii="Times New Roman" w:hAnsi="Times New Roman"/>
          <w:b/>
          <w:bCs/>
          <w:i/>
          <w:color w:val="000000"/>
          <w:sz w:val="20"/>
          <w:szCs w:val="20"/>
        </w:rPr>
      </w:pPr>
    </w:p>
    <w:p w:rsidR="008807F5" w:rsidRDefault="006635BF" w:rsidP="003B6F82">
      <w:pPr>
        <w:pStyle w:val="Ttulo7"/>
        <w:tabs>
          <w:tab w:val="left" w:pos="1985"/>
        </w:tabs>
        <w:spacing w:before="0" w:after="0" w:line="276" w:lineRule="auto"/>
        <w:rPr>
          <w:rFonts w:ascii="Times New Roman" w:hAnsi="Times New Roman"/>
          <w:b/>
          <w:bCs/>
          <w:i/>
          <w:color w:val="000000"/>
          <w:sz w:val="20"/>
          <w:szCs w:val="20"/>
        </w:rPr>
      </w:pPr>
      <w:r w:rsidRPr="007E2014">
        <w:rPr>
          <w:rFonts w:ascii="Times New Roman" w:hAnsi="Times New Roman"/>
          <w:b/>
          <w:bCs/>
          <w:i/>
          <w:color w:val="000000"/>
          <w:sz w:val="20"/>
          <w:szCs w:val="20"/>
        </w:rPr>
        <w:t>Resumo</w:t>
      </w:r>
    </w:p>
    <w:p w:rsidR="007E2014" w:rsidRPr="007E2014" w:rsidRDefault="007E2014" w:rsidP="009B3A82"/>
    <w:p w:rsidR="00BD5207" w:rsidRDefault="006960CE" w:rsidP="005C0DEA">
      <w:pPr>
        <w:pStyle w:val="Ttulo7"/>
        <w:tabs>
          <w:tab w:val="left" w:pos="1985"/>
        </w:tabs>
        <w:jc w:val="both"/>
        <w:rPr>
          <w:rFonts w:ascii="Times New Roman" w:hAnsi="Times New Roman"/>
          <w:bCs/>
          <w:i/>
          <w:color w:val="000000"/>
          <w:sz w:val="20"/>
          <w:szCs w:val="20"/>
        </w:rPr>
      </w:pPr>
      <w:r w:rsidRPr="006960CE">
        <w:rPr>
          <w:rFonts w:ascii="Times New Roman" w:hAnsi="Times New Roman"/>
          <w:bCs/>
          <w:i/>
          <w:color w:val="000000"/>
          <w:sz w:val="20"/>
          <w:szCs w:val="20"/>
        </w:rPr>
        <w:t>Uma compreensão da volatilidade nos mercados de ações e/ou no mercado cambial é importante</w:t>
      </w:r>
      <w:r w:rsidR="005C0DEA">
        <w:rPr>
          <w:rFonts w:ascii="Times New Roman" w:hAnsi="Times New Roman"/>
          <w:bCs/>
          <w:i/>
          <w:color w:val="000000"/>
          <w:sz w:val="20"/>
          <w:szCs w:val="20"/>
        </w:rPr>
        <w:t xml:space="preserve"> p</w:t>
      </w:r>
      <w:r w:rsidRPr="006960CE">
        <w:rPr>
          <w:rFonts w:ascii="Times New Roman" w:hAnsi="Times New Roman"/>
          <w:bCs/>
          <w:i/>
          <w:color w:val="000000"/>
          <w:sz w:val="20"/>
          <w:szCs w:val="20"/>
        </w:rPr>
        <w:t>ara determinar o custo de o capital e para avaliar as decisões de investimento e de alavancagem, especialmente</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porque a volatilidade, sob algumas condições específicas é um sinônimo de risco. Utilizando dados</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diários de retornos de 2007 a 2016, apresentamos nesse estudo os resultados de transbordamento de volatilidades</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no mercado acionário brasileiro, medido por meio de correlações condicionais. Utilizando modelos</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GARCH multivariados foram estimadas as correlações condicionais em 3 diferentes modelos combinando a</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volatilidade do índice Ibovespa com um dos três tipos de choques cambiais: a volatilidade do Dólar, a volatilidade</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representativa obtida via Análise de Componentes Principais de 48 taxas de câmbio, e essa mesma</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volatilidade com 47 taxas de câmbio excluindo-se o Dólar. A existência e direção dos transbordamentos</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de volatilidade de choques cambias e o índice Ibovespa foram testadas por meio de testes de causalidade</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 xml:space="preserve">de Granger de segunda ordem </w:t>
      </w:r>
      <w:r w:rsidR="005C0DEA" w:rsidRPr="006960CE">
        <w:rPr>
          <w:rFonts w:ascii="Times New Roman" w:hAnsi="Times New Roman"/>
          <w:bCs/>
          <w:i/>
          <w:color w:val="000000"/>
          <w:sz w:val="20"/>
          <w:szCs w:val="20"/>
        </w:rPr>
        <w:t>identificando, portanto,</w:t>
      </w:r>
      <w:r w:rsidRPr="006960CE">
        <w:rPr>
          <w:rFonts w:ascii="Times New Roman" w:hAnsi="Times New Roman"/>
          <w:bCs/>
          <w:i/>
          <w:color w:val="000000"/>
          <w:sz w:val="20"/>
          <w:szCs w:val="20"/>
        </w:rPr>
        <w:t xml:space="preserve"> efeitos Lead-Lag entre o mercado cambial e mercado</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financeiro brasileiro. Os resultados comprovam a existência de transbordamentos de choques cambiais para</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o índice Ibovespa, sendo que essas correlações apresentam dinâmica temporal, com efeitos Lead-Lag sempre</w:t>
      </w:r>
      <w:r w:rsidR="005C0DEA">
        <w:rPr>
          <w:rFonts w:ascii="Times New Roman" w:hAnsi="Times New Roman"/>
          <w:bCs/>
          <w:i/>
          <w:color w:val="000000"/>
          <w:sz w:val="20"/>
          <w:szCs w:val="20"/>
        </w:rPr>
        <w:t xml:space="preserve"> </w:t>
      </w:r>
      <w:r w:rsidRPr="006960CE">
        <w:rPr>
          <w:rFonts w:ascii="Times New Roman" w:hAnsi="Times New Roman"/>
          <w:bCs/>
          <w:i/>
          <w:color w:val="000000"/>
          <w:sz w:val="20"/>
          <w:szCs w:val="20"/>
        </w:rPr>
        <w:t>na direção dos choques para o índice Ibovespa.</w:t>
      </w:r>
    </w:p>
    <w:p w:rsidR="00BD5207" w:rsidRDefault="00BD5207" w:rsidP="009B3A82">
      <w:pPr>
        <w:pStyle w:val="Ttulo7"/>
        <w:tabs>
          <w:tab w:val="left" w:pos="1985"/>
        </w:tabs>
        <w:spacing w:before="0" w:after="0"/>
        <w:jc w:val="both"/>
        <w:rPr>
          <w:rFonts w:ascii="Times New Roman" w:hAnsi="Times New Roman"/>
          <w:bCs/>
          <w:i/>
          <w:color w:val="000000"/>
          <w:sz w:val="20"/>
          <w:szCs w:val="20"/>
        </w:rPr>
      </w:pPr>
    </w:p>
    <w:p w:rsidR="008A008A" w:rsidRPr="007E2014" w:rsidRDefault="008A008A" w:rsidP="009B3A82">
      <w:pPr>
        <w:pStyle w:val="Corpodetexto2"/>
        <w:tabs>
          <w:tab w:val="left" w:pos="1985"/>
        </w:tabs>
        <w:spacing w:after="0" w:line="276" w:lineRule="auto"/>
        <w:ind w:right="-3" w:firstLine="708"/>
        <w:jc w:val="both"/>
        <w:rPr>
          <w:i/>
          <w:color w:val="FF0000"/>
          <w:sz w:val="20"/>
          <w:szCs w:val="20"/>
        </w:rPr>
      </w:pPr>
    </w:p>
    <w:p w:rsidR="009B3A82" w:rsidRDefault="009B3A82" w:rsidP="008A008A">
      <w:pPr>
        <w:widowControl w:val="0"/>
        <w:tabs>
          <w:tab w:val="left" w:pos="1985"/>
        </w:tabs>
        <w:autoSpaceDE w:val="0"/>
        <w:autoSpaceDN w:val="0"/>
        <w:adjustRightInd w:val="0"/>
        <w:spacing w:line="360" w:lineRule="auto"/>
        <w:jc w:val="both"/>
        <w:rPr>
          <w:b/>
          <w:bCs/>
          <w:color w:val="000000"/>
          <w:sz w:val="20"/>
          <w:szCs w:val="20"/>
        </w:rPr>
      </w:pPr>
      <w:r>
        <w:rPr>
          <w:b/>
          <w:bCs/>
          <w:color w:val="000000"/>
          <w:sz w:val="20"/>
          <w:szCs w:val="20"/>
        </w:rPr>
        <w:t xml:space="preserve">JEL: </w:t>
      </w:r>
      <w:r w:rsidRPr="009B3A82">
        <w:rPr>
          <w:color w:val="000000"/>
          <w:sz w:val="20"/>
          <w:szCs w:val="20"/>
        </w:rPr>
        <w:t>C</w:t>
      </w:r>
      <w:r w:rsidR="005C0DEA">
        <w:rPr>
          <w:color w:val="000000"/>
          <w:sz w:val="20"/>
          <w:szCs w:val="20"/>
        </w:rPr>
        <w:t>58</w:t>
      </w:r>
      <w:r w:rsidRPr="009B3A82">
        <w:rPr>
          <w:color w:val="000000"/>
          <w:sz w:val="20"/>
          <w:szCs w:val="20"/>
        </w:rPr>
        <w:t>,</w:t>
      </w:r>
      <w:r w:rsidR="008A008A">
        <w:rPr>
          <w:color w:val="000000"/>
          <w:sz w:val="20"/>
          <w:szCs w:val="20"/>
        </w:rPr>
        <w:t xml:space="preserve"> </w:t>
      </w:r>
      <w:r w:rsidR="005C0DEA">
        <w:rPr>
          <w:color w:val="000000"/>
          <w:sz w:val="20"/>
          <w:szCs w:val="20"/>
        </w:rPr>
        <w:t>G</w:t>
      </w:r>
      <w:r w:rsidR="00836D4D">
        <w:rPr>
          <w:color w:val="000000"/>
          <w:sz w:val="20"/>
          <w:szCs w:val="20"/>
        </w:rPr>
        <w:t>15</w:t>
      </w:r>
      <w:r w:rsidRPr="009B3A82">
        <w:rPr>
          <w:color w:val="000000"/>
          <w:sz w:val="20"/>
          <w:szCs w:val="20"/>
        </w:rPr>
        <w:t xml:space="preserve">, </w:t>
      </w:r>
      <w:r w:rsidR="00836D4D">
        <w:rPr>
          <w:color w:val="000000"/>
          <w:sz w:val="20"/>
          <w:szCs w:val="20"/>
        </w:rPr>
        <w:t>G1</w:t>
      </w:r>
      <w:r w:rsidRPr="009B3A82">
        <w:rPr>
          <w:color w:val="000000"/>
          <w:sz w:val="20"/>
          <w:szCs w:val="20"/>
        </w:rPr>
        <w:t>7</w:t>
      </w:r>
    </w:p>
    <w:p w:rsidR="005C0DEA" w:rsidRPr="005C0DEA" w:rsidRDefault="006635BF" w:rsidP="005C0DEA">
      <w:pPr>
        <w:widowControl w:val="0"/>
        <w:tabs>
          <w:tab w:val="left" w:pos="1985"/>
        </w:tabs>
        <w:autoSpaceDE w:val="0"/>
        <w:autoSpaceDN w:val="0"/>
        <w:adjustRightInd w:val="0"/>
        <w:spacing w:line="360" w:lineRule="auto"/>
        <w:jc w:val="both"/>
        <w:rPr>
          <w:color w:val="000000"/>
          <w:sz w:val="20"/>
          <w:szCs w:val="20"/>
        </w:rPr>
      </w:pPr>
      <w:r w:rsidRPr="00AC57B8">
        <w:rPr>
          <w:b/>
          <w:bCs/>
          <w:color w:val="000000"/>
          <w:sz w:val="20"/>
          <w:szCs w:val="20"/>
        </w:rPr>
        <w:t>Palavras-Chave:</w:t>
      </w:r>
      <w:r w:rsidRPr="00AC57B8">
        <w:rPr>
          <w:color w:val="000000"/>
          <w:sz w:val="20"/>
          <w:szCs w:val="20"/>
        </w:rPr>
        <w:t xml:space="preserve"> </w:t>
      </w:r>
      <w:r w:rsidR="005C0DEA" w:rsidRPr="005C0DEA">
        <w:rPr>
          <w:color w:val="000000"/>
          <w:sz w:val="20"/>
          <w:szCs w:val="20"/>
        </w:rPr>
        <w:t>GARCH Multivariado</w:t>
      </w:r>
      <w:r w:rsidR="00836D4D">
        <w:rPr>
          <w:color w:val="000000"/>
          <w:sz w:val="20"/>
          <w:szCs w:val="20"/>
        </w:rPr>
        <w:t>;</w:t>
      </w:r>
      <w:r w:rsidR="005C0DEA" w:rsidRPr="005C0DEA">
        <w:rPr>
          <w:color w:val="000000"/>
          <w:sz w:val="20"/>
          <w:szCs w:val="20"/>
        </w:rPr>
        <w:t xml:space="preserve"> Causalidade de Granger de Segunda Ordem</w:t>
      </w:r>
      <w:r w:rsidR="00836D4D">
        <w:rPr>
          <w:color w:val="000000"/>
          <w:sz w:val="20"/>
          <w:szCs w:val="20"/>
        </w:rPr>
        <w:t>; Spillover de volatilidade;</w:t>
      </w:r>
    </w:p>
    <w:p w:rsidR="006635BF" w:rsidRPr="00AC57B8" w:rsidRDefault="005C0DEA" w:rsidP="005C0DEA">
      <w:pPr>
        <w:widowControl w:val="0"/>
        <w:tabs>
          <w:tab w:val="left" w:pos="1985"/>
        </w:tabs>
        <w:autoSpaceDE w:val="0"/>
        <w:autoSpaceDN w:val="0"/>
        <w:adjustRightInd w:val="0"/>
        <w:spacing w:line="360" w:lineRule="auto"/>
        <w:jc w:val="both"/>
        <w:rPr>
          <w:color w:val="000000"/>
          <w:sz w:val="20"/>
          <w:szCs w:val="20"/>
        </w:rPr>
      </w:pPr>
      <w:r w:rsidRPr="005C0DEA">
        <w:rPr>
          <w:color w:val="000000"/>
          <w:sz w:val="20"/>
          <w:szCs w:val="20"/>
        </w:rPr>
        <w:t>Choques Cambiais</w:t>
      </w:r>
      <w:r w:rsidR="00836D4D">
        <w:rPr>
          <w:color w:val="000000"/>
          <w:sz w:val="20"/>
          <w:szCs w:val="20"/>
        </w:rPr>
        <w:t>;</w:t>
      </w:r>
      <w:r w:rsidRPr="005C0DEA">
        <w:rPr>
          <w:color w:val="000000"/>
          <w:sz w:val="20"/>
          <w:szCs w:val="20"/>
        </w:rPr>
        <w:t xml:space="preserve"> Efeitos Lead-Lag</w:t>
      </w:r>
      <w:r>
        <w:rPr>
          <w:color w:val="000000"/>
          <w:sz w:val="20"/>
          <w:szCs w:val="20"/>
        </w:rPr>
        <w:t>.</w:t>
      </w:r>
    </w:p>
    <w:p w:rsidR="006635BF" w:rsidRPr="00AC57B8" w:rsidRDefault="006635BF" w:rsidP="008A008A">
      <w:pPr>
        <w:tabs>
          <w:tab w:val="left" w:pos="1985"/>
        </w:tabs>
        <w:autoSpaceDE w:val="0"/>
        <w:autoSpaceDN w:val="0"/>
        <w:adjustRightInd w:val="0"/>
        <w:spacing w:line="360" w:lineRule="auto"/>
        <w:jc w:val="both"/>
        <w:rPr>
          <w:b/>
          <w:bCs/>
          <w:color w:val="000000"/>
          <w:sz w:val="20"/>
          <w:szCs w:val="20"/>
        </w:rPr>
      </w:pPr>
    </w:p>
    <w:p w:rsidR="00C6278A" w:rsidRDefault="006960CE" w:rsidP="006960CE">
      <w:pPr>
        <w:pStyle w:val="Ttulo7"/>
        <w:tabs>
          <w:tab w:val="center" w:pos="4819"/>
        </w:tabs>
        <w:spacing w:before="0" w:after="0"/>
        <w:rPr>
          <w:rFonts w:ascii="Times New Roman" w:hAnsi="Times New Roman"/>
          <w:b/>
          <w:bCs/>
          <w:i/>
          <w:color w:val="000000"/>
          <w:sz w:val="20"/>
          <w:szCs w:val="20"/>
          <w:lang w:val="en-US"/>
        </w:rPr>
      </w:pPr>
      <w:r w:rsidRPr="00282F1B">
        <w:rPr>
          <w:rFonts w:ascii="Times New Roman" w:hAnsi="Times New Roman"/>
          <w:b/>
          <w:bCs/>
          <w:i/>
          <w:color w:val="000000"/>
          <w:sz w:val="20"/>
          <w:szCs w:val="20"/>
          <w:lang w:val="en-US"/>
        </w:rPr>
        <w:t>Abstract</w:t>
      </w:r>
    </w:p>
    <w:p w:rsidR="006960CE" w:rsidRPr="00282F1B" w:rsidRDefault="006960CE" w:rsidP="006960CE">
      <w:pPr>
        <w:pStyle w:val="Ttulo7"/>
        <w:tabs>
          <w:tab w:val="center" w:pos="4819"/>
        </w:tabs>
        <w:spacing w:before="0" w:after="0"/>
        <w:rPr>
          <w:rFonts w:ascii="Times New Roman" w:hAnsi="Times New Roman"/>
          <w:b/>
          <w:bCs/>
          <w:i/>
          <w:color w:val="000000"/>
          <w:sz w:val="20"/>
          <w:szCs w:val="20"/>
          <w:lang w:val="en-US"/>
        </w:rPr>
      </w:pPr>
      <w:r w:rsidRPr="00282F1B">
        <w:rPr>
          <w:rFonts w:ascii="Times New Roman" w:hAnsi="Times New Roman"/>
          <w:b/>
          <w:bCs/>
          <w:i/>
          <w:color w:val="000000"/>
          <w:sz w:val="20"/>
          <w:szCs w:val="20"/>
          <w:lang w:val="en-US"/>
        </w:rPr>
        <w:tab/>
      </w:r>
    </w:p>
    <w:p w:rsidR="006960CE" w:rsidRPr="001E4D61" w:rsidRDefault="00836D4D" w:rsidP="00C6278A">
      <w:pPr>
        <w:widowControl w:val="0"/>
        <w:jc w:val="both"/>
        <w:rPr>
          <w:bCs/>
          <w:i/>
          <w:color w:val="FF0000"/>
          <w:sz w:val="20"/>
          <w:szCs w:val="20"/>
          <w:lang w:val="en-US"/>
        </w:rPr>
      </w:pPr>
      <w:r w:rsidRPr="00C6278A">
        <w:rPr>
          <w:bCs/>
          <w:i/>
          <w:sz w:val="20"/>
          <w:szCs w:val="20"/>
          <w:lang w:val="en-US"/>
        </w:rPr>
        <w:t xml:space="preserve">An understanding of the volatility in the stock and / or foreign exchange markets is important to determine the cost of capital and to evaluate investment decisions and leverage, especially since volatility is a risk synonymous in some especial conditions. Using daily data returns from 2007 to 2016, we present in this study the results of volatility spillover in the Brazilian stock market, measured by conditional correlations. Using GARCH multivariate conditional correlations were estimated at 3 </w:t>
      </w:r>
      <w:proofErr w:type="spellStart"/>
      <w:r w:rsidRPr="00C6278A">
        <w:rPr>
          <w:bCs/>
          <w:i/>
          <w:sz w:val="20"/>
          <w:szCs w:val="20"/>
          <w:lang w:val="en-US"/>
        </w:rPr>
        <w:t>diferent</w:t>
      </w:r>
      <w:proofErr w:type="spellEnd"/>
      <w:r w:rsidRPr="00C6278A">
        <w:rPr>
          <w:bCs/>
          <w:i/>
          <w:sz w:val="20"/>
          <w:szCs w:val="20"/>
          <w:lang w:val="en-US"/>
        </w:rPr>
        <w:t xml:space="preserve"> models combining the volatility of the </w:t>
      </w:r>
      <w:proofErr w:type="spellStart"/>
      <w:r w:rsidRPr="00C6278A">
        <w:rPr>
          <w:bCs/>
          <w:i/>
          <w:sz w:val="20"/>
          <w:szCs w:val="20"/>
          <w:lang w:val="en-US"/>
        </w:rPr>
        <w:t>Ibovespa</w:t>
      </w:r>
      <w:proofErr w:type="spellEnd"/>
      <w:r w:rsidRPr="00C6278A">
        <w:rPr>
          <w:bCs/>
          <w:i/>
          <w:sz w:val="20"/>
          <w:szCs w:val="20"/>
          <w:lang w:val="en-US"/>
        </w:rPr>
        <w:t xml:space="preserve"> index of the three types of exchange rate shocks: the volatility of the dollar, the representative volatility obtained via Principal Component Analysis of 48 exchange rates, and this same volatility 47 exchange rates excluding the dollar. The existence and direction of volatility spillovers from forward exchange shocks and the </w:t>
      </w:r>
      <w:proofErr w:type="spellStart"/>
      <w:r w:rsidRPr="00C6278A">
        <w:rPr>
          <w:bCs/>
          <w:i/>
          <w:sz w:val="20"/>
          <w:szCs w:val="20"/>
          <w:lang w:val="en-US"/>
        </w:rPr>
        <w:t>Ibovespa</w:t>
      </w:r>
      <w:proofErr w:type="spellEnd"/>
      <w:r w:rsidRPr="00C6278A">
        <w:rPr>
          <w:bCs/>
          <w:i/>
          <w:sz w:val="20"/>
          <w:szCs w:val="20"/>
          <w:lang w:val="en-US"/>
        </w:rPr>
        <w:t xml:space="preserve"> index were tested using Granger causality tests of the second order</w:t>
      </w:r>
      <w:r w:rsidR="00C6278A">
        <w:rPr>
          <w:bCs/>
          <w:i/>
          <w:sz w:val="20"/>
          <w:szCs w:val="20"/>
          <w:lang w:val="en-US"/>
        </w:rPr>
        <w:t xml:space="preserve"> s</w:t>
      </w:r>
      <w:r w:rsidRPr="00C6278A">
        <w:rPr>
          <w:bCs/>
          <w:i/>
          <w:sz w:val="20"/>
          <w:szCs w:val="20"/>
          <w:lang w:val="en-US"/>
        </w:rPr>
        <w:t>o</w:t>
      </w:r>
      <w:r w:rsidR="00C6278A">
        <w:rPr>
          <w:bCs/>
          <w:i/>
          <w:sz w:val="20"/>
          <w:szCs w:val="20"/>
          <w:lang w:val="en-US"/>
        </w:rPr>
        <w:t xml:space="preserve"> </w:t>
      </w:r>
      <w:r w:rsidRPr="00C6278A">
        <w:rPr>
          <w:bCs/>
          <w:i/>
          <w:sz w:val="20"/>
          <w:szCs w:val="20"/>
          <w:lang w:val="en-US"/>
        </w:rPr>
        <w:t>identifying</w:t>
      </w:r>
      <w:r w:rsidR="00C6278A">
        <w:rPr>
          <w:bCs/>
          <w:i/>
          <w:sz w:val="20"/>
          <w:szCs w:val="20"/>
          <w:lang w:val="en-US"/>
        </w:rPr>
        <w:t xml:space="preserve"> </w:t>
      </w:r>
      <w:r w:rsidRPr="00C6278A">
        <w:rPr>
          <w:bCs/>
          <w:i/>
          <w:sz w:val="20"/>
          <w:szCs w:val="20"/>
          <w:lang w:val="en-US"/>
        </w:rPr>
        <w:t>Lead-lag</w:t>
      </w:r>
      <w:r w:rsidR="00C6278A">
        <w:rPr>
          <w:bCs/>
          <w:i/>
          <w:sz w:val="20"/>
          <w:szCs w:val="20"/>
          <w:lang w:val="en-US"/>
        </w:rPr>
        <w:t xml:space="preserve"> </w:t>
      </w:r>
      <w:r w:rsidRPr="00C6278A">
        <w:rPr>
          <w:bCs/>
          <w:i/>
          <w:sz w:val="20"/>
          <w:szCs w:val="20"/>
          <w:lang w:val="en-US"/>
        </w:rPr>
        <w:t xml:space="preserve">effects between the forex market and the Brazilian financial market. The results show the existence of spillovers of exchange rate shocks to the </w:t>
      </w:r>
      <w:proofErr w:type="spellStart"/>
      <w:r w:rsidRPr="00C6278A">
        <w:rPr>
          <w:bCs/>
          <w:i/>
          <w:sz w:val="20"/>
          <w:szCs w:val="20"/>
          <w:lang w:val="en-US"/>
        </w:rPr>
        <w:t>Ibovespa</w:t>
      </w:r>
      <w:proofErr w:type="spellEnd"/>
      <w:r w:rsidRPr="00C6278A">
        <w:rPr>
          <w:bCs/>
          <w:i/>
          <w:sz w:val="20"/>
          <w:szCs w:val="20"/>
          <w:lang w:val="en-US"/>
        </w:rPr>
        <w:t xml:space="preserve"> index, and these correlations have temporal dynamics with Lead-Lag</w:t>
      </w:r>
      <w:r w:rsidR="00C6278A">
        <w:rPr>
          <w:bCs/>
          <w:i/>
          <w:sz w:val="20"/>
          <w:szCs w:val="20"/>
          <w:lang w:val="en-US"/>
        </w:rPr>
        <w:t xml:space="preserve"> eff</w:t>
      </w:r>
      <w:r w:rsidRPr="00C6278A">
        <w:rPr>
          <w:bCs/>
          <w:i/>
          <w:sz w:val="20"/>
          <w:szCs w:val="20"/>
          <w:lang w:val="en-US"/>
        </w:rPr>
        <w:t xml:space="preserve">ects always in the direction of the shocks to the </w:t>
      </w:r>
      <w:proofErr w:type="spellStart"/>
      <w:r w:rsidRPr="00C6278A">
        <w:rPr>
          <w:bCs/>
          <w:i/>
          <w:sz w:val="20"/>
          <w:szCs w:val="20"/>
          <w:lang w:val="en-US"/>
        </w:rPr>
        <w:t>Ibovespa</w:t>
      </w:r>
      <w:proofErr w:type="spellEnd"/>
      <w:r w:rsidRPr="00C6278A">
        <w:rPr>
          <w:bCs/>
          <w:i/>
          <w:sz w:val="20"/>
          <w:szCs w:val="20"/>
          <w:lang w:val="en-US"/>
        </w:rPr>
        <w:t xml:space="preserve"> index.</w:t>
      </w:r>
      <w:r w:rsidR="006960CE" w:rsidRPr="001E4D61">
        <w:rPr>
          <w:bCs/>
          <w:i/>
          <w:color w:val="FF0000"/>
          <w:sz w:val="20"/>
          <w:szCs w:val="20"/>
          <w:lang w:val="en-US"/>
        </w:rPr>
        <w:t xml:space="preserve"> </w:t>
      </w:r>
    </w:p>
    <w:p w:rsidR="006960CE" w:rsidRPr="00186634" w:rsidRDefault="006960CE" w:rsidP="006960CE">
      <w:pPr>
        <w:pStyle w:val="Ttulo7"/>
        <w:tabs>
          <w:tab w:val="left" w:pos="1985"/>
        </w:tabs>
        <w:spacing w:before="0" w:after="0"/>
        <w:jc w:val="both"/>
        <w:rPr>
          <w:rFonts w:ascii="Times New Roman" w:hAnsi="Times New Roman"/>
          <w:bCs/>
          <w:i/>
          <w:color w:val="000000"/>
          <w:sz w:val="20"/>
          <w:szCs w:val="20"/>
          <w:lang w:val="en-US"/>
        </w:rPr>
      </w:pPr>
    </w:p>
    <w:p w:rsidR="006960CE" w:rsidRPr="00186634" w:rsidRDefault="006960CE" w:rsidP="006960CE">
      <w:pPr>
        <w:autoSpaceDE w:val="0"/>
        <w:autoSpaceDN w:val="0"/>
        <w:adjustRightInd w:val="0"/>
        <w:rPr>
          <w:color w:val="000000"/>
          <w:sz w:val="20"/>
          <w:szCs w:val="20"/>
          <w:lang w:val="en-US"/>
        </w:rPr>
      </w:pPr>
    </w:p>
    <w:p w:rsidR="006960CE" w:rsidRPr="00186634" w:rsidRDefault="006960CE" w:rsidP="006960CE">
      <w:pPr>
        <w:autoSpaceDE w:val="0"/>
        <w:autoSpaceDN w:val="0"/>
        <w:adjustRightInd w:val="0"/>
        <w:spacing w:line="360" w:lineRule="auto"/>
        <w:rPr>
          <w:color w:val="000000"/>
          <w:sz w:val="20"/>
          <w:szCs w:val="20"/>
          <w:lang w:val="en-US"/>
        </w:rPr>
      </w:pPr>
      <w:r w:rsidRPr="00186634">
        <w:rPr>
          <w:b/>
          <w:bCs/>
          <w:color w:val="000000"/>
          <w:sz w:val="20"/>
          <w:szCs w:val="20"/>
          <w:lang w:val="en-US"/>
        </w:rPr>
        <w:t>JEL:</w:t>
      </w:r>
      <w:r w:rsidRPr="00186634">
        <w:rPr>
          <w:color w:val="000000"/>
          <w:sz w:val="20"/>
          <w:szCs w:val="20"/>
          <w:lang w:val="en-US"/>
        </w:rPr>
        <w:t xml:space="preserve"> </w:t>
      </w:r>
      <w:r w:rsidR="00567C7F" w:rsidRPr="00F316A9">
        <w:rPr>
          <w:color w:val="000000"/>
          <w:sz w:val="20"/>
          <w:szCs w:val="20"/>
          <w:lang w:val="en-US"/>
        </w:rPr>
        <w:t>C58, G15, G17</w:t>
      </w:r>
    </w:p>
    <w:p w:rsidR="006960CE" w:rsidRPr="0015681B" w:rsidRDefault="006960CE" w:rsidP="00567C7F">
      <w:pPr>
        <w:spacing w:line="360" w:lineRule="auto"/>
        <w:rPr>
          <w:color w:val="000000"/>
          <w:sz w:val="20"/>
          <w:szCs w:val="20"/>
          <w:lang w:val="en-US"/>
        </w:rPr>
      </w:pPr>
      <w:r w:rsidRPr="0015681B">
        <w:rPr>
          <w:b/>
          <w:bCs/>
          <w:color w:val="000000"/>
          <w:sz w:val="20"/>
          <w:szCs w:val="20"/>
          <w:lang w:val="en-US"/>
        </w:rPr>
        <w:t>Keywords:</w:t>
      </w:r>
      <w:r w:rsidRPr="009B3A82">
        <w:rPr>
          <w:b/>
          <w:bCs/>
          <w:color w:val="000000"/>
          <w:sz w:val="20"/>
          <w:szCs w:val="20"/>
          <w:lang w:val="en-US"/>
        </w:rPr>
        <w:t xml:space="preserve"> </w:t>
      </w:r>
      <w:r w:rsidR="00567C7F" w:rsidRPr="00567C7F">
        <w:rPr>
          <w:color w:val="000000"/>
          <w:sz w:val="20"/>
          <w:szCs w:val="20"/>
          <w:lang w:val="en-US"/>
        </w:rPr>
        <w:t>Multivariate GARCH</w:t>
      </w:r>
      <w:r w:rsidR="00567C7F">
        <w:rPr>
          <w:color w:val="000000"/>
          <w:sz w:val="20"/>
          <w:szCs w:val="20"/>
          <w:lang w:val="en-US"/>
        </w:rPr>
        <w:t>;</w:t>
      </w:r>
      <w:r w:rsidR="00567C7F" w:rsidRPr="00567C7F">
        <w:rPr>
          <w:color w:val="000000"/>
          <w:sz w:val="20"/>
          <w:szCs w:val="20"/>
          <w:lang w:val="en-US"/>
        </w:rPr>
        <w:t xml:space="preserve"> Causality Granger Second Order</w:t>
      </w:r>
      <w:r w:rsidR="00567C7F">
        <w:rPr>
          <w:color w:val="000000"/>
          <w:sz w:val="20"/>
          <w:szCs w:val="20"/>
          <w:lang w:val="en-US"/>
        </w:rPr>
        <w:t>;</w:t>
      </w:r>
      <w:r w:rsidR="00567C7F" w:rsidRPr="00567C7F">
        <w:rPr>
          <w:color w:val="000000"/>
          <w:sz w:val="20"/>
          <w:szCs w:val="20"/>
          <w:lang w:val="en-US"/>
        </w:rPr>
        <w:t xml:space="preserve"> Spillover volatility</w:t>
      </w:r>
      <w:r w:rsidR="00567C7F">
        <w:rPr>
          <w:color w:val="000000"/>
          <w:sz w:val="20"/>
          <w:szCs w:val="20"/>
          <w:lang w:val="en-US"/>
        </w:rPr>
        <w:t>;</w:t>
      </w:r>
      <w:r w:rsidR="00567C7F" w:rsidRPr="00567C7F">
        <w:rPr>
          <w:color w:val="000000"/>
          <w:sz w:val="20"/>
          <w:szCs w:val="20"/>
          <w:lang w:val="en-US"/>
        </w:rPr>
        <w:t xml:space="preserve"> Shocks Exchange</w:t>
      </w:r>
      <w:r w:rsidR="00567C7F">
        <w:rPr>
          <w:color w:val="000000"/>
          <w:sz w:val="20"/>
          <w:szCs w:val="20"/>
          <w:lang w:val="en-US"/>
        </w:rPr>
        <w:t xml:space="preserve">; </w:t>
      </w:r>
      <w:r w:rsidR="00567C7F" w:rsidRPr="00567C7F">
        <w:rPr>
          <w:color w:val="000000"/>
          <w:sz w:val="20"/>
          <w:szCs w:val="20"/>
          <w:lang w:val="en-US"/>
        </w:rPr>
        <w:t>Lead-Lag</w:t>
      </w:r>
      <w:r w:rsidR="00567C7F">
        <w:rPr>
          <w:color w:val="000000"/>
          <w:sz w:val="20"/>
          <w:szCs w:val="20"/>
          <w:lang w:val="en-US"/>
        </w:rPr>
        <w:t>.</w:t>
      </w:r>
      <w:r w:rsidR="00567C7F" w:rsidRPr="00567C7F">
        <w:rPr>
          <w:color w:val="000000"/>
          <w:sz w:val="20"/>
          <w:szCs w:val="20"/>
          <w:lang w:val="en-US"/>
        </w:rPr>
        <w:t xml:space="preserve"> </w:t>
      </w:r>
      <w:r w:rsidR="00567C7F" w:rsidRPr="00567C7F">
        <w:rPr>
          <w:color w:val="000000"/>
          <w:sz w:val="20"/>
          <w:szCs w:val="20"/>
          <w:lang w:val="en-US"/>
        </w:rPr>
        <w:br/>
      </w:r>
    </w:p>
    <w:p w:rsidR="004E2C5A" w:rsidRPr="006960CE" w:rsidRDefault="004E2C5A" w:rsidP="003456DE">
      <w:pPr>
        <w:pStyle w:val="Corpodetexto3"/>
        <w:spacing w:after="0"/>
        <w:jc w:val="center"/>
        <w:rPr>
          <w:b/>
          <w:sz w:val="24"/>
          <w:lang w:val="en-US"/>
        </w:rPr>
      </w:pPr>
    </w:p>
    <w:p w:rsidR="001A577C" w:rsidRPr="00D26DE8" w:rsidRDefault="001A577C" w:rsidP="003456DE">
      <w:pPr>
        <w:numPr>
          <w:ilvl w:val="0"/>
          <w:numId w:val="5"/>
        </w:numPr>
        <w:jc w:val="both"/>
        <w:rPr>
          <w:b/>
        </w:rPr>
      </w:pPr>
      <w:r w:rsidRPr="00D26DE8">
        <w:rPr>
          <w:b/>
        </w:rPr>
        <w:lastRenderedPageBreak/>
        <w:t>Intro</w:t>
      </w:r>
      <w:r w:rsidR="00C9537E">
        <w:rPr>
          <w:b/>
        </w:rPr>
        <w:t>dução</w:t>
      </w:r>
    </w:p>
    <w:p w:rsidR="001A577C" w:rsidRPr="00E30D66" w:rsidRDefault="001A577C" w:rsidP="003456DE">
      <w:pPr>
        <w:jc w:val="both"/>
        <w:rPr>
          <w:b/>
        </w:rPr>
      </w:pPr>
    </w:p>
    <w:p w:rsidR="00C9537E" w:rsidRPr="00C9537E" w:rsidRDefault="0048757E" w:rsidP="00C9537E">
      <w:pPr>
        <w:tabs>
          <w:tab w:val="left" w:pos="851"/>
        </w:tabs>
        <w:spacing w:line="360" w:lineRule="auto"/>
        <w:jc w:val="both"/>
        <w:rPr>
          <w:color w:val="000000"/>
        </w:rPr>
      </w:pPr>
      <w:r w:rsidRPr="00C9537E">
        <w:rPr>
          <w:color w:val="000000"/>
        </w:rPr>
        <w:tab/>
      </w:r>
      <w:r w:rsidR="00C9537E" w:rsidRPr="00C9537E">
        <w:rPr>
          <w:color w:val="000000"/>
        </w:rPr>
        <w:t>A relação entre preços de ações e taxas de câmbio em seus estudos pioneiros importaram-se com</w:t>
      </w:r>
      <w:r w:rsidR="00C9537E">
        <w:rPr>
          <w:color w:val="000000"/>
        </w:rPr>
        <w:t xml:space="preserve"> </w:t>
      </w:r>
      <w:r w:rsidR="00C9537E" w:rsidRPr="00C9537E">
        <w:rPr>
          <w:color w:val="000000"/>
        </w:rPr>
        <w:t>as variações em nível como</w:t>
      </w:r>
      <w:proofErr w:type="gramStart"/>
      <w:r w:rsidR="00C9537E" w:rsidRPr="00C9537E">
        <w:rPr>
          <w:color w:val="000000"/>
        </w:rPr>
        <w:t xml:space="preserve"> por exemplo</w:t>
      </w:r>
      <w:proofErr w:type="gramEnd"/>
      <w:r w:rsidR="00C9537E" w:rsidRPr="00C9537E">
        <w:rPr>
          <w:color w:val="000000"/>
        </w:rPr>
        <w:t xml:space="preserve"> o estudo de Phylaktis e Ravazzolo (2005), o qual a partir</w:t>
      </w:r>
      <w:r w:rsidR="00C9537E">
        <w:rPr>
          <w:color w:val="000000"/>
        </w:rPr>
        <w:t xml:space="preserve"> </w:t>
      </w:r>
      <w:r w:rsidR="00C9537E" w:rsidRPr="00C9537E">
        <w:rPr>
          <w:color w:val="000000"/>
        </w:rPr>
        <w:t>da aplicação da metodologia de cointegração e teste multivariado de causalidade de Granger a um</w:t>
      </w:r>
      <w:r w:rsidR="00C9537E">
        <w:rPr>
          <w:color w:val="000000"/>
        </w:rPr>
        <w:t xml:space="preserve"> </w:t>
      </w:r>
      <w:r w:rsidR="00C9537E" w:rsidRPr="00C9537E">
        <w:rPr>
          <w:color w:val="000000"/>
        </w:rPr>
        <w:t>grupo de países da Bacia do Pacífico, que os mercados de ações e de câmbio estão positivamente</w:t>
      </w:r>
      <w:r w:rsidR="00610FA3">
        <w:rPr>
          <w:color w:val="000000"/>
        </w:rPr>
        <w:t xml:space="preserve"> </w:t>
      </w:r>
      <w:r w:rsidR="00C9537E" w:rsidRPr="00C9537E">
        <w:rPr>
          <w:color w:val="000000"/>
        </w:rPr>
        <w:t>relacionadas. Esses estudos evoluíram para tratar a volatilidade dos preços de ações e da taxa de</w:t>
      </w:r>
      <w:r w:rsidR="00C9537E">
        <w:rPr>
          <w:color w:val="000000"/>
        </w:rPr>
        <w:t xml:space="preserve"> </w:t>
      </w:r>
      <w:r w:rsidR="00C9537E" w:rsidRPr="00C9537E">
        <w:rPr>
          <w:color w:val="000000"/>
        </w:rPr>
        <w:t>câmbio, investigando, portanto, o transbordamento (</w:t>
      </w:r>
      <w:r w:rsidR="00C9537E" w:rsidRPr="00C9537E">
        <w:rPr>
          <w:i/>
          <w:color w:val="000000"/>
        </w:rPr>
        <w:t>spillover</w:t>
      </w:r>
      <w:r w:rsidR="00C9537E" w:rsidRPr="00C9537E">
        <w:rPr>
          <w:color w:val="000000"/>
        </w:rPr>
        <w:t>) de volatilidade em alguma direção: do</w:t>
      </w:r>
      <w:r w:rsidR="00610FA3">
        <w:rPr>
          <w:color w:val="000000"/>
        </w:rPr>
        <w:t xml:space="preserve"> </w:t>
      </w:r>
      <w:r w:rsidR="00C9537E" w:rsidRPr="00C9537E">
        <w:rPr>
          <w:color w:val="000000"/>
        </w:rPr>
        <w:t>câmbio para ações ou vice-versa. Nesse contexto, muitos modelos e testes passaram a ser implementados</w:t>
      </w:r>
      <w:r w:rsidR="00C9537E">
        <w:rPr>
          <w:color w:val="000000"/>
        </w:rPr>
        <w:t xml:space="preserve"> </w:t>
      </w:r>
      <w:r w:rsidR="00C9537E" w:rsidRPr="00C9537E">
        <w:rPr>
          <w:color w:val="000000"/>
        </w:rPr>
        <w:t>tanto para tratar a questão dessas variáveis em nível quanto em seu segundo momento.</w:t>
      </w:r>
    </w:p>
    <w:p w:rsidR="00AF44A5" w:rsidRPr="00C9537E" w:rsidRDefault="00C9537E" w:rsidP="00C9537E">
      <w:pPr>
        <w:tabs>
          <w:tab w:val="left" w:pos="851"/>
        </w:tabs>
        <w:spacing w:line="360" w:lineRule="auto"/>
        <w:jc w:val="both"/>
        <w:rPr>
          <w:color w:val="000000"/>
        </w:rPr>
      </w:pPr>
      <w:r w:rsidRPr="00C9537E">
        <w:rPr>
          <w:color w:val="000000"/>
        </w:rPr>
        <w:t>Classicamente, para analisar a volatilidade univariada os modelos mais utilizados são VAR, GARCH</w:t>
      </w:r>
      <w:r w:rsidR="00610FA3">
        <w:rPr>
          <w:color w:val="000000"/>
        </w:rPr>
        <w:t xml:space="preserve"> </w:t>
      </w:r>
      <w:r w:rsidRPr="00C9537E">
        <w:rPr>
          <w:color w:val="000000"/>
        </w:rPr>
        <w:t>e suas várias especificações. Os modelos GARCH multivariados, por sua vez, criaram oportunidade</w:t>
      </w:r>
      <w:r w:rsidR="00610FA3">
        <w:rPr>
          <w:color w:val="000000"/>
        </w:rPr>
        <w:t xml:space="preserve"> </w:t>
      </w:r>
      <w:r w:rsidRPr="00C9537E">
        <w:rPr>
          <w:color w:val="000000"/>
        </w:rPr>
        <w:t>de analisar efeitos cruzados de volatilidade (variâncias e correlações condicionais).</w:t>
      </w:r>
      <w:r w:rsidR="00AF44A5" w:rsidRPr="00C9537E">
        <w:rPr>
          <w:color w:val="000000"/>
        </w:rPr>
        <w:t xml:space="preserve"> </w:t>
      </w:r>
    </w:p>
    <w:p w:rsidR="004A3199" w:rsidRPr="00F316A9" w:rsidRDefault="00D45452" w:rsidP="004A3199">
      <w:pPr>
        <w:tabs>
          <w:tab w:val="left" w:pos="851"/>
        </w:tabs>
        <w:spacing w:line="360" w:lineRule="auto"/>
        <w:jc w:val="both"/>
        <w:rPr>
          <w:color w:val="000000"/>
        </w:rPr>
      </w:pPr>
      <w:r w:rsidRPr="00C9537E">
        <w:rPr>
          <w:rFonts w:ascii="Arial" w:hAnsi="Arial" w:cs="Arial"/>
          <w:iCs/>
          <w:noProof/>
          <w:snapToGrid w:val="0"/>
          <w:sz w:val="20"/>
          <w:szCs w:val="20"/>
        </w:rPr>
        <w:tab/>
      </w:r>
      <w:r w:rsidR="004A3199" w:rsidRPr="004A3199">
        <w:rPr>
          <w:color w:val="000000"/>
        </w:rPr>
        <w:t>Grande parte da evidência empírica disponível tratando os mercados de ações e de câmbio tem</w:t>
      </w:r>
      <w:r w:rsidR="004A3199">
        <w:rPr>
          <w:color w:val="000000"/>
        </w:rPr>
        <w:t xml:space="preserve"> </w:t>
      </w:r>
      <w:r w:rsidR="004A3199" w:rsidRPr="004A3199">
        <w:rPr>
          <w:color w:val="000000"/>
        </w:rPr>
        <w:t xml:space="preserve">se concentrado nos primeiros momentos, </w:t>
      </w:r>
      <w:r w:rsidR="00F3208A" w:rsidRPr="004A3199">
        <w:rPr>
          <w:color w:val="000000"/>
        </w:rPr>
        <w:t>ou seja,</w:t>
      </w:r>
      <w:r w:rsidR="004A3199" w:rsidRPr="004A3199">
        <w:rPr>
          <w:color w:val="000000"/>
        </w:rPr>
        <w:t xml:space="preserve"> nos valores médios de preços das ações e cotações</w:t>
      </w:r>
      <w:r w:rsidR="004A3199">
        <w:rPr>
          <w:color w:val="000000"/>
        </w:rPr>
        <w:t xml:space="preserve"> </w:t>
      </w:r>
      <w:r w:rsidR="004A3199" w:rsidRPr="004A3199">
        <w:rPr>
          <w:color w:val="000000"/>
        </w:rPr>
        <w:t>cambiais. Yang e Doong (2004) observam que há uma escassez de evidência empírica que se concentra</w:t>
      </w:r>
      <w:r w:rsidR="004A3199">
        <w:rPr>
          <w:color w:val="000000"/>
        </w:rPr>
        <w:t xml:space="preserve"> </w:t>
      </w:r>
      <w:r w:rsidR="004A3199" w:rsidRPr="004A3199">
        <w:rPr>
          <w:color w:val="000000"/>
        </w:rPr>
        <w:t xml:space="preserve">sobre as ligações entre o segundo momento da distribuição das variáveis, </w:t>
      </w:r>
      <w:r w:rsidR="00F3208A" w:rsidRPr="004A3199">
        <w:rPr>
          <w:color w:val="000000"/>
        </w:rPr>
        <w:t>ou seja,</w:t>
      </w:r>
      <w:r w:rsidR="004A3199" w:rsidRPr="004A3199">
        <w:rPr>
          <w:color w:val="000000"/>
        </w:rPr>
        <w:t xml:space="preserve"> nas volatilidades.</w:t>
      </w:r>
      <w:r w:rsidR="004A3199">
        <w:rPr>
          <w:color w:val="000000"/>
        </w:rPr>
        <w:t xml:space="preserve"> </w:t>
      </w:r>
      <w:r w:rsidR="004A3199" w:rsidRPr="004A3199">
        <w:rPr>
          <w:color w:val="000000"/>
        </w:rPr>
        <w:t xml:space="preserve">Uma série de estudos têm </w:t>
      </w:r>
      <w:r w:rsidR="00F3208A" w:rsidRPr="004A3199">
        <w:rPr>
          <w:color w:val="000000"/>
        </w:rPr>
        <w:t>examinado,</w:t>
      </w:r>
      <w:r w:rsidR="004A3199" w:rsidRPr="004A3199">
        <w:rPr>
          <w:color w:val="000000"/>
        </w:rPr>
        <w:t xml:space="preserve"> no entanto a medida em que a volatilidade de um mercado de</w:t>
      </w:r>
      <w:r w:rsidR="004A3199">
        <w:rPr>
          <w:color w:val="000000"/>
        </w:rPr>
        <w:t xml:space="preserve"> </w:t>
      </w:r>
      <w:r w:rsidR="004A3199" w:rsidRPr="004A3199">
        <w:rPr>
          <w:color w:val="000000"/>
        </w:rPr>
        <w:t xml:space="preserve">ações se espalha para outros mercados de ações, ou entre diferentes ativos. A literatura sobre </w:t>
      </w:r>
      <w:r w:rsidR="00F3208A" w:rsidRPr="00F3208A">
        <w:rPr>
          <w:i/>
          <w:color w:val="000000"/>
        </w:rPr>
        <w:t>s</w:t>
      </w:r>
      <w:r w:rsidR="004A3199" w:rsidRPr="004A3199">
        <w:rPr>
          <w:i/>
          <w:color w:val="000000"/>
        </w:rPr>
        <w:t>pillover</w:t>
      </w:r>
      <w:r w:rsidR="004A3199">
        <w:rPr>
          <w:color w:val="000000"/>
        </w:rPr>
        <w:t xml:space="preserve"> </w:t>
      </w:r>
      <w:r w:rsidR="004A3199" w:rsidRPr="004A3199">
        <w:rPr>
          <w:color w:val="000000"/>
        </w:rPr>
        <w:t>tem crescido em publicações, sua existência tem sido estimada e testada por diferentes métodos, os</w:t>
      </w:r>
      <w:r w:rsidR="004A3199">
        <w:rPr>
          <w:color w:val="000000"/>
        </w:rPr>
        <w:t xml:space="preserve"> </w:t>
      </w:r>
      <w:r w:rsidR="004A3199" w:rsidRPr="004A3199">
        <w:rPr>
          <w:color w:val="000000"/>
        </w:rPr>
        <w:t>resultados abrem margem para uma larga discussão, enquanto Solnik e Roulet (2000) encontraram</w:t>
      </w:r>
      <w:r w:rsidR="004A3199">
        <w:rPr>
          <w:color w:val="000000"/>
        </w:rPr>
        <w:t xml:space="preserve"> </w:t>
      </w:r>
      <w:r w:rsidR="004A3199" w:rsidRPr="004A3199">
        <w:rPr>
          <w:color w:val="000000"/>
        </w:rPr>
        <w:t>significativamente negativa entre a volatilidade do mercado de ações e o mercado de câmbio, Bodart</w:t>
      </w:r>
      <w:r w:rsidR="004A3199">
        <w:rPr>
          <w:color w:val="000000"/>
        </w:rPr>
        <w:t xml:space="preserve"> </w:t>
      </w:r>
      <w:r w:rsidR="004A3199" w:rsidRPr="004A3199">
        <w:rPr>
          <w:color w:val="000000"/>
        </w:rPr>
        <w:t xml:space="preserve">e Reding (1999) não encontraram nenhuma relação entre esses dois mercados. </w:t>
      </w:r>
      <w:r w:rsidR="004A3199" w:rsidRPr="00F316A9">
        <w:rPr>
          <w:color w:val="000000"/>
        </w:rPr>
        <w:t>O estudo pioneiro de Kanas (2000) trouxe novas evidências e novas questões sobre os efeitos de transbordamento de volatilidades.</w:t>
      </w:r>
      <w:r w:rsidRPr="00F316A9">
        <w:rPr>
          <w:color w:val="000000"/>
        </w:rPr>
        <w:t xml:space="preserve"> </w:t>
      </w:r>
    </w:p>
    <w:p w:rsidR="00C1243A" w:rsidRPr="00F316A9" w:rsidRDefault="0036638B" w:rsidP="00990780">
      <w:pPr>
        <w:tabs>
          <w:tab w:val="left" w:pos="851"/>
        </w:tabs>
        <w:spacing w:line="360" w:lineRule="auto"/>
        <w:jc w:val="both"/>
        <w:rPr>
          <w:color w:val="000000"/>
        </w:rPr>
      </w:pPr>
      <w:r w:rsidRPr="00F316A9">
        <w:rPr>
          <w:rFonts w:ascii="Arial" w:hAnsi="Arial" w:cs="Arial"/>
          <w:iCs/>
          <w:snapToGrid w:val="0"/>
          <w:sz w:val="20"/>
          <w:szCs w:val="20"/>
        </w:rPr>
        <w:tab/>
      </w:r>
      <w:r w:rsidR="00990780" w:rsidRPr="00990780">
        <w:rPr>
          <w:color w:val="000000"/>
        </w:rPr>
        <w:t xml:space="preserve">A </w:t>
      </w:r>
      <w:r w:rsidR="00434F4C" w:rsidRPr="00990780">
        <w:rPr>
          <w:color w:val="000000"/>
        </w:rPr>
        <w:t>precedência</w:t>
      </w:r>
      <w:r w:rsidR="00990780" w:rsidRPr="00990780">
        <w:rPr>
          <w:color w:val="000000"/>
        </w:rPr>
        <w:t xml:space="preserve"> estatística dos efeitos de </w:t>
      </w:r>
      <w:r w:rsidR="00990780" w:rsidRPr="00434F4C">
        <w:rPr>
          <w:i/>
          <w:color w:val="000000"/>
        </w:rPr>
        <w:t xml:space="preserve">spillovers </w:t>
      </w:r>
      <w:r w:rsidR="00990780" w:rsidRPr="00990780">
        <w:rPr>
          <w:color w:val="000000"/>
        </w:rPr>
        <w:t>passaram a ser testados e lideram outra linha de</w:t>
      </w:r>
      <w:r w:rsidR="00434F4C">
        <w:rPr>
          <w:color w:val="000000"/>
        </w:rPr>
        <w:t xml:space="preserve"> </w:t>
      </w:r>
      <w:r w:rsidR="00990780" w:rsidRPr="00990780">
        <w:rPr>
          <w:color w:val="000000"/>
        </w:rPr>
        <w:t xml:space="preserve">pesquisa que estuda os efeitos </w:t>
      </w:r>
      <w:r w:rsidR="00990780" w:rsidRPr="00434F4C">
        <w:rPr>
          <w:i/>
          <w:color w:val="000000"/>
        </w:rPr>
        <w:t>Lead-Lag</w:t>
      </w:r>
      <w:r w:rsidR="00990780" w:rsidRPr="00990780">
        <w:rPr>
          <w:color w:val="000000"/>
        </w:rPr>
        <w:t>. Esses efeitos, inicialmente estudado para preços, passaram</w:t>
      </w:r>
      <w:r w:rsidR="00434F4C">
        <w:rPr>
          <w:color w:val="000000"/>
        </w:rPr>
        <w:t xml:space="preserve"> </w:t>
      </w:r>
      <w:r w:rsidR="00990780" w:rsidRPr="00434F4C">
        <w:rPr>
          <w:color w:val="000000"/>
        </w:rPr>
        <w:t>a ser estudados para os movimentos de volatilidade e buscam identi</w:t>
      </w:r>
      <w:r w:rsidR="00434F4C">
        <w:rPr>
          <w:color w:val="000000"/>
        </w:rPr>
        <w:t>fi</w:t>
      </w:r>
      <w:r w:rsidR="00990780" w:rsidRPr="00434F4C">
        <w:rPr>
          <w:color w:val="000000"/>
        </w:rPr>
        <w:t>car um mercado que em algum</w:t>
      </w:r>
      <w:r w:rsidR="00434F4C">
        <w:rPr>
          <w:color w:val="000000"/>
        </w:rPr>
        <w:t xml:space="preserve"> </w:t>
      </w:r>
      <w:r w:rsidR="00990780" w:rsidRPr="00434F4C">
        <w:rPr>
          <w:color w:val="000000"/>
        </w:rPr>
        <w:t>sentido lidera os movimentos de preços ou de volatilidade seguido em defasagem por outro mercado,</w:t>
      </w:r>
      <w:r w:rsidR="00434F4C">
        <w:rPr>
          <w:color w:val="000000"/>
        </w:rPr>
        <w:t xml:space="preserve"> </w:t>
      </w:r>
      <w:r w:rsidR="00990780" w:rsidRPr="00434F4C">
        <w:rPr>
          <w:color w:val="000000"/>
        </w:rPr>
        <w:t>conforme Madhavan (2000). O desenvolvimento dos testes de causalidade de Granger de segunda</w:t>
      </w:r>
      <w:r w:rsidR="00434F4C">
        <w:rPr>
          <w:color w:val="000000"/>
        </w:rPr>
        <w:t xml:space="preserve"> </w:t>
      </w:r>
      <w:r w:rsidR="00990780" w:rsidRPr="00990780">
        <w:rPr>
          <w:color w:val="000000"/>
        </w:rPr>
        <w:t xml:space="preserve">ordem permitiu testar para o caso de volatilidade os Efeitos </w:t>
      </w:r>
      <w:r w:rsidR="00990780" w:rsidRPr="00434F4C">
        <w:rPr>
          <w:i/>
          <w:color w:val="000000"/>
        </w:rPr>
        <w:t>Lea</w:t>
      </w:r>
      <w:r w:rsidR="00434F4C" w:rsidRPr="00434F4C">
        <w:rPr>
          <w:i/>
          <w:color w:val="000000"/>
        </w:rPr>
        <w:t>d-Lag</w:t>
      </w:r>
      <w:r w:rsidR="00434F4C">
        <w:rPr>
          <w:color w:val="000000"/>
        </w:rPr>
        <w:t xml:space="preserve"> entre diferentes mercado</w:t>
      </w:r>
      <w:r w:rsidR="00277667" w:rsidRPr="00990780">
        <w:rPr>
          <w:color w:val="000000"/>
        </w:rPr>
        <w:t>s</w:t>
      </w:r>
      <w:r w:rsidR="00434F4C">
        <w:rPr>
          <w:color w:val="000000"/>
        </w:rPr>
        <w:t>.</w:t>
      </w:r>
      <w:r w:rsidR="00277667" w:rsidRPr="00990780">
        <w:rPr>
          <w:color w:val="000000"/>
        </w:rPr>
        <w:t xml:space="preserve"> </w:t>
      </w:r>
    </w:p>
    <w:p w:rsidR="00434F4C" w:rsidRPr="00434F4C" w:rsidRDefault="00B50E43" w:rsidP="00434F4C">
      <w:pPr>
        <w:tabs>
          <w:tab w:val="left" w:pos="851"/>
        </w:tabs>
        <w:spacing w:line="360" w:lineRule="auto"/>
        <w:jc w:val="both"/>
        <w:rPr>
          <w:color w:val="000000"/>
        </w:rPr>
      </w:pPr>
      <w:r w:rsidRPr="00F316A9">
        <w:rPr>
          <w:color w:val="000000"/>
        </w:rPr>
        <w:lastRenderedPageBreak/>
        <w:tab/>
      </w:r>
      <w:r w:rsidR="00434F4C" w:rsidRPr="00434F4C">
        <w:rPr>
          <w:color w:val="000000"/>
        </w:rPr>
        <w:t>O presente estudo contribui com a literatura preenchendo uma lacuna ao analisar a temática</w:t>
      </w:r>
      <w:r w:rsidR="00610FA3">
        <w:rPr>
          <w:color w:val="000000"/>
        </w:rPr>
        <w:t xml:space="preserve"> </w:t>
      </w:r>
      <w:r w:rsidR="00434F4C" w:rsidRPr="00434F4C">
        <w:rPr>
          <w:color w:val="000000"/>
        </w:rPr>
        <w:t>para o caso brasileiro, além ser pioneiro combinando diferentes tipos de volatilidades cambiais e</w:t>
      </w:r>
      <w:r w:rsidR="00434F4C">
        <w:rPr>
          <w:color w:val="000000"/>
        </w:rPr>
        <w:t xml:space="preserve"> </w:t>
      </w:r>
      <w:r w:rsidR="00434F4C" w:rsidRPr="00434F4C">
        <w:rPr>
          <w:color w:val="000000"/>
        </w:rPr>
        <w:t>seus transbordamentos para o mercado acionário brasileiro. O estudo ainda contribui utilizando,</w:t>
      </w:r>
      <w:r w:rsidR="00434F4C">
        <w:rPr>
          <w:color w:val="000000"/>
        </w:rPr>
        <w:t xml:space="preserve"> </w:t>
      </w:r>
      <w:r w:rsidR="00434F4C" w:rsidRPr="00434F4C">
        <w:rPr>
          <w:color w:val="000000"/>
        </w:rPr>
        <w:t>além dos modelos GARCH multivariados, testes de causalidade de Granger de segunda ordem para</w:t>
      </w:r>
      <w:r w:rsidR="00434F4C">
        <w:rPr>
          <w:color w:val="000000"/>
        </w:rPr>
        <w:t xml:space="preserve"> </w:t>
      </w:r>
      <w:r w:rsidR="00434F4C" w:rsidRPr="00434F4C">
        <w:rPr>
          <w:color w:val="000000"/>
        </w:rPr>
        <w:t xml:space="preserve">identificação da direção dos transbordamentos citados, o que a literatura trata como efeitos </w:t>
      </w:r>
      <w:r w:rsidR="00434F4C" w:rsidRPr="00434F4C">
        <w:rPr>
          <w:i/>
          <w:color w:val="000000"/>
        </w:rPr>
        <w:t>Lead-Lag</w:t>
      </w:r>
      <w:r w:rsidR="00434F4C" w:rsidRPr="00434F4C">
        <w:rPr>
          <w:color w:val="000000"/>
        </w:rPr>
        <w:t>.</w:t>
      </w:r>
    </w:p>
    <w:p w:rsidR="00434F4C" w:rsidRPr="00434F4C" w:rsidRDefault="00434F4C" w:rsidP="00434F4C">
      <w:pPr>
        <w:tabs>
          <w:tab w:val="left" w:pos="851"/>
        </w:tabs>
        <w:spacing w:line="360" w:lineRule="auto"/>
        <w:jc w:val="both"/>
        <w:rPr>
          <w:color w:val="000000"/>
        </w:rPr>
      </w:pPr>
      <w:r w:rsidRPr="00434F4C">
        <w:rPr>
          <w:color w:val="000000"/>
        </w:rPr>
        <w:t>O artigo é organizado apresentando na seção 2 um referencial teórico com estudos relevantes sobre</w:t>
      </w:r>
    </w:p>
    <w:p w:rsidR="00434F4C" w:rsidRPr="00434F4C" w:rsidRDefault="00434F4C" w:rsidP="00434F4C">
      <w:pPr>
        <w:tabs>
          <w:tab w:val="left" w:pos="851"/>
        </w:tabs>
        <w:spacing w:line="360" w:lineRule="auto"/>
        <w:jc w:val="both"/>
        <w:rPr>
          <w:color w:val="000000"/>
        </w:rPr>
      </w:pPr>
      <w:proofErr w:type="gramStart"/>
      <w:r w:rsidRPr="00434F4C">
        <w:rPr>
          <w:color w:val="000000"/>
        </w:rPr>
        <w:t>o</w:t>
      </w:r>
      <w:proofErr w:type="gramEnd"/>
      <w:r w:rsidRPr="00434F4C">
        <w:rPr>
          <w:color w:val="000000"/>
        </w:rPr>
        <w:t xml:space="preserve"> tema, a seção 3 apresenta o modelo GARCH multivariado utilizado, a seção 4 apresenta um breve</w:t>
      </w:r>
    </w:p>
    <w:p w:rsidR="00434F4C" w:rsidRPr="00610FA3" w:rsidRDefault="00434F4C" w:rsidP="00434F4C">
      <w:pPr>
        <w:tabs>
          <w:tab w:val="left" w:pos="851"/>
        </w:tabs>
        <w:spacing w:line="360" w:lineRule="auto"/>
        <w:jc w:val="both"/>
        <w:rPr>
          <w:color w:val="000000"/>
        </w:rPr>
      </w:pPr>
      <w:proofErr w:type="gramStart"/>
      <w:r w:rsidRPr="00434F4C">
        <w:rPr>
          <w:color w:val="000000"/>
        </w:rPr>
        <w:t>resumo</w:t>
      </w:r>
      <w:proofErr w:type="gramEnd"/>
      <w:r w:rsidRPr="00434F4C">
        <w:rPr>
          <w:color w:val="000000"/>
        </w:rPr>
        <w:t xml:space="preserve"> do teste de causalidade de Granger de segunda ordem. A seção 5 traz o detalhamento da base</w:t>
      </w:r>
      <w:r w:rsidR="00610FA3">
        <w:rPr>
          <w:color w:val="000000"/>
        </w:rPr>
        <w:t xml:space="preserve"> </w:t>
      </w:r>
      <w:r w:rsidRPr="00434F4C">
        <w:rPr>
          <w:color w:val="000000"/>
        </w:rPr>
        <w:t>de dados utilizada, a construção dos choques cambiais e como serão organizados os modelos e testes</w:t>
      </w:r>
      <w:r w:rsidR="00610FA3">
        <w:rPr>
          <w:color w:val="000000"/>
        </w:rPr>
        <w:t xml:space="preserve"> </w:t>
      </w:r>
      <w:r w:rsidRPr="00434F4C">
        <w:rPr>
          <w:color w:val="000000"/>
        </w:rPr>
        <w:t>implementados. Os resultados são apresentados na seção 6 com as conclusões sendo apresentadas na</w:t>
      </w:r>
      <w:r w:rsidR="00610FA3">
        <w:rPr>
          <w:color w:val="000000"/>
        </w:rPr>
        <w:t xml:space="preserve"> </w:t>
      </w:r>
      <w:r w:rsidRPr="00610FA3">
        <w:rPr>
          <w:color w:val="000000"/>
        </w:rPr>
        <w:t>seção 7.</w:t>
      </w:r>
    </w:p>
    <w:p w:rsidR="0048757E" w:rsidRPr="00610FA3" w:rsidRDefault="00B50E43" w:rsidP="001E4D61">
      <w:pPr>
        <w:tabs>
          <w:tab w:val="left" w:pos="851"/>
        </w:tabs>
        <w:spacing w:line="360" w:lineRule="auto"/>
        <w:jc w:val="both"/>
        <w:rPr>
          <w:color w:val="000000"/>
        </w:rPr>
      </w:pPr>
      <w:r w:rsidRPr="00610FA3">
        <w:rPr>
          <w:color w:val="000000"/>
        </w:rPr>
        <w:t xml:space="preserve"> </w:t>
      </w:r>
      <w:r w:rsidRPr="00610FA3">
        <w:rPr>
          <w:color w:val="000000"/>
        </w:rPr>
        <w:tab/>
      </w:r>
    </w:p>
    <w:p w:rsidR="00EF1B4C" w:rsidRDefault="00F316A9" w:rsidP="00EF1B4C">
      <w:pPr>
        <w:numPr>
          <w:ilvl w:val="0"/>
          <w:numId w:val="5"/>
        </w:numPr>
        <w:jc w:val="both"/>
        <w:rPr>
          <w:b/>
        </w:rPr>
      </w:pPr>
      <w:r>
        <w:rPr>
          <w:b/>
        </w:rPr>
        <w:t>Referencial teórico</w:t>
      </w:r>
    </w:p>
    <w:p w:rsidR="00F316A9" w:rsidRDefault="00F316A9" w:rsidP="00F316A9">
      <w:pPr>
        <w:ind w:left="360"/>
        <w:jc w:val="both"/>
        <w:rPr>
          <w:b/>
        </w:rPr>
      </w:pPr>
    </w:p>
    <w:p w:rsidR="00F316A9" w:rsidRPr="006A3E71" w:rsidRDefault="006A3E71" w:rsidP="006A3E71">
      <w:pPr>
        <w:autoSpaceDE w:val="0"/>
        <w:autoSpaceDN w:val="0"/>
        <w:adjustRightInd w:val="0"/>
        <w:rPr>
          <w:rFonts w:eastAsia="Calibri"/>
          <w:b/>
        </w:rPr>
      </w:pPr>
      <w:r w:rsidRPr="006A3E71">
        <w:rPr>
          <w:rFonts w:eastAsia="Calibri"/>
          <w:b/>
        </w:rPr>
        <w:t xml:space="preserve">2.1 </w:t>
      </w:r>
      <w:r w:rsidRPr="006A3E71">
        <w:rPr>
          <w:rFonts w:eastAsia="Calibri"/>
          <w:b/>
          <w:i/>
        </w:rPr>
        <w:t>Spillover</w:t>
      </w:r>
      <w:r w:rsidRPr="006A3E71">
        <w:rPr>
          <w:rFonts w:eastAsia="Calibri"/>
          <w:b/>
        </w:rPr>
        <w:t xml:space="preserve"> entre a volatilidade dos preços das ações e das taxas de câmbio</w:t>
      </w:r>
    </w:p>
    <w:p w:rsidR="006A3E71" w:rsidRPr="006A3E71" w:rsidRDefault="006A3E71" w:rsidP="006D686A">
      <w:pPr>
        <w:autoSpaceDE w:val="0"/>
        <w:autoSpaceDN w:val="0"/>
        <w:adjustRightInd w:val="0"/>
        <w:ind w:firstLine="708"/>
        <w:rPr>
          <w:rFonts w:eastAsia="Calibri"/>
        </w:rPr>
      </w:pPr>
    </w:p>
    <w:p w:rsidR="00D05F50" w:rsidRDefault="00B623A3" w:rsidP="00B623A3">
      <w:pPr>
        <w:autoSpaceDE w:val="0"/>
        <w:autoSpaceDN w:val="0"/>
        <w:adjustRightInd w:val="0"/>
        <w:spacing w:line="360" w:lineRule="auto"/>
        <w:ind w:firstLine="709"/>
        <w:jc w:val="both"/>
        <w:rPr>
          <w:rStyle w:val="hps"/>
        </w:rPr>
      </w:pPr>
      <w:r w:rsidRPr="00B623A3">
        <w:rPr>
          <w:rStyle w:val="hps"/>
        </w:rPr>
        <w:t xml:space="preserve">Kanas (2000) foi um dos primeiros estudos que analisaram </w:t>
      </w:r>
      <w:r w:rsidRPr="00B623A3">
        <w:rPr>
          <w:rStyle w:val="hps"/>
          <w:i/>
        </w:rPr>
        <w:t>spillovers</w:t>
      </w:r>
      <w:r w:rsidRPr="00B623A3">
        <w:rPr>
          <w:rStyle w:val="hps"/>
        </w:rPr>
        <w:t xml:space="preserve"> de volatilidade do retorno</w:t>
      </w:r>
      <w:r>
        <w:rPr>
          <w:rStyle w:val="hps"/>
        </w:rPr>
        <w:t xml:space="preserve"> </w:t>
      </w:r>
      <w:r w:rsidRPr="00B623A3">
        <w:rPr>
          <w:rStyle w:val="hps"/>
        </w:rPr>
        <w:t>das ações e variação cambial nos EUA, Reino Unido, Japão, Alemanha, Fran</w:t>
      </w:r>
      <w:r>
        <w:rPr>
          <w:rStyle w:val="hps"/>
        </w:rPr>
        <w:t>ç</w:t>
      </w:r>
      <w:r w:rsidRPr="00B623A3">
        <w:rPr>
          <w:rStyle w:val="hps"/>
        </w:rPr>
        <w:t>a e Canadá. Ele</w:t>
      </w:r>
      <w:r>
        <w:rPr>
          <w:rStyle w:val="hps"/>
        </w:rPr>
        <w:t xml:space="preserve"> </w:t>
      </w:r>
      <w:r w:rsidRPr="00B623A3">
        <w:rPr>
          <w:rStyle w:val="hps"/>
        </w:rPr>
        <w:t xml:space="preserve">encontrou evidências de </w:t>
      </w:r>
      <w:r w:rsidRPr="00B623A3">
        <w:rPr>
          <w:rStyle w:val="hps"/>
          <w:i/>
        </w:rPr>
        <w:t>spillovers</w:t>
      </w:r>
      <w:r w:rsidRPr="00B623A3">
        <w:rPr>
          <w:rStyle w:val="hps"/>
        </w:rPr>
        <w:t xml:space="preserve"> de retornos de ações a variação cambial para todos os países,</w:t>
      </w:r>
      <w:r>
        <w:rPr>
          <w:rStyle w:val="hps"/>
        </w:rPr>
        <w:t xml:space="preserve"> </w:t>
      </w:r>
      <w:r w:rsidRPr="00B623A3">
        <w:rPr>
          <w:rStyle w:val="hps"/>
        </w:rPr>
        <w:t>exceto na Alemanha, o que sugere que a abordagem de ativos para a determinação da taxa de câmbio</w:t>
      </w:r>
      <w:r>
        <w:rPr>
          <w:rStyle w:val="hps"/>
        </w:rPr>
        <w:t xml:space="preserve"> </w:t>
      </w:r>
      <w:r w:rsidRPr="00B623A3">
        <w:rPr>
          <w:rStyle w:val="hps"/>
        </w:rPr>
        <w:t>é válida quando formulada em termos do segundo momento da distribuição da taxa de câmbio para</w:t>
      </w:r>
      <w:r>
        <w:rPr>
          <w:rStyle w:val="hps"/>
        </w:rPr>
        <w:t xml:space="preserve"> </w:t>
      </w:r>
      <w:r w:rsidRPr="00B623A3">
        <w:rPr>
          <w:rStyle w:val="hps"/>
        </w:rPr>
        <w:t>os países incluídos em sua análise.</w:t>
      </w:r>
      <w:r>
        <w:rPr>
          <w:rStyle w:val="hps"/>
        </w:rPr>
        <w:t xml:space="preserve"> </w:t>
      </w:r>
    </w:p>
    <w:p w:rsidR="00B623A3" w:rsidRDefault="00B623A3" w:rsidP="00B623A3">
      <w:pPr>
        <w:autoSpaceDE w:val="0"/>
        <w:autoSpaceDN w:val="0"/>
        <w:adjustRightInd w:val="0"/>
        <w:spacing w:line="360" w:lineRule="auto"/>
        <w:ind w:firstLine="709"/>
        <w:jc w:val="both"/>
        <w:rPr>
          <w:rStyle w:val="hps"/>
        </w:rPr>
      </w:pPr>
      <w:r w:rsidRPr="00B623A3">
        <w:rPr>
          <w:rStyle w:val="hps"/>
        </w:rPr>
        <w:t xml:space="preserve">Yang e Doong (2004) exploraram a natureza do mecanismo de </w:t>
      </w:r>
      <w:r w:rsidR="00621DB8" w:rsidRPr="00B623A3">
        <w:rPr>
          <w:rStyle w:val="hps"/>
        </w:rPr>
        <w:t>transmissão</w:t>
      </w:r>
      <w:r w:rsidRPr="00B623A3">
        <w:rPr>
          <w:rStyle w:val="hps"/>
        </w:rPr>
        <w:t xml:space="preserve"> de m</w:t>
      </w:r>
      <w:r w:rsidR="00621DB8">
        <w:rPr>
          <w:rStyle w:val="hps"/>
        </w:rPr>
        <w:t>é</w:t>
      </w:r>
      <w:r w:rsidRPr="00B623A3">
        <w:rPr>
          <w:rStyle w:val="hps"/>
        </w:rPr>
        <w:t>dia e volatilidade</w:t>
      </w:r>
      <w:r>
        <w:rPr>
          <w:rStyle w:val="hps"/>
        </w:rPr>
        <w:t xml:space="preserve"> </w:t>
      </w:r>
      <w:r w:rsidRPr="00B623A3">
        <w:rPr>
          <w:rStyle w:val="hps"/>
        </w:rPr>
        <w:t>entre os mercados de a</w:t>
      </w:r>
      <w:r w:rsidR="00621DB8">
        <w:rPr>
          <w:rStyle w:val="hps"/>
        </w:rPr>
        <w:t>ções</w:t>
      </w:r>
      <w:r w:rsidRPr="00B623A3">
        <w:rPr>
          <w:rStyle w:val="hps"/>
        </w:rPr>
        <w:t xml:space="preserve"> e de divisas para os </w:t>
      </w:r>
      <w:r w:rsidR="00621DB8" w:rsidRPr="00B623A3">
        <w:rPr>
          <w:rStyle w:val="hps"/>
        </w:rPr>
        <w:t>pa</w:t>
      </w:r>
      <w:r w:rsidR="00621DB8">
        <w:rPr>
          <w:rStyle w:val="hps"/>
        </w:rPr>
        <w:t>ís</w:t>
      </w:r>
      <w:r w:rsidR="00621DB8" w:rsidRPr="00B623A3">
        <w:rPr>
          <w:rStyle w:val="hps"/>
        </w:rPr>
        <w:t>es</w:t>
      </w:r>
      <w:r w:rsidRPr="00B623A3">
        <w:rPr>
          <w:rStyle w:val="hps"/>
        </w:rPr>
        <w:t xml:space="preserve"> do G-7. Eles expandiram a amostra Kanas ao</w:t>
      </w:r>
      <w:r>
        <w:rPr>
          <w:rStyle w:val="hps"/>
        </w:rPr>
        <w:t xml:space="preserve"> </w:t>
      </w:r>
      <w:r w:rsidRPr="00B623A3">
        <w:rPr>
          <w:rStyle w:val="hps"/>
        </w:rPr>
        <w:t>G-7, incluindo a It</w:t>
      </w:r>
      <w:r w:rsidR="00621DB8">
        <w:rPr>
          <w:rStyle w:val="hps"/>
        </w:rPr>
        <w:t>á</w:t>
      </w:r>
      <w:r w:rsidRPr="00B623A3">
        <w:rPr>
          <w:rStyle w:val="hps"/>
        </w:rPr>
        <w:t xml:space="preserve">lia. Os resultados apontaram para </w:t>
      </w:r>
      <w:r w:rsidRPr="00621DB8">
        <w:rPr>
          <w:rStyle w:val="hps"/>
          <w:i/>
        </w:rPr>
        <w:t>spillovers</w:t>
      </w:r>
      <w:r w:rsidRPr="00B623A3">
        <w:rPr>
          <w:rStyle w:val="hps"/>
        </w:rPr>
        <w:t xml:space="preserve"> volatilidade signi</w:t>
      </w:r>
      <w:r w:rsidR="00621DB8">
        <w:rPr>
          <w:rStyle w:val="hps"/>
        </w:rPr>
        <w:t>fi</w:t>
      </w:r>
      <w:r>
        <w:rPr>
          <w:rStyle w:val="hps"/>
        </w:rPr>
        <w:t>c</w:t>
      </w:r>
      <w:r w:rsidRPr="00B623A3">
        <w:rPr>
          <w:rStyle w:val="hps"/>
        </w:rPr>
        <w:t>ativa e um efeito</w:t>
      </w:r>
      <w:r>
        <w:rPr>
          <w:rStyle w:val="hps"/>
        </w:rPr>
        <w:t xml:space="preserve"> </w:t>
      </w:r>
      <w:r w:rsidRPr="00B623A3">
        <w:rPr>
          <w:rStyle w:val="hps"/>
        </w:rPr>
        <w:t>assim</w:t>
      </w:r>
      <w:r w:rsidR="00621DB8">
        <w:rPr>
          <w:rStyle w:val="hps"/>
        </w:rPr>
        <w:t>é</w:t>
      </w:r>
      <w:r w:rsidRPr="00B623A3">
        <w:rPr>
          <w:rStyle w:val="hps"/>
        </w:rPr>
        <w:t>trico do mercado de a</w:t>
      </w:r>
      <w:r w:rsidR="00621DB8">
        <w:rPr>
          <w:rStyle w:val="hps"/>
        </w:rPr>
        <w:t>ções</w:t>
      </w:r>
      <w:r w:rsidRPr="00B623A3">
        <w:rPr>
          <w:rStyle w:val="hps"/>
        </w:rPr>
        <w:t xml:space="preserve"> para o mercado de c</w:t>
      </w:r>
      <w:r w:rsidR="00621DB8">
        <w:rPr>
          <w:rStyle w:val="hps"/>
        </w:rPr>
        <w:t>â</w:t>
      </w:r>
      <w:r w:rsidRPr="00B623A3">
        <w:rPr>
          <w:rStyle w:val="hps"/>
        </w:rPr>
        <w:t>mbio para a Fran</w:t>
      </w:r>
      <w:r w:rsidR="00621DB8">
        <w:rPr>
          <w:rStyle w:val="hps"/>
        </w:rPr>
        <w:t>ç</w:t>
      </w:r>
      <w:r w:rsidRPr="00B623A3">
        <w:rPr>
          <w:rStyle w:val="hps"/>
        </w:rPr>
        <w:t>a, It</w:t>
      </w:r>
      <w:r w:rsidR="00621DB8">
        <w:rPr>
          <w:rStyle w:val="hps"/>
        </w:rPr>
        <w:t>á</w:t>
      </w:r>
      <w:r w:rsidRPr="00B623A3">
        <w:rPr>
          <w:rStyle w:val="hps"/>
        </w:rPr>
        <w:t>lia, Jap</w:t>
      </w:r>
      <w:r w:rsidR="00621DB8">
        <w:rPr>
          <w:rStyle w:val="hps"/>
        </w:rPr>
        <w:t>ã</w:t>
      </w:r>
      <w:r w:rsidRPr="00B623A3">
        <w:rPr>
          <w:rStyle w:val="hps"/>
        </w:rPr>
        <w:t>o e os EUA, o</w:t>
      </w:r>
      <w:r>
        <w:rPr>
          <w:rStyle w:val="hps"/>
        </w:rPr>
        <w:t xml:space="preserve"> </w:t>
      </w:r>
      <w:r w:rsidRPr="00B623A3">
        <w:rPr>
          <w:rStyle w:val="hps"/>
        </w:rPr>
        <w:t>que sugere a integra</w:t>
      </w:r>
      <w:r w:rsidR="00621DB8">
        <w:rPr>
          <w:rStyle w:val="hps"/>
        </w:rPr>
        <w:t>ção</w:t>
      </w:r>
      <w:r w:rsidRPr="00B623A3">
        <w:rPr>
          <w:rStyle w:val="hps"/>
        </w:rPr>
        <w:t xml:space="preserve"> entre os mercados de a</w:t>
      </w:r>
      <w:r w:rsidR="00621DB8">
        <w:rPr>
          <w:rStyle w:val="hps"/>
        </w:rPr>
        <w:t>ções</w:t>
      </w:r>
      <w:r w:rsidRPr="00B623A3">
        <w:rPr>
          <w:rStyle w:val="hps"/>
        </w:rPr>
        <w:t xml:space="preserve"> e de c</w:t>
      </w:r>
      <w:r w:rsidR="00621DB8">
        <w:rPr>
          <w:rStyle w:val="hps"/>
        </w:rPr>
        <w:t>â</w:t>
      </w:r>
      <w:r w:rsidRPr="00B623A3">
        <w:rPr>
          <w:rStyle w:val="hps"/>
        </w:rPr>
        <w:t>mbio nesses pa</w:t>
      </w:r>
      <w:r w:rsidR="00621DB8">
        <w:rPr>
          <w:rStyle w:val="hps"/>
        </w:rPr>
        <w:t>í</w:t>
      </w:r>
      <w:r w:rsidRPr="00B623A3">
        <w:rPr>
          <w:rStyle w:val="hps"/>
        </w:rPr>
        <w:t>ses. Sua evid</w:t>
      </w:r>
      <w:r w:rsidR="00621DB8">
        <w:rPr>
          <w:rStyle w:val="hps"/>
        </w:rPr>
        <w:t>ê</w:t>
      </w:r>
      <w:r w:rsidRPr="00B623A3">
        <w:rPr>
          <w:rStyle w:val="hps"/>
        </w:rPr>
        <w:t>ncia emp</w:t>
      </w:r>
      <w:r w:rsidR="00621DB8">
        <w:rPr>
          <w:rStyle w:val="hps"/>
        </w:rPr>
        <w:t>í</w:t>
      </w:r>
      <w:r w:rsidRPr="00B623A3">
        <w:rPr>
          <w:rStyle w:val="hps"/>
        </w:rPr>
        <w:t>rica</w:t>
      </w:r>
      <w:r>
        <w:rPr>
          <w:rStyle w:val="hps"/>
        </w:rPr>
        <w:t xml:space="preserve"> </w:t>
      </w:r>
      <w:r w:rsidRPr="00B623A3">
        <w:rPr>
          <w:rStyle w:val="hps"/>
        </w:rPr>
        <w:t>mostrou que os movimentos de pre</w:t>
      </w:r>
      <w:r w:rsidR="00621DB8">
        <w:rPr>
          <w:rStyle w:val="hps"/>
        </w:rPr>
        <w:t>ç</w:t>
      </w:r>
      <w:r w:rsidRPr="00B623A3">
        <w:rPr>
          <w:rStyle w:val="hps"/>
        </w:rPr>
        <w:t>os de a</w:t>
      </w:r>
      <w:r w:rsidR="00621DB8">
        <w:rPr>
          <w:rStyle w:val="hps"/>
        </w:rPr>
        <w:t>ções</w:t>
      </w:r>
      <w:r w:rsidRPr="00B623A3">
        <w:rPr>
          <w:rStyle w:val="hps"/>
        </w:rPr>
        <w:t xml:space="preserve"> ter</w:t>
      </w:r>
      <w:r w:rsidR="00621DB8">
        <w:rPr>
          <w:rStyle w:val="hps"/>
        </w:rPr>
        <w:t>iam</w:t>
      </w:r>
      <w:r w:rsidRPr="00B623A3">
        <w:rPr>
          <w:rStyle w:val="hps"/>
        </w:rPr>
        <w:t xml:space="preserve"> um impacto sobre os movimentos futuros da</w:t>
      </w:r>
      <w:r>
        <w:rPr>
          <w:rStyle w:val="hps"/>
        </w:rPr>
        <w:t xml:space="preserve"> </w:t>
      </w:r>
      <w:r w:rsidRPr="00B623A3">
        <w:rPr>
          <w:rStyle w:val="hps"/>
        </w:rPr>
        <w:t>taxa de c</w:t>
      </w:r>
      <w:r w:rsidR="00621DB8">
        <w:rPr>
          <w:rStyle w:val="hps"/>
        </w:rPr>
        <w:t>â</w:t>
      </w:r>
      <w:r w:rsidRPr="00B623A3">
        <w:rPr>
          <w:rStyle w:val="hps"/>
        </w:rPr>
        <w:t>mbio, mas as mudan</w:t>
      </w:r>
      <w:r w:rsidR="00621DB8">
        <w:rPr>
          <w:rStyle w:val="hps"/>
        </w:rPr>
        <w:t>ç</w:t>
      </w:r>
      <w:r w:rsidRPr="00B623A3">
        <w:rPr>
          <w:rStyle w:val="hps"/>
        </w:rPr>
        <w:t>as nas taxas de c</w:t>
      </w:r>
      <w:r w:rsidR="00621DB8">
        <w:rPr>
          <w:rStyle w:val="hps"/>
        </w:rPr>
        <w:t>â</w:t>
      </w:r>
      <w:r w:rsidRPr="00B623A3">
        <w:rPr>
          <w:rStyle w:val="hps"/>
        </w:rPr>
        <w:t>mbio t</w:t>
      </w:r>
      <w:r w:rsidR="00621DB8">
        <w:rPr>
          <w:rStyle w:val="hps"/>
        </w:rPr>
        <w:t>ê</w:t>
      </w:r>
      <w:r w:rsidRPr="00B623A3">
        <w:rPr>
          <w:rStyle w:val="hps"/>
        </w:rPr>
        <w:t>m menos efeito direto sobre futuros retornos</w:t>
      </w:r>
      <w:r>
        <w:rPr>
          <w:rStyle w:val="hps"/>
        </w:rPr>
        <w:t xml:space="preserve"> </w:t>
      </w:r>
      <w:r w:rsidRPr="00B623A3">
        <w:rPr>
          <w:rStyle w:val="hps"/>
        </w:rPr>
        <w:t>de a</w:t>
      </w:r>
      <w:r w:rsidR="00621DB8">
        <w:rPr>
          <w:rStyle w:val="hps"/>
        </w:rPr>
        <w:t>ções</w:t>
      </w:r>
      <w:r w:rsidRPr="00B623A3">
        <w:rPr>
          <w:rStyle w:val="hps"/>
        </w:rPr>
        <w:t xml:space="preserve">, que </w:t>
      </w:r>
      <w:r w:rsidR="00621DB8">
        <w:rPr>
          <w:rStyle w:val="hps"/>
        </w:rPr>
        <w:t>é</w:t>
      </w:r>
      <w:r w:rsidRPr="00B623A3">
        <w:rPr>
          <w:rStyle w:val="hps"/>
        </w:rPr>
        <w:t xml:space="preserve"> similar aos achados de Kanas.</w:t>
      </w:r>
    </w:p>
    <w:p w:rsidR="00B623A3" w:rsidRDefault="00B623A3" w:rsidP="00B623A3">
      <w:pPr>
        <w:autoSpaceDE w:val="0"/>
        <w:autoSpaceDN w:val="0"/>
        <w:adjustRightInd w:val="0"/>
        <w:spacing w:line="360" w:lineRule="auto"/>
        <w:ind w:firstLine="709"/>
        <w:jc w:val="both"/>
        <w:rPr>
          <w:rStyle w:val="hps"/>
        </w:rPr>
      </w:pPr>
      <w:r w:rsidRPr="00B623A3">
        <w:rPr>
          <w:rStyle w:val="hps"/>
        </w:rPr>
        <w:t>Em um estudo semelhante feito por Fedorova e Saleem (2009), entre quatro pa</w:t>
      </w:r>
      <w:r w:rsidR="00621DB8">
        <w:rPr>
          <w:rStyle w:val="hps"/>
        </w:rPr>
        <w:t>í</w:t>
      </w:r>
      <w:r w:rsidRPr="00B623A3">
        <w:rPr>
          <w:rStyle w:val="hps"/>
        </w:rPr>
        <w:t>ses do leste da</w:t>
      </w:r>
      <w:r>
        <w:rPr>
          <w:rStyle w:val="hps"/>
        </w:rPr>
        <w:t xml:space="preserve"> </w:t>
      </w:r>
      <w:r w:rsidRPr="00B623A3">
        <w:rPr>
          <w:rStyle w:val="hps"/>
        </w:rPr>
        <w:t>Europa, inclu</w:t>
      </w:r>
      <w:r w:rsidR="00621DB8">
        <w:rPr>
          <w:rStyle w:val="hps"/>
        </w:rPr>
        <w:t>í</w:t>
      </w:r>
      <w:r w:rsidRPr="00B623A3">
        <w:rPr>
          <w:rStyle w:val="hps"/>
        </w:rPr>
        <w:t>ram em seu estudo, Pol</w:t>
      </w:r>
      <w:r w:rsidR="00621DB8">
        <w:rPr>
          <w:rStyle w:val="hps"/>
        </w:rPr>
        <w:t>ô</w:t>
      </w:r>
      <w:r w:rsidRPr="00B623A3">
        <w:rPr>
          <w:rStyle w:val="hps"/>
        </w:rPr>
        <w:t>nia, Hungria e R</w:t>
      </w:r>
      <w:r w:rsidR="00621DB8">
        <w:rPr>
          <w:rStyle w:val="hps"/>
        </w:rPr>
        <w:t>ú</w:t>
      </w:r>
      <w:r w:rsidRPr="00B623A3">
        <w:rPr>
          <w:rStyle w:val="hps"/>
        </w:rPr>
        <w:t>ssia e mostraram evid</w:t>
      </w:r>
      <w:r w:rsidR="00621DB8">
        <w:rPr>
          <w:rStyle w:val="hps"/>
        </w:rPr>
        <w:t>ê</w:t>
      </w:r>
      <w:r w:rsidRPr="00B623A3">
        <w:rPr>
          <w:rStyle w:val="hps"/>
        </w:rPr>
        <w:t>ncias de efeitos colaterais</w:t>
      </w:r>
      <w:r>
        <w:rPr>
          <w:rStyle w:val="hps"/>
        </w:rPr>
        <w:t xml:space="preserve"> </w:t>
      </w:r>
      <w:r w:rsidRPr="00B623A3">
        <w:rPr>
          <w:rStyle w:val="hps"/>
        </w:rPr>
        <w:t>unidirecionais de volatilidade de mercado de moeda para o mercado de a</w:t>
      </w:r>
      <w:r w:rsidR="00621DB8">
        <w:rPr>
          <w:rStyle w:val="hps"/>
        </w:rPr>
        <w:t>ções</w:t>
      </w:r>
      <w:r w:rsidRPr="00B623A3">
        <w:rPr>
          <w:rStyle w:val="hps"/>
        </w:rPr>
        <w:t>, e s</w:t>
      </w:r>
      <w:r w:rsidR="00621DB8">
        <w:rPr>
          <w:rStyle w:val="hps"/>
        </w:rPr>
        <w:t>ó</w:t>
      </w:r>
      <w:r w:rsidRPr="00B623A3">
        <w:rPr>
          <w:rStyle w:val="hps"/>
        </w:rPr>
        <w:t xml:space="preserve"> a </w:t>
      </w:r>
      <w:r w:rsidRPr="00B623A3">
        <w:rPr>
          <w:rStyle w:val="hps"/>
        </w:rPr>
        <w:lastRenderedPageBreak/>
        <w:t>Rep</w:t>
      </w:r>
      <w:r w:rsidR="00621DB8">
        <w:rPr>
          <w:rStyle w:val="hps"/>
        </w:rPr>
        <w:t>ú</w:t>
      </w:r>
      <w:r w:rsidRPr="00B623A3">
        <w:rPr>
          <w:rStyle w:val="hps"/>
        </w:rPr>
        <w:t>blica</w:t>
      </w:r>
      <w:r>
        <w:rPr>
          <w:rStyle w:val="hps"/>
        </w:rPr>
        <w:t xml:space="preserve"> </w:t>
      </w:r>
      <w:r w:rsidRPr="00B623A3">
        <w:rPr>
          <w:rStyle w:val="hps"/>
        </w:rPr>
        <w:t>Checa que n</w:t>
      </w:r>
      <w:r w:rsidR="00621DB8">
        <w:rPr>
          <w:rStyle w:val="hps"/>
        </w:rPr>
        <w:t>ã</w:t>
      </w:r>
      <w:r w:rsidRPr="00B623A3">
        <w:rPr>
          <w:rStyle w:val="hps"/>
        </w:rPr>
        <w:t xml:space="preserve">o apresentou efeitos de </w:t>
      </w:r>
      <w:r w:rsidRPr="00621DB8">
        <w:rPr>
          <w:rStyle w:val="hps"/>
          <w:i/>
        </w:rPr>
        <w:t>spillover</w:t>
      </w:r>
      <w:r w:rsidRPr="00B623A3">
        <w:rPr>
          <w:rStyle w:val="hps"/>
        </w:rPr>
        <w:t xml:space="preserve"> de volatilidade bidirecionais entre os mercados.</w:t>
      </w:r>
    </w:p>
    <w:p w:rsidR="00B623A3" w:rsidRDefault="00B623A3" w:rsidP="00B623A3">
      <w:pPr>
        <w:autoSpaceDE w:val="0"/>
        <w:autoSpaceDN w:val="0"/>
        <w:adjustRightInd w:val="0"/>
        <w:spacing w:line="360" w:lineRule="auto"/>
        <w:ind w:firstLine="709"/>
        <w:jc w:val="both"/>
        <w:rPr>
          <w:rStyle w:val="hps"/>
        </w:rPr>
      </w:pPr>
      <w:r w:rsidRPr="00B623A3">
        <w:rPr>
          <w:rStyle w:val="hps"/>
        </w:rPr>
        <w:t>Goldberg (1993) encontrou evid</w:t>
      </w:r>
      <w:r w:rsidR="00621DB8">
        <w:rPr>
          <w:rStyle w:val="hps"/>
        </w:rPr>
        <w:t>ê</w:t>
      </w:r>
      <w:r w:rsidRPr="00B623A3">
        <w:rPr>
          <w:rStyle w:val="hps"/>
        </w:rPr>
        <w:t>ncias para os EUA, de que mudan</w:t>
      </w:r>
      <w:r w:rsidR="00621DB8">
        <w:rPr>
          <w:rStyle w:val="hps"/>
        </w:rPr>
        <w:t>ç</w:t>
      </w:r>
      <w:r w:rsidRPr="00B623A3">
        <w:rPr>
          <w:rStyle w:val="hps"/>
        </w:rPr>
        <w:t>as na volatilidade da taxa</w:t>
      </w:r>
      <w:r>
        <w:rPr>
          <w:rStyle w:val="hps"/>
        </w:rPr>
        <w:t xml:space="preserve"> </w:t>
      </w:r>
      <w:r w:rsidRPr="00B623A3">
        <w:rPr>
          <w:rStyle w:val="hps"/>
        </w:rPr>
        <w:t>de c</w:t>
      </w:r>
      <w:r w:rsidR="00621DB8">
        <w:rPr>
          <w:rStyle w:val="hps"/>
        </w:rPr>
        <w:t>â</w:t>
      </w:r>
      <w:r w:rsidRPr="00B623A3">
        <w:rPr>
          <w:rStyle w:val="hps"/>
        </w:rPr>
        <w:t>mbio tem efeitos signi</w:t>
      </w:r>
      <w:r w:rsidR="00621DB8">
        <w:rPr>
          <w:rStyle w:val="hps"/>
        </w:rPr>
        <w:t>fi</w:t>
      </w:r>
      <w:r w:rsidRPr="00B623A3">
        <w:rPr>
          <w:rStyle w:val="hps"/>
        </w:rPr>
        <w:t xml:space="preserve">cativamente negativos </w:t>
      </w:r>
      <w:proofErr w:type="gramStart"/>
      <w:r w:rsidRPr="00B623A3">
        <w:rPr>
          <w:rStyle w:val="hps"/>
        </w:rPr>
        <w:t>a longo prazo</w:t>
      </w:r>
      <w:proofErr w:type="gramEnd"/>
      <w:r w:rsidRPr="00B623A3">
        <w:rPr>
          <w:rStyle w:val="hps"/>
        </w:rPr>
        <w:t xml:space="preserve"> sobre o investimento. Darby et</w:t>
      </w:r>
      <w:r>
        <w:rPr>
          <w:rStyle w:val="hps"/>
        </w:rPr>
        <w:t xml:space="preserve"> </w:t>
      </w:r>
      <w:r w:rsidRPr="00B623A3">
        <w:rPr>
          <w:rStyle w:val="hps"/>
        </w:rPr>
        <w:t xml:space="preserve">al. (1999), usando uma estimativa com uma </w:t>
      </w:r>
      <w:r w:rsidR="00621DB8">
        <w:rPr>
          <w:rStyle w:val="hps"/>
        </w:rPr>
        <w:t>ú</w:t>
      </w:r>
      <w:r w:rsidRPr="00B623A3">
        <w:rPr>
          <w:rStyle w:val="hps"/>
        </w:rPr>
        <w:t>nica equa</w:t>
      </w:r>
      <w:r w:rsidR="00621DB8">
        <w:rPr>
          <w:rStyle w:val="hps"/>
        </w:rPr>
        <w:t>ção</w:t>
      </w:r>
      <w:r w:rsidRPr="00B623A3">
        <w:rPr>
          <w:rStyle w:val="hps"/>
        </w:rPr>
        <w:t xml:space="preserve"> em seu estudo, encontrou um efeito</w:t>
      </w:r>
      <w:r>
        <w:rPr>
          <w:rStyle w:val="hps"/>
        </w:rPr>
        <w:t xml:space="preserve"> </w:t>
      </w:r>
      <w:r w:rsidRPr="00B623A3">
        <w:rPr>
          <w:rStyle w:val="hps"/>
        </w:rPr>
        <w:t>cambial negativo semelhante sobre o investimento agregado com base nos dados de cinco pa</w:t>
      </w:r>
      <w:r w:rsidR="00621DB8">
        <w:rPr>
          <w:rStyle w:val="hps"/>
        </w:rPr>
        <w:t>í</w:t>
      </w:r>
      <w:r w:rsidRPr="00B623A3">
        <w:rPr>
          <w:rStyle w:val="hps"/>
        </w:rPr>
        <w:t>ses</w:t>
      </w:r>
      <w:r>
        <w:rPr>
          <w:rStyle w:val="hps"/>
        </w:rPr>
        <w:t xml:space="preserve"> </w:t>
      </w:r>
      <w:r w:rsidRPr="00B623A3">
        <w:rPr>
          <w:rStyle w:val="hps"/>
        </w:rPr>
        <w:t>da OCDE. Carruth, Dickerson e Henley (2000), adotando uma estrutura GARCH, encontrou um</w:t>
      </w:r>
      <w:r>
        <w:rPr>
          <w:rStyle w:val="hps"/>
        </w:rPr>
        <w:t xml:space="preserve"> </w:t>
      </w:r>
      <w:r w:rsidRPr="00B623A3">
        <w:rPr>
          <w:rStyle w:val="hps"/>
        </w:rPr>
        <w:t>impacto altamente negativo signi</w:t>
      </w:r>
      <w:r w:rsidR="00621DB8">
        <w:rPr>
          <w:rStyle w:val="hps"/>
        </w:rPr>
        <w:t>fi</w:t>
      </w:r>
      <w:r w:rsidRPr="00B623A3">
        <w:rPr>
          <w:rStyle w:val="hps"/>
        </w:rPr>
        <w:t>cativo da incerteza da taxa de c</w:t>
      </w:r>
      <w:r w:rsidR="00621DB8">
        <w:rPr>
          <w:rStyle w:val="hps"/>
        </w:rPr>
        <w:t>â</w:t>
      </w:r>
      <w:r w:rsidRPr="00B623A3">
        <w:rPr>
          <w:rStyle w:val="hps"/>
        </w:rPr>
        <w:t>mbio real sobre o investimento.</w:t>
      </w:r>
    </w:p>
    <w:p w:rsidR="00B623A3" w:rsidRDefault="005E2876" w:rsidP="005E2876">
      <w:pPr>
        <w:autoSpaceDE w:val="0"/>
        <w:autoSpaceDN w:val="0"/>
        <w:adjustRightInd w:val="0"/>
        <w:spacing w:line="360" w:lineRule="auto"/>
        <w:ind w:firstLine="709"/>
        <w:jc w:val="both"/>
        <w:rPr>
          <w:rStyle w:val="hps"/>
        </w:rPr>
      </w:pPr>
      <w:r w:rsidRPr="005E2876">
        <w:rPr>
          <w:rStyle w:val="hps"/>
        </w:rPr>
        <w:t>Amihud (1994) e Bartov e Bodnar (1994) constataram que as mudan</w:t>
      </w:r>
      <w:r w:rsidR="00621DB8">
        <w:rPr>
          <w:rStyle w:val="hps"/>
        </w:rPr>
        <w:t>ç</w:t>
      </w:r>
      <w:r w:rsidRPr="005E2876">
        <w:rPr>
          <w:rStyle w:val="hps"/>
        </w:rPr>
        <w:t>as contempor</w:t>
      </w:r>
      <w:r w:rsidR="00621DB8">
        <w:rPr>
          <w:rStyle w:val="hps"/>
        </w:rPr>
        <w:t>â</w:t>
      </w:r>
      <w:r w:rsidRPr="005E2876">
        <w:rPr>
          <w:rStyle w:val="hps"/>
        </w:rPr>
        <w:t>neas do d</w:t>
      </w:r>
      <w:r w:rsidR="00621DB8">
        <w:rPr>
          <w:rStyle w:val="hps"/>
        </w:rPr>
        <w:t>ó</w:t>
      </w:r>
      <w:r w:rsidRPr="005E2876">
        <w:rPr>
          <w:rStyle w:val="hps"/>
        </w:rPr>
        <w:t>lar</w:t>
      </w:r>
      <w:r>
        <w:rPr>
          <w:rStyle w:val="hps"/>
        </w:rPr>
        <w:t xml:space="preserve"> </w:t>
      </w:r>
      <w:r w:rsidRPr="005E2876">
        <w:rPr>
          <w:rStyle w:val="hps"/>
        </w:rPr>
        <w:t>t</w:t>
      </w:r>
      <w:r w:rsidR="00621DB8">
        <w:rPr>
          <w:rStyle w:val="hps"/>
        </w:rPr>
        <w:t>ê</w:t>
      </w:r>
      <w:r w:rsidRPr="005E2876">
        <w:rPr>
          <w:rStyle w:val="hps"/>
        </w:rPr>
        <w:t>m pouco poder para explicar retornos anormais. Contudo tamb</w:t>
      </w:r>
      <w:r w:rsidR="00621DB8">
        <w:rPr>
          <w:rStyle w:val="hps"/>
        </w:rPr>
        <w:t>é</w:t>
      </w:r>
      <w:r w:rsidRPr="005E2876">
        <w:rPr>
          <w:rStyle w:val="hps"/>
        </w:rPr>
        <w:t>m encontraram evid</w:t>
      </w:r>
      <w:r w:rsidR="00621DB8">
        <w:rPr>
          <w:rStyle w:val="hps"/>
        </w:rPr>
        <w:t>ê</w:t>
      </w:r>
      <w:r w:rsidRPr="005E2876">
        <w:rPr>
          <w:rStyle w:val="hps"/>
        </w:rPr>
        <w:t>ncias que uma</w:t>
      </w:r>
      <w:r>
        <w:rPr>
          <w:rStyle w:val="hps"/>
        </w:rPr>
        <w:t xml:space="preserve"> </w:t>
      </w:r>
      <w:r w:rsidRPr="005E2876">
        <w:rPr>
          <w:rStyle w:val="hps"/>
        </w:rPr>
        <w:t>mudan</w:t>
      </w:r>
      <w:r w:rsidR="00621DB8">
        <w:rPr>
          <w:rStyle w:val="hps"/>
        </w:rPr>
        <w:t>ça</w:t>
      </w:r>
      <w:r w:rsidRPr="005E2876">
        <w:rPr>
          <w:rStyle w:val="hps"/>
        </w:rPr>
        <w:t xml:space="preserve"> defasada do d</w:t>
      </w:r>
      <w:r w:rsidR="00A013F1">
        <w:rPr>
          <w:rStyle w:val="hps"/>
        </w:rPr>
        <w:t>ó</w:t>
      </w:r>
      <w:r w:rsidRPr="005E2876">
        <w:rPr>
          <w:rStyle w:val="hps"/>
        </w:rPr>
        <w:t>lar est</w:t>
      </w:r>
      <w:r w:rsidR="00A013F1">
        <w:rPr>
          <w:rStyle w:val="hps"/>
        </w:rPr>
        <w:t>á</w:t>
      </w:r>
      <w:r w:rsidRPr="005E2876">
        <w:rPr>
          <w:rStyle w:val="hps"/>
        </w:rPr>
        <w:t xml:space="preserve"> negativamente associada com retornos anormais. Ajayi e Mougou</w:t>
      </w:r>
      <w:r w:rsidR="00A013F1">
        <w:rPr>
          <w:rStyle w:val="hps"/>
        </w:rPr>
        <w:t>é</w:t>
      </w:r>
      <w:r>
        <w:rPr>
          <w:rStyle w:val="hps"/>
        </w:rPr>
        <w:t xml:space="preserve"> </w:t>
      </w:r>
      <w:r w:rsidRPr="005E2876">
        <w:rPr>
          <w:rStyle w:val="hps"/>
        </w:rPr>
        <w:t>(1996) encontraram evid</w:t>
      </w:r>
      <w:r w:rsidR="00A013F1">
        <w:rPr>
          <w:rStyle w:val="hps"/>
        </w:rPr>
        <w:t>ê</w:t>
      </w:r>
      <w:r w:rsidRPr="005E2876">
        <w:rPr>
          <w:rStyle w:val="hps"/>
        </w:rPr>
        <w:t>ncias de que varia</w:t>
      </w:r>
      <w:r w:rsidR="00A013F1">
        <w:rPr>
          <w:rStyle w:val="hps"/>
        </w:rPr>
        <w:t>ção</w:t>
      </w:r>
      <w:r w:rsidRPr="005E2876">
        <w:rPr>
          <w:rStyle w:val="hps"/>
        </w:rPr>
        <w:t xml:space="preserve"> cambial exerce uma </w:t>
      </w:r>
      <w:r w:rsidR="00A013F1" w:rsidRPr="005E2876">
        <w:rPr>
          <w:rStyle w:val="hps"/>
        </w:rPr>
        <w:t>inf</w:t>
      </w:r>
      <w:r w:rsidR="00A013F1">
        <w:rPr>
          <w:rStyle w:val="hps"/>
        </w:rPr>
        <w:t>luê</w:t>
      </w:r>
      <w:r w:rsidR="00A013F1" w:rsidRPr="005E2876">
        <w:rPr>
          <w:rStyle w:val="hps"/>
        </w:rPr>
        <w:t>ncia</w:t>
      </w:r>
      <w:r w:rsidRPr="005E2876">
        <w:rPr>
          <w:rStyle w:val="hps"/>
        </w:rPr>
        <w:t xml:space="preserve"> signi</w:t>
      </w:r>
      <w:r w:rsidR="00A013F1">
        <w:rPr>
          <w:rStyle w:val="hps"/>
        </w:rPr>
        <w:t>fi</w:t>
      </w:r>
      <w:r w:rsidRPr="005E2876">
        <w:rPr>
          <w:rStyle w:val="hps"/>
        </w:rPr>
        <w:t>cativa e din</w:t>
      </w:r>
      <w:r w:rsidR="00A013F1">
        <w:rPr>
          <w:rStyle w:val="hps"/>
        </w:rPr>
        <w:t>â</w:t>
      </w:r>
      <w:r w:rsidRPr="005E2876">
        <w:rPr>
          <w:rStyle w:val="hps"/>
        </w:rPr>
        <w:t>mica</w:t>
      </w:r>
      <w:r>
        <w:rPr>
          <w:rStyle w:val="hps"/>
        </w:rPr>
        <w:t xml:space="preserve"> </w:t>
      </w:r>
      <w:r w:rsidRPr="005E2876">
        <w:rPr>
          <w:rStyle w:val="hps"/>
        </w:rPr>
        <w:t>em retornos para oito pa</w:t>
      </w:r>
      <w:r w:rsidR="00A013F1">
        <w:rPr>
          <w:rStyle w:val="hps"/>
        </w:rPr>
        <w:t>í</w:t>
      </w:r>
      <w:r w:rsidRPr="005E2876">
        <w:rPr>
          <w:rStyle w:val="hps"/>
        </w:rPr>
        <w:t>ses industrializados.</w:t>
      </w:r>
    </w:p>
    <w:p w:rsidR="00B623A3" w:rsidRDefault="005E2876" w:rsidP="005E2876">
      <w:pPr>
        <w:autoSpaceDE w:val="0"/>
        <w:autoSpaceDN w:val="0"/>
        <w:adjustRightInd w:val="0"/>
        <w:spacing w:line="360" w:lineRule="auto"/>
        <w:ind w:firstLine="709"/>
        <w:jc w:val="both"/>
        <w:rPr>
          <w:rStyle w:val="hps"/>
        </w:rPr>
      </w:pPr>
      <w:r w:rsidRPr="005E2876">
        <w:rPr>
          <w:rStyle w:val="hps"/>
        </w:rPr>
        <w:t xml:space="preserve">Zapatero (1995) mostra que, nos mercados </w:t>
      </w:r>
      <w:r w:rsidR="00A013F1">
        <w:rPr>
          <w:rStyle w:val="hps"/>
        </w:rPr>
        <w:t>fi</w:t>
      </w:r>
      <w:r w:rsidRPr="005E2876">
        <w:rPr>
          <w:rStyle w:val="hps"/>
        </w:rPr>
        <w:t>nanceiros totalmente integrados, h</w:t>
      </w:r>
      <w:r w:rsidR="00A013F1">
        <w:rPr>
          <w:rStyle w:val="hps"/>
        </w:rPr>
        <w:t>á</w:t>
      </w:r>
      <w:r w:rsidRPr="005E2876">
        <w:rPr>
          <w:rStyle w:val="hps"/>
        </w:rPr>
        <w:t xml:space="preserve"> uma liga</w:t>
      </w:r>
      <w:r w:rsidR="00A013F1">
        <w:rPr>
          <w:rStyle w:val="hps"/>
        </w:rPr>
        <w:t>ção</w:t>
      </w:r>
      <w:r>
        <w:rPr>
          <w:rStyle w:val="hps"/>
        </w:rPr>
        <w:t xml:space="preserve"> </w:t>
      </w:r>
      <w:r w:rsidRPr="005E2876">
        <w:rPr>
          <w:rStyle w:val="hps"/>
        </w:rPr>
        <w:t>expl</w:t>
      </w:r>
      <w:r w:rsidR="00A013F1">
        <w:rPr>
          <w:rStyle w:val="hps"/>
        </w:rPr>
        <w:t>í</w:t>
      </w:r>
      <w:r w:rsidRPr="005E2876">
        <w:rPr>
          <w:rStyle w:val="hps"/>
        </w:rPr>
        <w:t>cita entre a volatilidade dos pre</w:t>
      </w:r>
      <w:r w:rsidR="00A013F1">
        <w:rPr>
          <w:rStyle w:val="hps"/>
        </w:rPr>
        <w:t>ç</w:t>
      </w:r>
      <w:r w:rsidRPr="005E2876">
        <w:rPr>
          <w:rStyle w:val="hps"/>
        </w:rPr>
        <w:t>os das a</w:t>
      </w:r>
      <w:r w:rsidR="00A013F1">
        <w:rPr>
          <w:rStyle w:val="hps"/>
        </w:rPr>
        <w:t>ções</w:t>
      </w:r>
      <w:r w:rsidRPr="005E2876">
        <w:rPr>
          <w:rStyle w:val="hps"/>
        </w:rPr>
        <w:t xml:space="preserve"> e a volatilida</w:t>
      </w:r>
      <w:r w:rsidR="00A013F1">
        <w:rPr>
          <w:rStyle w:val="hps"/>
        </w:rPr>
        <w:t>de da taxa de câ</w:t>
      </w:r>
      <w:r w:rsidRPr="005E2876">
        <w:rPr>
          <w:rStyle w:val="hps"/>
        </w:rPr>
        <w:t>mbio. Jorion (1990) e</w:t>
      </w:r>
      <w:r>
        <w:rPr>
          <w:rStyle w:val="hps"/>
        </w:rPr>
        <w:t xml:space="preserve"> </w:t>
      </w:r>
      <w:r w:rsidRPr="005E2876">
        <w:rPr>
          <w:rStyle w:val="hps"/>
        </w:rPr>
        <w:t>Booth e Rotenberg (1990) n</w:t>
      </w:r>
      <w:r w:rsidR="00A013F1">
        <w:rPr>
          <w:rStyle w:val="hps"/>
        </w:rPr>
        <w:t>ã</w:t>
      </w:r>
      <w:r w:rsidRPr="005E2876">
        <w:rPr>
          <w:rStyle w:val="hps"/>
        </w:rPr>
        <w:t>o conseguiram encontrar uma liga</w:t>
      </w:r>
      <w:r w:rsidR="00A013F1">
        <w:rPr>
          <w:rStyle w:val="hps"/>
        </w:rPr>
        <w:t>ção</w:t>
      </w:r>
      <w:r w:rsidRPr="005E2876">
        <w:rPr>
          <w:rStyle w:val="hps"/>
        </w:rPr>
        <w:t xml:space="preserve"> signicativa entre a varia</w:t>
      </w:r>
      <w:r w:rsidR="00A013F1">
        <w:rPr>
          <w:rStyle w:val="hps"/>
        </w:rPr>
        <w:t>ção</w:t>
      </w:r>
      <w:r w:rsidRPr="005E2876">
        <w:rPr>
          <w:rStyle w:val="hps"/>
        </w:rPr>
        <w:t xml:space="preserve"> cambial</w:t>
      </w:r>
      <w:r>
        <w:rPr>
          <w:rStyle w:val="hps"/>
        </w:rPr>
        <w:t xml:space="preserve"> </w:t>
      </w:r>
      <w:r w:rsidRPr="005E2876">
        <w:rPr>
          <w:rStyle w:val="hps"/>
        </w:rPr>
        <w:t>e os retornos das a</w:t>
      </w:r>
      <w:r w:rsidR="00A013F1">
        <w:rPr>
          <w:rStyle w:val="hps"/>
        </w:rPr>
        <w:t>ções</w:t>
      </w:r>
      <w:r w:rsidRPr="005E2876">
        <w:rPr>
          <w:rStyle w:val="hps"/>
        </w:rPr>
        <w:t xml:space="preserve"> de empresas dos EUA. Em um outro estudo semelhante Muradoglu, Taskin</w:t>
      </w:r>
      <w:r>
        <w:rPr>
          <w:rStyle w:val="hps"/>
        </w:rPr>
        <w:t xml:space="preserve"> </w:t>
      </w:r>
      <w:r w:rsidRPr="005E2876">
        <w:rPr>
          <w:rStyle w:val="hps"/>
        </w:rPr>
        <w:t>e Bigan (2000) tentaram descobrir a rela</w:t>
      </w:r>
      <w:r w:rsidR="00A013F1">
        <w:rPr>
          <w:rStyle w:val="hps"/>
        </w:rPr>
        <w:t>ção</w:t>
      </w:r>
      <w:r w:rsidRPr="005E2876">
        <w:rPr>
          <w:rStyle w:val="hps"/>
        </w:rPr>
        <w:t xml:space="preserve"> entre retornos e algumas vari</w:t>
      </w:r>
      <w:r w:rsidR="00A013F1">
        <w:rPr>
          <w:rStyle w:val="hps"/>
        </w:rPr>
        <w:t>á</w:t>
      </w:r>
      <w:r w:rsidRPr="005E2876">
        <w:rPr>
          <w:rStyle w:val="hps"/>
        </w:rPr>
        <w:t>veis macroecon</w:t>
      </w:r>
      <w:r w:rsidR="00A013F1">
        <w:rPr>
          <w:rStyle w:val="hps"/>
        </w:rPr>
        <w:t>ô</w:t>
      </w:r>
      <w:r w:rsidRPr="005E2876">
        <w:rPr>
          <w:rStyle w:val="hps"/>
        </w:rPr>
        <w:t>micas e</w:t>
      </w:r>
      <w:r>
        <w:rPr>
          <w:rStyle w:val="hps"/>
        </w:rPr>
        <w:t xml:space="preserve"> </w:t>
      </w:r>
      <w:r w:rsidRPr="005E2876">
        <w:rPr>
          <w:rStyle w:val="hps"/>
        </w:rPr>
        <w:t>conclu</w:t>
      </w:r>
      <w:r w:rsidR="00A013F1">
        <w:rPr>
          <w:rStyle w:val="hps"/>
        </w:rPr>
        <w:t>í</w:t>
      </w:r>
      <w:r w:rsidRPr="005E2876">
        <w:rPr>
          <w:rStyle w:val="hps"/>
        </w:rPr>
        <w:t>ram que existe uma rela</w:t>
      </w:r>
      <w:r w:rsidR="00A013F1">
        <w:rPr>
          <w:rStyle w:val="hps"/>
        </w:rPr>
        <w:t>ção</w:t>
      </w:r>
      <w:r w:rsidRPr="005E2876">
        <w:rPr>
          <w:rStyle w:val="hps"/>
        </w:rPr>
        <w:t xml:space="preserve"> causal da forma de taxas de c</w:t>
      </w:r>
      <w:r w:rsidR="00A013F1">
        <w:rPr>
          <w:rStyle w:val="hps"/>
        </w:rPr>
        <w:t>â</w:t>
      </w:r>
      <w:r w:rsidRPr="005E2876">
        <w:rPr>
          <w:rStyle w:val="hps"/>
        </w:rPr>
        <w:t>mbio para o retorno das a</w:t>
      </w:r>
      <w:r w:rsidR="00A013F1">
        <w:rPr>
          <w:rStyle w:val="hps"/>
        </w:rPr>
        <w:t>ções</w:t>
      </w:r>
      <w:r w:rsidRPr="005E2876">
        <w:rPr>
          <w:rStyle w:val="hps"/>
        </w:rPr>
        <w:t xml:space="preserve"> na</w:t>
      </w:r>
      <w:r>
        <w:rPr>
          <w:rStyle w:val="hps"/>
        </w:rPr>
        <w:t xml:space="preserve"> </w:t>
      </w:r>
      <w:r w:rsidRPr="005E2876">
        <w:rPr>
          <w:rStyle w:val="hps"/>
        </w:rPr>
        <w:t>Nig</w:t>
      </w:r>
      <w:r w:rsidR="00A013F1">
        <w:rPr>
          <w:rStyle w:val="hps"/>
        </w:rPr>
        <w:t>é</w:t>
      </w:r>
      <w:r w:rsidRPr="005E2876">
        <w:rPr>
          <w:rStyle w:val="hps"/>
        </w:rPr>
        <w:t>ria, M</w:t>
      </w:r>
      <w:r w:rsidR="00A013F1">
        <w:rPr>
          <w:rStyle w:val="hps"/>
        </w:rPr>
        <w:t>é</w:t>
      </w:r>
      <w:r w:rsidRPr="005E2876">
        <w:rPr>
          <w:rStyle w:val="hps"/>
        </w:rPr>
        <w:t xml:space="preserve">xico, Coreia, </w:t>
      </w:r>
      <w:r w:rsidR="00A013F1" w:rsidRPr="005E2876">
        <w:rPr>
          <w:rStyle w:val="hps"/>
        </w:rPr>
        <w:t>Gr</w:t>
      </w:r>
      <w:r w:rsidR="00A013F1">
        <w:rPr>
          <w:rStyle w:val="hps"/>
        </w:rPr>
        <w:t>é</w:t>
      </w:r>
      <w:r w:rsidR="00A013F1" w:rsidRPr="005E2876">
        <w:rPr>
          <w:rStyle w:val="hps"/>
        </w:rPr>
        <w:t>cia,</w:t>
      </w:r>
      <w:r w:rsidRPr="005E2876">
        <w:rPr>
          <w:rStyle w:val="hps"/>
        </w:rPr>
        <w:t xml:space="preserve"> Col</w:t>
      </w:r>
      <w:r w:rsidR="00A013F1">
        <w:rPr>
          <w:rStyle w:val="hps"/>
        </w:rPr>
        <w:t>ô</w:t>
      </w:r>
      <w:r w:rsidRPr="005E2876">
        <w:rPr>
          <w:rStyle w:val="hps"/>
        </w:rPr>
        <w:t>mbia e Brasil.</w:t>
      </w:r>
    </w:p>
    <w:p w:rsidR="005E2876" w:rsidRDefault="005E2876" w:rsidP="005E2876">
      <w:pPr>
        <w:autoSpaceDE w:val="0"/>
        <w:autoSpaceDN w:val="0"/>
        <w:adjustRightInd w:val="0"/>
        <w:spacing w:line="360" w:lineRule="auto"/>
        <w:ind w:firstLine="709"/>
        <w:jc w:val="both"/>
        <w:rPr>
          <w:rStyle w:val="hps"/>
        </w:rPr>
      </w:pPr>
      <w:r w:rsidRPr="005E2876">
        <w:rPr>
          <w:rStyle w:val="hps"/>
        </w:rPr>
        <w:t>Chen, Naylor e Lu (2004) apontaram que em um grande mercado com empresas bem diversi</w:t>
      </w:r>
      <w:r w:rsidR="00A013F1">
        <w:rPr>
          <w:rStyle w:val="hps"/>
        </w:rPr>
        <w:t>fi</w:t>
      </w:r>
      <w:r w:rsidRPr="005E2876">
        <w:rPr>
          <w:rStyle w:val="hps"/>
        </w:rPr>
        <w:t>cadas,</w:t>
      </w:r>
      <w:r>
        <w:rPr>
          <w:rStyle w:val="hps"/>
        </w:rPr>
        <w:t xml:space="preserve"> </w:t>
      </w:r>
      <w:r w:rsidRPr="005E2876">
        <w:rPr>
          <w:rStyle w:val="hps"/>
        </w:rPr>
        <w:t>fatores dom</w:t>
      </w:r>
      <w:r w:rsidR="00A013F1">
        <w:rPr>
          <w:rStyle w:val="hps"/>
        </w:rPr>
        <w:t>é</w:t>
      </w:r>
      <w:r w:rsidRPr="005E2876">
        <w:rPr>
          <w:rStyle w:val="hps"/>
        </w:rPr>
        <w:t>sticos podem ser mais importantes do que os fatores internacionais. Em contrapartida,</w:t>
      </w:r>
      <w:r>
        <w:rPr>
          <w:rStyle w:val="hps"/>
        </w:rPr>
        <w:t xml:space="preserve"> </w:t>
      </w:r>
      <w:r w:rsidRPr="005E2876">
        <w:rPr>
          <w:rStyle w:val="hps"/>
        </w:rPr>
        <w:t>tamb</w:t>
      </w:r>
      <w:r w:rsidR="00A013F1">
        <w:rPr>
          <w:rStyle w:val="hps"/>
        </w:rPr>
        <w:t>é</w:t>
      </w:r>
      <w:r w:rsidRPr="005E2876">
        <w:rPr>
          <w:rStyle w:val="hps"/>
        </w:rPr>
        <w:t>m concluem que o mercado da Nova Zel</w:t>
      </w:r>
      <w:r w:rsidR="00A013F1">
        <w:rPr>
          <w:rStyle w:val="hps"/>
        </w:rPr>
        <w:t>â</w:t>
      </w:r>
      <w:r w:rsidRPr="005E2876">
        <w:rPr>
          <w:rStyle w:val="hps"/>
        </w:rPr>
        <w:t xml:space="preserve">ndia </w:t>
      </w:r>
      <w:r w:rsidR="00A013F1">
        <w:rPr>
          <w:rStyle w:val="hps"/>
        </w:rPr>
        <w:t>é</w:t>
      </w:r>
      <w:r w:rsidRPr="005E2876">
        <w:rPr>
          <w:rStyle w:val="hps"/>
        </w:rPr>
        <w:t xml:space="preserve"> muito pequeno em rela</w:t>
      </w:r>
      <w:r w:rsidR="00A013F1">
        <w:rPr>
          <w:rStyle w:val="hps"/>
        </w:rPr>
        <w:t>ção</w:t>
      </w:r>
      <w:r w:rsidRPr="005E2876">
        <w:rPr>
          <w:rStyle w:val="hps"/>
        </w:rPr>
        <w:t xml:space="preserve"> ao mercado</w:t>
      </w:r>
      <w:r>
        <w:rPr>
          <w:rStyle w:val="hps"/>
        </w:rPr>
        <w:t xml:space="preserve"> </w:t>
      </w:r>
      <w:r w:rsidRPr="005E2876">
        <w:rPr>
          <w:rStyle w:val="hps"/>
        </w:rPr>
        <w:t>norte-americano e as empresas na Nova Zel</w:t>
      </w:r>
      <w:r w:rsidR="00A013F1">
        <w:rPr>
          <w:rStyle w:val="hps"/>
        </w:rPr>
        <w:t>â</w:t>
      </w:r>
      <w:r w:rsidRPr="005E2876">
        <w:rPr>
          <w:rStyle w:val="hps"/>
        </w:rPr>
        <w:t>ndia s</w:t>
      </w:r>
      <w:r w:rsidR="00A013F1">
        <w:rPr>
          <w:rStyle w:val="hps"/>
        </w:rPr>
        <w:t>ão</w:t>
      </w:r>
      <w:r w:rsidRPr="005E2876">
        <w:rPr>
          <w:rStyle w:val="hps"/>
        </w:rPr>
        <w:t xml:space="preserve"> muito menos diversi</w:t>
      </w:r>
      <w:r w:rsidR="00A013F1">
        <w:rPr>
          <w:rStyle w:val="hps"/>
        </w:rPr>
        <w:t>fi</w:t>
      </w:r>
      <w:r w:rsidRPr="005E2876">
        <w:rPr>
          <w:rStyle w:val="hps"/>
        </w:rPr>
        <w:t>cadas. Usando um modelo</w:t>
      </w:r>
      <w:r>
        <w:rPr>
          <w:rStyle w:val="hps"/>
        </w:rPr>
        <w:t xml:space="preserve"> </w:t>
      </w:r>
      <w:r w:rsidRPr="005E2876">
        <w:rPr>
          <w:rStyle w:val="hps"/>
        </w:rPr>
        <w:t>de dois fatores, acharam que os retornos de empresas da Nova Zel</w:t>
      </w:r>
      <w:r w:rsidR="00A013F1">
        <w:rPr>
          <w:rStyle w:val="hps"/>
        </w:rPr>
        <w:t>â</w:t>
      </w:r>
      <w:r w:rsidRPr="005E2876">
        <w:rPr>
          <w:rStyle w:val="hps"/>
        </w:rPr>
        <w:t>ndia (o primeiro momento)</w:t>
      </w:r>
      <w:r>
        <w:rPr>
          <w:rStyle w:val="hps"/>
        </w:rPr>
        <w:t xml:space="preserve"> </w:t>
      </w:r>
      <w:r w:rsidRPr="005E2876">
        <w:rPr>
          <w:rStyle w:val="hps"/>
        </w:rPr>
        <w:t>s</w:t>
      </w:r>
      <w:r w:rsidR="00A013F1">
        <w:rPr>
          <w:rStyle w:val="hps"/>
        </w:rPr>
        <w:t>ã</w:t>
      </w:r>
      <w:r w:rsidRPr="005E2876">
        <w:rPr>
          <w:rStyle w:val="hps"/>
        </w:rPr>
        <w:t>o signi</w:t>
      </w:r>
      <w:r w:rsidR="00A013F1">
        <w:rPr>
          <w:rStyle w:val="hps"/>
        </w:rPr>
        <w:t>fi</w:t>
      </w:r>
      <w:r w:rsidRPr="005E2876">
        <w:rPr>
          <w:rStyle w:val="hps"/>
        </w:rPr>
        <w:t>cativamente explicados pela varia</w:t>
      </w:r>
      <w:r w:rsidR="00A013F1">
        <w:rPr>
          <w:rStyle w:val="hps"/>
        </w:rPr>
        <w:t>ção</w:t>
      </w:r>
      <w:r w:rsidRPr="005E2876">
        <w:rPr>
          <w:rStyle w:val="hps"/>
        </w:rPr>
        <w:t xml:space="preserve"> cambial. No entanto, n</w:t>
      </w:r>
      <w:r w:rsidR="00A013F1">
        <w:rPr>
          <w:rStyle w:val="hps"/>
        </w:rPr>
        <w:t>ã</w:t>
      </w:r>
      <w:r w:rsidRPr="005E2876">
        <w:rPr>
          <w:rStyle w:val="hps"/>
        </w:rPr>
        <w:t>o analisaram a volatilidade</w:t>
      </w:r>
      <w:r>
        <w:rPr>
          <w:rStyle w:val="hps"/>
        </w:rPr>
        <w:t xml:space="preserve"> </w:t>
      </w:r>
      <w:r w:rsidRPr="005E2876">
        <w:rPr>
          <w:rStyle w:val="hps"/>
        </w:rPr>
        <w:t xml:space="preserve">(segundo momento) </w:t>
      </w:r>
      <w:r w:rsidRPr="00A013F1">
        <w:rPr>
          <w:rStyle w:val="hps"/>
          <w:i/>
        </w:rPr>
        <w:t>spillover</w:t>
      </w:r>
      <w:r w:rsidRPr="005E2876">
        <w:rPr>
          <w:rStyle w:val="hps"/>
        </w:rPr>
        <w:t xml:space="preserve"> entre os retornos do mercado de a</w:t>
      </w:r>
      <w:r w:rsidR="00A013F1">
        <w:rPr>
          <w:rStyle w:val="hps"/>
        </w:rPr>
        <w:t>ções</w:t>
      </w:r>
      <w:r w:rsidRPr="005E2876">
        <w:rPr>
          <w:rStyle w:val="hps"/>
        </w:rPr>
        <w:t xml:space="preserve"> e mudan</w:t>
      </w:r>
      <w:r w:rsidR="00A013F1">
        <w:rPr>
          <w:rStyle w:val="hps"/>
        </w:rPr>
        <w:t>ç</w:t>
      </w:r>
      <w:r w:rsidRPr="005E2876">
        <w:rPr>
          <w:rStyle w:val="hps"/>
        </w:rPr>
        <w:t>as nas taxas de c</w:t>
      </w:r>
      <w:r w:rsidR="00A013F1">
        <w:rPr>
          <w:rStyle w:val="hps"/>
        </w:rPr>
        <w:t>â</w:t>
      </w:r>
      <w:r w:rsidRPr="005E2876">
        <w:rPr>
          <w:rStyle w:val="hps"/>
        </w:rPr>
        <w:t>mbio na economia da Nova Zel</w:t>
      </w:r>
      <w:r w:rsidR="00A013F1">
        <w:rPr>
          <w:rStyle w:val="hps"/>
        </w:rPr>
        <w:t>â</w:t>
      </w:r>
      <w:r w:rsidRPr="005E2876">
        <w:rPr>
          <w:rStyle w:val="hps"/>
        </w:rPr>
        <w:t>ndia.</w:t>
      </w:r>
    </w:p>
    <w:p w:rsidR="005E2876" w:rsidRDefault="005E2876" w:rsidP="005E2876">
      <w:pPr>
        <w:autoSpaceDE w:val="0"/>
        <w:autoSpaceDN w:val="0"/>
        <w:adjustRightInd w:val="0"/>
        <w:spacing w:line="360" w:lineRule="auto"/>
        <w:ind w:firstLine="709"/>
        <w:jc w:val="both"/>
        <w:rPr>
          <w:rStyle w:val="hps"/>
        </w:rPr>
      </w:pPr>
      <w:r w:rsidRPr="005E2876">
        <w:rPr>
          <w:rStyle w:val="hps"/>
        </w:rPr>
        <w:t>Black (1976) e Christie (1982) concluem de maneira semelhante que uma queda do pre</w:t>
      </w:r>
      <w:r w:rsidR="00A013F1">
        <w:rPr>
          <w:rStyle w:val="hps"/>
        </w:rPr>
        <w:t>ç</w:t>
      </w:r>
      <w:r w:rsidRPr="005E2876">
        <w:rPr>
          <w:rStyle w:val="hps"/>
        </w:rPr>
        <w:t>o das</w:t>
      </w:r>
      <w:r>
        <w:rPr>
          <w:rStyle w:val="hps"/>
        </w:rPr>
        <w:t xml:space="preserve"> </w:t>
      </w:r>
      <w:r w:rsidRPr="005E2876">
        <w:rPr>
          <w:rStyle w:val="hps"/>
        </w:rPr>
        <w:t>a</w:t>
      </w:r>
      <w:r w:rsidR="00A013F1">
        <w:rPr>
          <w:rStyle w:val="hps"/>
        </w:rPr>
        <w:t>ções</w:t>
      </w:r>
      <w:r w:rsidRPr="005E2876">
        <w:rPr>
          <w:rStyle w:val="hps"/>
        </w:rPr>
        <w:t xml:space="preserve"> </w:t>
      </w:r>
      <w:r w:rsidR="00A013F1">
        <w:rPr>
          <w:rStyle w:val="hps"/>
        </w:rPr>
        <w:t>é</w:t>
      </w:r>
      <w:r w:rsidRPr="005E2876">
        <w:rPr>
          <w:rStyle w:val="hps"/>
        </w:rPr>
        <w:t xml:space="preserve"> </w:t>
      </w:r>
      <w:r w:rsidR="00A013F1" w:rsidRPr="005E2876">
        <w:rPr>
          <w:rStyle w:val="hps"/>
        </w:rPr>
        <w:t>seguida</w:t>
      </w:r>
      <w:r w:rsidRPr="005E2876">
        <w:rPr>
          <w:rStyle w:val="hps"/>
        </w:rPr>
        <w:t xml:space="preserve"> por um aumento na volatilidade das a</w:t>
      </w:r>
      <w:r w:rsidR="00A013F1">
        <w:rPr>
          <w:rStyle w:val="hps"/>
        </w:rPr>
        <w:t>ções</w:t>
      </w:r>
      <w:r w:rsidRPr="005E2876">
        <w:rPr>
          <w:rStyle w:val="hps"/>
        </w:rPr>
        <w:t xml:space="preserve"> subsequente. Esta observa</w:t>
      </w:r>
      <w:r w:rsidR="00A013F1">
        <w:rPr>
          <w:rStyle w:val="hps"/>
        </w:rPr>
        <w:t>ção</w:t>
      </w:r>
      <w:r w:rsidRPr="005E2876">
        <w:rPr>
          <w:rStyle w:val="hps"/>
        </w:rPr>
        <w:t xml:space="preserve"> </w:t>
      </w:r>
      <w:r w:rsidR="00A013F1">
        <w:rPr>
          <w:rStyle w:val="hps"/>
        </w:rPr>
        <w:t>é</w:t>
      </w:r>
      <w:r w:rsidRPr="005E2876">
        <w:rPr>
          <w:rStyle w:val="hps"/>
        </w:rPr>
        <w:t xml:space="preserve"> denominada</w:t>
      </w:r>
      <w:r>
        <w:rPr>
          <w:rStyle w:val="hps"/>
        </w:rPr>
        <w:t xml:space="preserve"> </w:t>
      </w:r>
      <w:r w:rsidRPr="005E2876">
        <w:rPr>
          <w:rStyle w:val="hps"/>
        </w:rPr>
        <w:t xml:space="preserve">como o efeito de alavanca, que </w:t>
      </w:r>
      <w:r w:rsidR="004228C2">
        <w:rPr>
          <w:rStyle w:val="hps"/>
        </w:rPr>
        <w:t>é</w:t>
      </w:r>
      <w:r w:rsidRPr="005E2876">
        <w:rPr>
          <w:rStyle w:val="hps"/>
        </w:rPr>
        <w:t xml:space="preserve"> testado no modelo GJR-GARCH desenvolvido por Glosten,</w:t>
      </w:r>
      <w:r>
        <w:rPr>
          <w:rStyle w:val="hps"/>
        </w:rPr>
        <w:t xml:space="preserve"> </w:t>
      </w:r>
      <w:r w:rsidRPr="005E2876">
        <w:rPr>
          <w:rStyle w:val="hps"/>
        </w:rPr>
        <w:t>Jagannathan e Runkle (1993).</w:t>
      </w:r>
    </w:p>
    <w:p w:rsidR="005E2876" w:rsidRDefault="00621DB8" w:rsidP="00621DB8">
      <w:pPr>
        <w:autoSpaceDE w:val="0"/>
        <w:autoSpaceDN w:val="0"/>
        <w:adjustRightInd w:val="0"/>
        <w:spacing w:line="360" w:lineRule="auto"/>
        <w:ind w:firstLine="709"/>
        <w:jc w:val="both"/>
        <w:rPr>
          <w:rStyle w:val="hps"/>
        </w:rPr>
      </w:pPr>
      <w:r w:rsidRPr="00621DB8">
        <w:rPr>
          <w:rStyle w:val="hps"/>
        </w:rPr>
        <w:t>Um estudo de Alaganar e Bhar (2007) indica que os efeitos de primeira e de segunda ordem</w:t>
      </w:r>
      <w:r>
        <w:rPr>
          <w:rStyle w:val="hps"/>
        </w:rPr>
        <w:t xml:space="preserve"> </w:t>
      </w:r>
      <w:r w:rsidRPr="00621DB8">
        <w:rPr>
          <w:rStyle w:val="hps"/>
        </w:rPr>
        <w:t>da taxa de c</w:t>
      </w:r>
      <w:r w:rsidR="004228C2">
        <w:rPr>
          <w:rStyle w:val="hps"/>
        </w:rPr>
        <w:t>â</w:t>
      </w:r>
      <w:r w:rsidRPr="00621DB8">
        <w:rPr>
          <w:rStyle w:val="hps"/>
        </w:rPr>
        <w:t>mbio t</w:t>
      </w:r>
      <w:r w:rsidR="004228C2">
        <w:rPr>
          <w:rStyle w:val="hps"/>
        </w:rPr>
        <w:t>ê</w:t>
      </w:r>
      <w:r w:rsidRPr="00621DB8">
        <w:rPr>
          <w:rStyle w:val="hps"/>
        </w:rPr>
        <w:t>m um impacto signi</w:t>
      </w:r>
      <w:r w:rsidR="004228C2">
        <w:rPr>
          <w:rStyle w:val="hps"/>
        </w:rPr>
        <w:t>fi</w:t>
      </w:r>
      <w:r w:rsidRPr="00621DB8">
        <w:rPr>
          <w:rStyle w:val="hps"/>
        </w:rPr>
        <w:t>cativo em carteiras diversi</w:t>
      </w:r>
      <w:r w:rsidR="004228C2">
        <w:rPr>
          <w:rStyle w:val="hps"/>
        </w:rPr>
        <w:t>fi</w:t>
      </w:r>
      <w:r w:rsidRPr="00621DB8">
        <w:rPr>
          <w:rStyle w:val="hps"/>
        </w:rPr>
        <w:t>cadas no mercado acion</w:t>
      </w:r>
      <w:r w:rsidR="004228C2">
        <w:rPr>
          <w:rStyle w:val="hps"/>
        </w:rPr>
        <w:t>á</w:t>
      </w:r>
      <w:r w:rsidRPr="00621DB8">
        <w:rPr>
          <w:rStyle w:val="hps"/>
        </w:rPr>
        <w:t>rio</w:t>
      </w:r>
      <w:r>
        <w:rPr>
          <w:rStyle w:val="hps"/>
        </w:rPr>
        <w:t xml:space="preserve"> </w:t>
      </w:r>
      <w:r w:rsidRPr="00621DB8">
        <w:rPr>
          <w:rStyle w:val="hps"/>
        </w:rPr>
        <w:lastRenderedPageBreak/>
        <w:t>norte-americano. Empregaram os modelos GJR-GARCH e GARCH-M para testar o impacto da</w:t>
      </w:r>
      <w:r>
        <w:rPr>
          <w:rStyle w:val="hps"/>
        </w:rPr>
        <w:t xml:space="preserve"> </w:t>
      </w:r>
      <w:r w:rsidRPr="00621DB8">
        <w:rPr>
          <w:rStyle w:val="hps"/>
        </w:rPr>
        <w:t>volatilidade da taxa de c</w:t>
      </w:r>
      <w:r w:rsidR="004228C2">
        <w:rPr>
          <w:rStyle w:val="hps"/>
        </w:rPr>
        <w:t>â</w:t>
      </w:r>
      <w:r w:rsidRPr="00621DB8">
        <w:rPr>
          <w:rStyle w:val="hps"/>
        </w:rPr>
        <w:t>mbio sobre os retornos de carteiras. Eles apontaram que a vari</w:t>
      </w:r>
      <w:r w:rsidR="004228C2">
        <w:rPr>
          <w:rStyle w:val="hps"/>
        </w:rPr>
        <w:t>â</w:t>
      </w:r>
      <w:r w:rsidRPr="00621DB8">
        <w:rPr>
          <w:rStyle w:val="hps"/>
        </w:rPr>
        <w:t>ncia da</w:t>
      </w:r>
      <w:r>
        <w:rPr>
          <w:rStyle w:val="hps"/>
        </w:rPr>
        <w:t xml:space="preserve"> </w:t>
      </w:r>
      <w:r w:rsidRPr="00621DB8">
        <w:rPr>
          <w:rStyle w:val="hps"/>
        </w:rPr>
        <w:t>taxa de c</w:t>
      </w:r>
      <w:r w:rsidR="004228C2">
        <w:rPr>
          <w:rStyle w:val="hps"/>
        </w:rPr>
        <w:t>â</w:t>
      </w:r>
      <w:r w:rsidRPr="00621DB8">
        <w:rPr>
          <w:rStyle w:val="hps"/>
        </w:rPr>
        <w:t xml:space="preserve">mbio </w:t>
      </w:r>
      <w:r w:rsidR="004228C2">
        <w:rPr>
          <w:rStyle w:val="hps"/>
        </w:rPr>
        <w:t>é</w:t>
      </w:r>
      <w:r w:rsidRPr="00621DB8">
        <w:rPr>
          <w:rStyle w:val="hps"/>
        </w:rPr>
        <w:t xml:space="preserve"> importante para diversi</w:t>
      </w:r>
      <w:r w:rsidR="004228C2">
        <w:rPr>
          <w:rStyle w:val="hps"/>
        </w:rPr>
        <w:t>fi</w:t>
      </w:r>
      <w:r w:rsidRPr="00621DB8">
        <w:rPr>
          <w:rStyle w:val="hps"/>
        </w:rPr>
        <w:t>ca</w:t>
      </w:r>
      <w:r w:rsidR="004228C2">
        <w:rPr>
          <w:rStyle w:val="hps"/>
        </w:rPr>
        <w:t>ções</w:t>
      </w:r>
      <w:r w:rsidRPr="00621DB8">
        <w:rPr>
          <w:rStyle w:val="hps"/>
        </w:rPr>
        <w:t xml:space="preserve"> no mercado de a</w:t>
      </w:r>
      <w:r w:rsidR="004228C2">
        <w:rPr>
          <w:rStyle w:val="hps"/>
        </w:rPr>
        <w:t>ções</w:t>
      </w:r>
      <w:r w:rsidRPr="00621DB8">
        <w:rPr>
          <w:rStyle w:val="hps"/>
        </w:rPr>
        <w:t>.</w:t>
      </w:r>
    </w:p>
    <w:p w:rsidR="00621DB8" w:rsidRDefault="00621DB8" w:rsidP="00621DB8">
      <w:pPr>
        <w:autoSpaceDE w:val="0"/>
        <w:autoSpaceDN w:val="0"/>
        <w:adjustRightInd w:val="0"/>
        <w:spacing w:line="360" w:lineRule="auto"/>
        <w:ind w:firstLine="709"/>
        <w:jc w:val="both"/>
        <w:rPr>
          <w:rStyle w:val="hps"/>
        </w:rPr>
      </w:pPr>
      <w:r w:rsidRPr="00621DB8">
        <w:rPr>
          <w:rStyle w:val="hps"/>
        </w:rPr>
        <w:t xml:space="preserve">Morales (2008) estudou os </w:t>
      </w:r>
      <w:r w:rsidRPr="004228C2">
        <w:rPr>
          <w:rStyle w:val="hps"/>
          <w:i/>
        </w:rPr>
        <w:t>spillovers</w:t>
      </w:r>
      <w:r w:rsidR="004228C2">
        <w:rPr>
          <w:rStyle w:val="hps"/>
        </w:rPr>
        <w:t xml:space="preserve"> v</w:t>
      </w:r>
      <w:r w:rsidRPr="00621DB8">
        <w:rPr>
          <w:rStyle w:val="hps"/>
        </w:rPr>
        <w:t>olatilidade entre retornos e de c</w:t>
      </w:r>
      <w:r w:rsidR="004228C2">
        <w:rPr>
          <w:rStyle w:val="hps"/>
        </w:rPr>
        <w:t>â</w:t>
      </w:r>
      <w:r w:rsidRPr="00621DB8">
        <w:rPr>
          <w:rStyle w:val="hps"/>
        </w:rPr>
        <w:t>mbio: evid</w:t>
      </w:r>
      <w:r w:rsidR="004228C2">
        <w:rPr>
          <w:rStyle w:val="hps"/>
        </w:rPr>
        <w:t>ê</w:t>
      </w:r>
      <w:r w:rsidRPr="00621DB8">
        <w:rPr>
          <w:rStyle w:val="hps"/>
        </w:rPr>
        <w:t>ncias</w:t>
      </w:r>
      <w:r>
        <w:rPr>
          <w:rStyle w:val="hps"/>
        </w:rPr>
        <w:t xml:space="preserve"> </w:t>
      </w:r>
      <w:r w:rsidRPr="00621DB8">
        <w:rPr>
          <w:rStyle w:val="hps"/>
        </w:rPr>
        <w:t>de quatro</w:t>
      </w:r>
      <w:r>
        <w:rPr>
          <w:rStyle w:val="hps"/>
        </w:rPr>
        <w:t xml:space="preserve"> </w:t>
      </w:r>
      <w:r w:rsidRPr="00621DB8">
        <w:rPr>
          <w:rStyle w:val="hps"/>
        </w:rPr>
        <w:t>pa</w:t>
      </w:r>
      <w:r w:rsidR="004228C2">
        <w:rPr>
          <w:rStyle w:val="hps"/>
        </w:rPr>
        <w:t>í</w:t>
      </w:r>
      <w:r w:rsidRPr="00621DB8">
        <w:rPr>
          <w:rStyle w:val="hps"/>
        </w:rPr>
        <w:t>ses do Leste Europeu. Para os efeitos de transbordamento assim</w:t>
      </w:r>
      <w:r w:rsidR="004228C2">
        <w:rPr>
          <w:rStyle w:val="hps"/>
        </w:rPr>
        <w:t>é</w:t>
      </w:r>
      <w:r w:rsidRPr="00621DB8">
        <w:rPr>
          <w:rStyle w:val="hps"/>
        </w:rPr>
        <w:t>tricos eles descobriram que este</w:t>
      </w:r>
      <w:r>
        <w:rPr>
          <w:rStyle w:val="hps"/>
        </w:rPr>
        <w:t xml:space="preserve"> </w:t>
      </w:r>
      <w:r w:rsidRPr="00621DB8">
        <w:rPr>
          <w:rStyle w:val="hps"/>
        </w:rPr>
        <w:t xml:space="preserve">efeito </w:t>
      </w:r>
      <w:r w:rsidR="004228C2">
        <w:rPr>
          <w:rStyle w:val="hps"/>
        </w:rPr>
        <w:t>é</w:t>
      </w:r>
      <w:r w:rsidRPr="00621DB8">
        <w:rPr>
          <w:rStyle w:val="hps"/>
        </w:rPr>
        <w:t xml:space="preserve"> relevante para todos os pa</w:t>
      </w:r>
      <w:r w:rsidR="004228C2">
        <w:rPr>
          <w:rStyle w:val="hps"/>
        </w:rPr>
        <w:t>í</w:t>
      </w:r>
      <w:r w:rsidRPr="00621DB8">
        <w:rPr>
          <w:rStyle w:val="hps"/>
        </w:rPr>
        <w:t>ses, a partir dos retornos das a</w:t>
      </w:r>
      <w:r w:rsidR="004228C2">
        <w:rPr>
          <w:rStyle w:val="hps"/>
        </w:rPr>
        <w:t>ções</w:t>
      </w:r>
      <w:r w:rsidRPr="00621DB8">
        <w:rPr>
          <w:rStyle w:val="hps"/>
        </w:rPr>
        <w:t xml:space="preserve"> para as taxas de c</w:t>
      </w:r>
      <w:r w:rsidR="004228C2">
        <w:rPr>
          <w:rStyle w:val="hps"/>
        </w:rPr>
        <w:t>â</w:t>
      </w:r>
      <w:r w:rsidRPr="00621DB8">
        <w:rPr>
          <w:rStyle w:val="hps"/>
        </w:rPr>
        <w:t>mbio, tendo</w:t>
      </w:r>
      <w:r>
        <w:rPr>
          <w:rStyle w:val="hps"/>
        </w:rPr>
        <w:t xml:space="preserve"> </w:t>
      </w:r>
      <w:r w:rsidRPr="00621DB8">
        <w:rPr>
          <w:rStyle w:val="hps"/>
        </w:rPr>
        <w:t>todos os coe</w:t>
      </w:r>
      <w:r w:rsidR="004228C2">
        <w:rPr>
          <w:rStyle w:val="hps"/>
        </w:rPr>
        <w:t>fi</w:t>
      </w:r>
      <w:r w:rsidRPr="00621DB8">
        <w:rPr>
          <w:rStyle w:val="hps"/>
        </w:rPr>
        <w:t xml:space="preserve">cientes com sinais positivos, que </w:t>
      </w:r>
      <w:r w:rsidR="004228C2">
        <w:rPr>
          <w:rStyle w:val="hps"/>
        </w:rPr>
        <w:t>é</w:t>
      </w:r>
      <w:r w:rsidRPr="00621DB8">
        <w:rPr>
          <w:rStyle w:val="hps"/>
        </w:rPr>
        <w:t xml:space="preserve"> interpretada da seguinte forma: uma boa not</w:t>
      </w:r>
      <w:r w:rsidR="004228C2">
        <w:rPr>
          <w:rStyle w:val="hps"/>
        </w:rPr>
        <w:t>í</w:t>
      </w:r>
      <w:r w:rsidRPr="00621DB8">
        <w:rPr>
          <w:rStyle w:val="hps"/>
        </w:rPr>
        <w:t>cia tem</w:t>
      </w:r>
      <w:r>
        <w:rPr>
          <w:rStyle w:val="hps"/>
        </w:rPr>
        <w:t xml:space="preserve"> </w:t>
      </w:r>
      <w:r w:rsidRPr="00621DB8">
        <w:rPr>
          <w:rStyle w:val="hps"/>
        </w:rPr>
        <w:t>um impacto maior na volatilidade do que inesperada m</w:t>
      </w:r>
      <w:r w:rsidR="004228C2">
        <w:rPr>
          <w:rStyle w:val="hps"/>
        </w:rPr>
        <w:t>á</w:t>
      </w:r>
      <w:r w:rsidRPr="00621DB8">
        <w:rPr>
          <w:rStyle w:val="hps"/>
        </w:rPr>
        <w:t xml:space="preserve"> not</w:t>
      </w:r>
      <w:r w:rsidR="004228C2">
        <w:rPr>
          <w:rStyle w:val="hps"/>
        </w:rPr>
        <w:t>í</w:t>
      </w:r>
      <w:r w:rsidRPr="00621DB8">
        <w:rPr>
          <w:rStyle w:val="hps"/>
        </w:rPr>
        <w:t>cia.</w:t>
      </w:r>
    </w:p>
    <w:p w:rsidR="00621DB8" w:rsidRDefault="00621DB8" w:rsidP="00621DB8">
      <w:pPr>
        <w:autoSpaceDE w:val="0"/>
        <w:autoSpaceDN w:val="0"/>
        <w:adjustRightInd w:val="0"/>
        <w:spacing w:line="360" w:lineRule="auto"/>
        <w:ind w:firstLine="709"/>
        <w:jc w:val="both"/>
        <w:rPr>
          <w:rStyle w:val="hps"/>
        </w:rPr>
      </w:pPr>
      <w:r w:rsidRPr="00621DB8">
        <w:rPr>
          <w:rStyle w:val="hps"/>
        </w:rPr>
        <w:t>Diamandis e Drakos (2011) examinaram a din</w:t>
      </w:r>
      <w:r w:rsidR="004228C2">
        <w:rPr>
          <w:rStyle w:val="hps"/>
        </w:rPr>
        <w:t>â</w:t>
      </w:r>
      <w:r w:rsidRPr="00621DB8">
        <w:rPr>
          <w:rStyle w:val="hps"/>
        </w:rPr>
        <w:t>mica de longo prazo e de curto prazo entre os</w:t>
      </w:r>
      <w:r>
        <w:rPr>
          <w:rStyle w:val="hps"/>
        </w:rPr>
        <w:t xml:space="preserve"> </w:t>
      </w:r>
      <w:r w:rsidRPr="00621DB8">
        <w:rPr>
          <w:rStyle w:val="hps"/>
        </w:rPr>
        <w:t>mercados de a</w:t>
      </w:r>
      <w:r w:rsidR="004228C2">
        <w:rPr>
          <w:rStyle w:val="hps"/>
        </w:rPr>
        <w:t>ções</w:t>
      </w:r>
      <w:r w:rsidRPr="00621DB8">
        <w:rPr>
          <w:rStyle w:val="hps"/>
        </w:rPr>
        <w:t xml:space="preserve"> e c</w:t>
      </w:r>
      <w:r w:rsidR="004228C2">
        <w:rPr>
          <w:rStyle w:val="hps"/>
        </w:rPr>
        <w:t>â</w:t>
      </w:r>
      <w:r w:rsidRPr="00621DB8">
        <w:rPr>
          <w:rStyle w:val="hps"/>
        </w:rPr>
        <w:t>mbio de quatro pa</w:t>
      </w:r>
      <w:r w:rsidR="004228C2">
        <w:rPr>
          <w:rStyle w:val="hps"/>
        </w:rPr>
        <w:t>í</w:t>
      </w:r>
      <w:r w:rsidRPr="00621DB8">
        <w:rPr>
          <w:rStyle w:val="hps"/>
        </w:rPr>
        <w:t>ses latino-americanos (Argentina, Brasil, Chile e Mexico),</w:t>
      </w:r>
      <w:r>
        <w:rPr>
          <w:rStyle w:val="hps"/>
        </w:rPr>
        <w:t xml:space="preserve"> </w:t>
      </w:r>
      <w:r w:rsidRPr="00621DB8">
        <w:rPr>
          <w:rStyle w:val="hps"/>
        </w:rPr>
        <w:t>bem como suas intera</w:t>
      </w:r>
      <w:r w:rsidR="004228C2">
        <w:rPr>
          <w:rStyle w:val="hps"/>
        </w:rPr>
        <w:t>ções</w:t>
      </w:r>
      <w:r w:rsidRPr="00621DB8">
        <w:rPr>
          <w:rStyle w:val="hps"/>
        </w:rPr>
        <w:t xml:space="preserve"> com os mercados de a</w:t>
      </w:r>
      <w:r w:rsidR="004228C2">
        <w:rPr>
          <w:rStyle w:val="hps"/>
        </w:rPr>
        <w:t>ções</w:t>
      </w:r>
      <w:r w:rsidRPr="00621DB8">
        <w:rPr>
          <w:rStyle w:val="hps"/>
        </w:rPr>
        <w:t xml:space="preserve"> dos EUA. Esses autores encontraram que os</w:t>
      </w:r>
      <w:r>
        <w:rPr>
          <w:rStyle w:val="hps"/>
        </w:rPr>
        <w:t xml:space="preserve"> </w:t>
      </w:r>
      <w:r w:rsidRPr="00621DB8">
        <w:rPr>
          <w:rStyle w:val="hps"/>
        </w:rPr>
        <w:t>dois mercados nessas economias est</w:t>
      </w:r>
      <w:r w:rsidR="004228C2">
        <w:rPr>
          <w:rStyle w:val="hps"/>
        </w:rPr>
        <w:t>ã</w:t>
      </w:r>
      <w:r w:rsidRPr="00621DB8">
        <w:rPr>
          <w:rStyle w:val="hps"/>
        </w:rPr>
        <w:t>o positivamente relacionados e o mercado de a</w:t>
      </w:r>
      <w:r w:rsidR="004228C2">
        <w:rPr>
          <w:rStyle w:val="hps"/>
        </w:rPr>
        <w:t>ções</w:t>
      </w:r>
      <w:r w:rsidRPr="00621DB8">
        <w:rPr>
          <w:rStyle w:val="hps"/>
        </w:rPr>
        <w:t xml:space="preserve"> dos Estados</w:t>
      </w:r>
      <w:r>
        <w:rPr>
          <w:rStyle w:val="hps"/>
        </w:rPr>
        <w:t xml:space="preserve"> </w:t>
      </w:r>
      <w:r w:rsidRPr="00621DB8">
        <w:rPr>
          <w:rStyle w:val="hps"/>
        </w:rPr>
        <w:t xml:space="preserve">Unidos representa um canal de </w:t>
      </w:r>
      <w:r w:rsidR="004228C2" w:rsidRPr="00621DB8">
        <w:rPr>
          <w:rStyle w:val="hps"/>
        </w:rPr>
        <w:t>transmissão</w:t>
      </w:r>
      <w:r w:rsidRPr="00621DB8">
        <w:rPr>
          <w:rStyle w:val="hps"/>
        </w:rPr>
        <w:t xml:space="preserve"> para esses efeitos.</w:t>
      </w:r>
    </w:p>
    <w:p w:rsidR="00621DB8" w:rsidRDefault="00621DB8" w:rsidP="00621DB8">
      <w:pPr>
        <w:autoSpaceDE w:val="0"/>
        <w:autoSpaceDN w:val="0"/>
        <w:adjustRightInd w:val="0"/>
        <w:spacing w:line="360" w:lineRule="auto"/>
        <w:ind w:firstLine="709"/>
        <w:jc w:val="both"/>
        <w:rPr>
          <w:rStyle w:val="hps"/>
        </w:rPr>
      </w:pPr>
      <w:r w:rsidRPr="00621DB8">
        <w:rPr>
          <w:rStyle w:val="hps"/>
        </w:rPr>
        <w:t>Chkili e Nguyen (2014) usaram uma abordagem de modelo de mudan</w:t>
      </w:r>
      <w:r w:rsidR="004228C2">
        <w:rPr>
          <w:rStyle w:val="hps"/>
        </w:rPr>
        <w:t>ç</w:t>
      </w:r>
      <w:r w:rsidRPr="00621DB8">
        <w:rPr>
          <w:rStyle w:val="hps"/>
        </w:rPr>
        <w:t>a de regime para</w:t>
      </w:r>
      <w:r>
        <w:rPr>
          <w:rStyle w:val="hps"/>
        </w:rPr>
        <w:t xml:space="preserve"> </w:t>
      </w:r>
      <w:r w:rsidRPr="00621DB8">
        <w:rPr>
          <w:rStyle w:val="hps"/>
        </w:rPr>
        <w:t>investigar</w:t>
      </w:r>
      <w:r>
        <w:rPr>
          <w:rStyle w:val="hps"/>
        </w:rPr>
        <w:t xml:space="preserve"> </w:t>
      </w:r>
      <w:r w:rsidRPr="00621DB8">
        <w:rPr>
          <w:rStyle w:val="hps"/>
        </w:rPr>
        <w:t>as rela</w:t>
      </w:r>
      <w:r w:rsidR="004228C2">
        <w:rPr>
          <w:rStyle w:val="hps"/>
        </w:rPr>
        <w:t>ções</w:t>
      </w:r>
      <w:r w:rsidRPr="00621DB8">
        <w:rPr>
          <w:rStyle w:val="hps"/>
        </w:rPr>
        <w:t xml:space="preserve"> din</w:t>
      </w:r>
      <w:r w:rsidR="004228C2">
        <w:rPr>
          <w:rStyle w:val="hps"/>
        </w:rPr>
        <w:t>â</w:t>
      </w:r>
      <w:r w:rsidRPr="00621DB8">
        <w:rPr>
          <w:rStyle w:val="hps"/>
        </w:rPr>
        <w:t>micas entre as taxas de c</w:t>
      </w:r>
      <w:r w:rsidR="004228C2">
        <w:rPr>
          <w:rStyle w:val="hps"/>
        </w:rPr>
        <w:t>â</w:t>
      </w:r>
      <w:r w:rsidRPr="00621DB8">
        <w:rPr>
          <w:rStyle w:val="hps"/>
        </w:rPr>
        <w:t>mbio e os retornos do mercado de a</w:t>
      </w:r>
      <w:r w:rsidR="004228C2">
        <w:rPr>
          <w:rStyle w:val="hps"/>
        </w:rPr>
        <w:t>ções</w:t>
      </w:r>
      <w:r w:rsidRPr="00621DB8">
        <w:rPr>
          <w:rStyle w:val="hps"/>
        </w:rPr>
        <w:t xml:space="preserve"> para os pa</w:t>
      </w:r>
      <w:r w:rsidR="004228C2">
        <w:rPr>
          <w:rStyle w:val="hps"/>
        </w:rPr>
        <w:t>í</w:t>
      </w:r>
      <w:r w:rsidRPr="00621DB8">
        <w:rPr>
          <w:rStyle w:val="hps"/>
        </w:rPr>
        <w:t>ses</w:t>
      </w:r>
      <w:r>
        <w:rPr>
          <w:rStyle w:val="hps"/>
        </w:rPr>
        <w:t xml:space="preserve"> </w:t>
      </w:r>
      <w:r w:rsidRPr="00621DB8">
        <w:rPr>
          <w:rStyle w:val="hps"/>
        </w:rPr>
        <w:t>BRICS (Brasil, R</w:t>
      </w:r>
      <w:r w:rsidR="004228C2">
        <w:rPr>
          <w:rStyle w:val="hps"/>
        </w:rPr>
        <w:t>ú</w:t>
      </w:r>
      <w:r w:rsidRPr="00621DB8">
        <w:rPr>
          <w:rStyle w:val="hps"/>
        </w:rPr>
        <w:t xml:space="preserve">ssia, </w:t>
      </w:r>
      <w:r w:rsidR="004228C2">
        <w:rPr>
          <w:rStyle w:val="hps"/>
        </w:rPr>
        <w:t>Í</w:t>
      </w:r>
      <w:r w:rsidRPr="00621DB8">
        <w:rPr>
          <w:rStyle w:val="hps"/>
        </w:rPr>
        <w:t xml:space="preserve">ndia, China e </w:t>
      </w:r>
      <w:r w:rsidR="004228C2">
        <w:rPr>
          <w:rStyle w:val="hps"/>
        </w:rPr>
        <w:t>Á</w:t>
      </w:r>
      <w:r w:rsidRPr="00621DB8">
        <w:rPr>
          <w:rStyle w:val="hps"/>
        </w:rPr>
        <w:t>frica do Sul). A an</w:t>
      </w:r>
      <w:r w:rsidR="004228C2">
        <w:rPr>
          <w:rStyle w:val="hps"/>
        </w:rPr>
        <w:t>á</w:t>
      </w:r>
      <w:r w:rsidRPr="00621DB8">
        <w:rPr>
          <w:rStyle w:val="hps"/>
        </w:rPr>
        <w:t>lise univariada indica que os retornos</w:t>
      </w:r>
      <w:r>
        <w:rPr>
          <w:rStyle w:val="hps"/>
        </w:rPr>
        <w:t xml:space="preserve"> </w:t>
      </w:r>
      <w:r w:rsidRPr="00621DB8">
        <w:rPr>
          <w:rStyle w:val="hps"/>
        </w:rPr>
        <w:t>das a</w:t>
      </w:r>
      <w:r w:rsidR="004228C2">
        <w:rPr>
          <w:rStyle w:val="hps"/>
        </w:rPr>
        <w:t>ções</w:t>
      </w:r>
      <w:r w:rsidRPr="00621DB8">
        <w:rPr>
          <w:rStyle w:val="hps"/>
        </w:rPr>
        <w:t xml:space="preserve"> dos pa</w:t>
      </w:r>
      <w:r w:rsidR="004228C2">
        <w:rPr>
          <w:rStyle w:val="hps"/>
        </w:rPr>
        <w:t>í</w:t>
      </w:r>
      <w:r w:rsidRPr="00621DB8">
        <w:rPr>
          <w:rStyle w:val="hps"/>
        </w:rPr>
        <w:t>ses do BRICS evoluem de acordo com dois regimes diferentes: um regime de baixa</w:t>
      </w:r>
      <w:r>
        <w:rPr>
          <w:rStyle w:val="hps"/>
        </w:rPr>
        <w:t xml:space="preserve"> </w:t>
      </w:r>
      <w:r w:rsidRPr="00621DB8">
        <w:rPr>
          <w:rStyle w:val="hps"/>
        </w:rPr>
        <w:t>volatilidade e um regime de alta volatilidade. Por outro lado, os modelos VAR com mudan</w:t>
      </w:r>
      <w:r w:rsidR="004228C2">
        <w:rPr>
          <w:rStyle w:val="hps"/>
        </w:rPr>
        <w:t>ç</w:t>
      </w:r>
      <w:r w:rsidRPr="00621DB8">
        <w:rPr>
          <w:rStyle w:val="hps"/>
        </w:rPr>
        <w:t>a de regime</w:t>
      </w:r>
      <w:r>
        <w:rPr>
          <w:rStyle w:val="hps"/>
        </w:rPr>
        <w:t xml:space="preserve"> </w:t>
      </w:r>
      <w:r w:rsidRPr="00621DB8">
        <w:rPr>
          <w:rStyle w:val="hps"/>
        </w:rPr>
        <w:t>markoviano sugerem que os mercados de a</w:t>
      </w:r>
      <w:r w:rsidR="004228C2">
        <w:rPr>
          <w:rStyle w:val="hps"/>
        </w:rPr>
        <w:t>ções</w:t>
      </w:r>
      <w:r w:rsidRPr="00621DB8">
        <w:rPr>
          <w:rStyle w:val="hps"/>
        </w:rPr>
        <w:t xml:space="preserve"> t</w:t>
      </w:r>
      <w:r w:rsidR="004228C2">
        <w:rPr>
          <w:rStyle w:val="hps"/>
        </w:rPr>
        <w:t>ê</w:t>
      </w:r>
      <w:r w:rsidRPr="00621DB8">
        <w:rPr>
          <w:rStyle w:val="hps"/>
        </w:rPr>
        <w:t xml:space="preserve">m mais </w:t>
      </w:r>
      <w:r w:rsidR="004228C2" w:rsidRPr="00621DB8">
        <w:rPr>
          <w:rStyle w:val="hps"/>
        </w:rPr>
        <w:t>in</w:t>
      </w:r>
      <w:r w:rsidR="004228C2">
        <w:rPr>
          <w:rStyle w:val="hps"/>
        </w:rPr>
        <w:t>flu</w:t>
      </w:r>
      <w:r w:rsidR="004228C2" w:rsidRPr="00621DB8">
        <w:rPr>
          <w:rStyle w:val="hps"/>
        </w:rPr>
        <w:t>ência</w:t>
      </w:r>
      <w:r w:rsidRPr="00621DB8">
        <w:rPr>
          <w:rStyle w:val="hps"/>
        </w:rPr>
        <w:t xml:space="preserve"> nas taxas de c</w:t>
      </w:r>
      <w:r w:rsidR="004228C2">
        <w:rPr>
          <w:rStyle w:val="hps"/>
        </w:rPr>
        <w:t>â</w:t>
      </w:r>
      <w:r w:rsidRPr="00621DB8">
        <w:rPr>
          <w:rStyle w:val="hps"/>
        </w:rPr>
        <w:t>mbio durante</w:t>
      </w:r>
      <w:r>
        <w:rPr>
          <w:rStyle w:val="hps"/>
        </w:rPr>
        <w:t xml:space="preserve"> </w:t>
      </w:r>
      <w:r w:rsidRPr="00621DB8">
        <w:rPr>
          <w:rStyle w:val="hps"/>
        </w:rPr>
        <w:t>os dois per</w:t>
      </w:r>
      <w:r w:rsidR="004228C2">
        <w:rPr>
          <w:rStyle w:val="hps"/>
        </w:rPr>
        <w:t>í</w:t>
      </w:r>
      <w:r w:rsidRPr="00621DB8">
        <w:rPr>
          <w:rStyle w:val="hps"/>
        </w:rPr>
        <w:t>odos calmos e turbulentos. Todos esses estudos e conclus</w:t>
      </w:r>
      <w:r w:rsidR="004228C2">
        <w:rPr>
          <w:rStyle w:val="hps"/>
        </w:rPr>
        <w:t>ões</w:t>
      </w:r>
      <w:r w:rsidRPr="00621DB8">
        <w:rPr>
          <w:rStyle w:val="hps"/>
        </w:rPr>
        <w:t xml:space="preserve"> emp</w:t>
      </w:r>
      <w:r w:rsidR="004228C2">
        <w:rPr>
          <w:rStyle w:val="hps"/>
        </w:rPr>
        <w:t>í</w:t>
      </w:r>
      <w:r w:rsidRPr="00621DB8">
        <w:rPr>
          <w:rStyle w:val="hps"/>
        </w:rPr>
        <w:t>ricas t</w:t>
      </w:r>
      <w:r w:rsidR="004228C2">
        <w:rPr>
          <w:rStyle w:val="hps"/>
        </w:rPr>
        <w:t>ê</w:t>
      </w:r>
      <w:r w:rsidRPr="00621DB8">
        <w:rPr>
          <w:rStyle w:val="hps"/>
        </w:rPr>
        <w:t>m implica</w:t>
      </w:r>
      <w:r w:rsidR="004228C2">
        <w:rPr>
          <w:rStyle w:val="hps"/>
        </w:rPr>
        <w:t>ções</w:t>
      </w:r>
      <w:r>
        <w:rPr>
          <w:rStyle w:val="hps"/>
        </w:rPr>
        <w:t xml:space="preserve"> </w:t>
      </w:r>
      <w:r w:rsidRPr="00621DB8">
        <w:rPr>
          <w:rStyle w:val="hps"/>
        </w:rPr>
        <w:t>importantes para os investimentos em carteira e cobertura de risco cambial e podem desempenhar</w:t>
      </w:r>
      <w:r>
        <w:rPr>
          <w:rStyle w:val="hps"/>
        </w:rPr>
        <w:t xml:space="preserve"> </w:t>
      </w:r>
      <w:r w:rsidRPr="00621DB8">
        <w:rPr>
          <w:rStyle w:val="hps"/>
        </w:rPr>
        <w:t>um papel relevante no componente de avers</w:t>
      </w:r>
      <w:r w:rsidR="004228C2">
        <w:rPr>
          <w:rStyle w:val="hps"/>
        </w:rPr>
        <w:t>ã</w:t>
      </w:r>
      <w:r w:rsidRPr="00621DB8">
        <w:rPr>
          <w:rStyle w:val="hps"/>
        </w:rPr>
        <w:t>o a risco na tomada de decis</w:t>
      </w:r>
      <w:r w:rsidR="004228C2">
        <w:rPr>
          <w:rStyle w:val="hps"/>
        </w:rPr>
        <w:t>ã</w:t>
      </w:r>
      <w:r w:rsidRPr="00621DB8">
        <w:rPr>
          <w:rStyle w:val="hps"/>
        </w:rPr>
        <w:t>o dos investidores.</w:t>
      </w:r>
    </w:p>
    <w:p w:rsidR="007C35BB" w:rsidRPr="004228C2" w:rsidRDefault="007C35BB" w:rsidP="007A0BB5">
      <w:pPr>
        <w:pStyle w:val="Default"/>
        <w:rPr>
          <w:sz w:val="18"/>
          <w:szCs w:val="18"/>
        </w:rPr>
      </w:pPr>
    </w:p>
    <w:p w:rsidR="00725DE9" w:rsidRPr="006A3E71" w:rsidRDefault="00725DE9" w:rsidP="00725DE9">
      <w:pPr>
        <w:autoSpaceDE w:val="0"/>
        <w:autoSpaceDN w:val="0"/>
        <w:adjustRightInd w:val="0"/>
        <w:rPr>
          <w:rFonts w:eastAsia="Calibri"/>
          <w:b/>
        </w:rPr>
      </w:pPr>
      <w:r w:rsidRPr="006A3E71">
        <w:rPr>
          <w:rFonts w:eastAsia="Calibri"/>
          <w:b/>
        </w:rPr>
        <w:t>2.</w:t>
      </w:r>
      <w:r>
        <w:rPr>
          <w:rFonts w:eastAsia="Calibri"/>
          <w:b/>
        </w:rPr>
        <w:t>2</w:t>
      </w:r>
      <w:r w:rsidRPr="006A3E71">
        <w:rPr>
          <w:rFonts w:eastAsia="Calibri"/>
          <w:b/>
        </w:rPr>
        <w:t xml:space="preserve"> </w:t>
      </w:r>
      <w:r w:rsidRPr="006A3E71">
        <w:rPr>
          <w:rFonts w:eastAsia="Calibri"/>
          <w:b/>
          <w:i/>
        </w:rPr>
        <w:t>Spillover</w:t>
      </w:r>
      <w:r w:rsidRPr="006A3E71">
        <w:rPr>
          <w:rFonts w:eastAsia="Calibri"/>
          <w:b/>
        </w:rPr>
        <w:t xml:space="preserve"> e</w:t>
      </w:r>
      <w:r>
        <w:rPr>
          <w:rFonts w:eastAsia="Calibri"/>
          <w:b/>
        </w:rPr>
        <w:t xml:space="preserve"> os efeitos lead-lag na literatura</w:t>
      </w:r>
    </w:p>
    <w:p w:rsidR="008D74C1" w:rsidRDefault="008D74C1" w:rsidP="008D74C1">
      <w:pPr>
        <w:pStyle w:val="PargrafodaLista"/>
        <w:ind w:left="0"/>
        <w:jc w:val="both"/>
      </w:pPr>
    </w:p>
    <w:p w:rsidR="00E57F22" w:rsidRDefault="00E57F22" w:rsidP="00E57F22">
      <w:pPr>
        <w:autoSpaceDE w:val="0"/>
        <w:autoSpaceDN w:val="0"/>
        <w:adjustRightInd w:val="0"/>
        <w:spacing w:line="360" w:lineRule="auto"/>
        <w:ind w:firstLine="709"/>
        <w:jc w:val="both"/>
      </w:pPr>
      <w:r>
        <w:t xml:space="preserve">Na Teoria Financeira, a informação tem um fundamental papel nas mais diferentes correntes de pensamento. A forma pela qual a informação é incorporada aos preços e como os indivíduos a utilizam para tomada de efetivas ações é ponto de debate na literatura. Essa questão tornou-se tão relevante que originou toda uma linha de pesquisa em finanças conhecida como microestrutruras de Mercado, conforme Madhavan (2000). A análise das microestruturas de mercado estuda a estrutura institucional na qual as transações envolvendo </w:t>
      </w:r>
      <w:r w:rsidR="001513A3">
        <w:t>ativos financeiros</w:t>
      </w:r>
      <w:r>
        <w:t xml:space="preserve"> são, efetivamente concluídas. Entre as principais linhas de pesquisa nessa área destacam-se a adoção de incrementos </w:t>
      </w:r>
      <w:r w:rsidR="001513A3">
        <w:t>fi</w:t>
      </w:r>
      <w:r>
        <w:t>xos para as cotações dos ativos (</w:t>
      </w:r>
      <w:r w:rsidRPr="001513A3">
        <w:rPr>
          <w:i/>
        </w:rPr>
        <w:t>Ticks</w:t>
      </w:r>
      <w:r>
        <w:t>), intervalos irregulares de tempo observado (ou n</w:t>
      </w:r>
      <w:r w:rsidR="001513A3">
        <w:t>ã</w:t>
      </w:r>
      <w:r>
        <w:t>o observado) entre as diferentes transa</w:t>
      </w:r>
      <w:r w:rsidR="001513A3">
        <w:t>ções</w:t>
      </w:r>
      <w:r>
        <w:t xml:space="preserve"> ocorridas ao longo de um per</w:t>
      </w:r>
      <w:r w:rsidR="001513A3">
        <w:t>í</w:t>
      </w:r>
      <w:r>
        <w:t>odo, a exist</w:t>
      </w:r>
      <w:r w:rsidR="001513A3">
        <w:t>ê</w:t>
      </w:r>
      <w:r>
        <w:t>ncia de spreads entre os pre</w:t>
      </w:r>
      <w:r w:rsidR="001513A3">
        <w:t>ç</w:t>
      </w:r>
      <w:r>
        <w:t xml:space="preserve">os de </w:t>
      </w:r>
      <w:r>
        <w:lastRenderedPageBreak/>
        <w:t>compra e venda dos formadores de mercado, a varia</w:t>
      </w:r>
      <w:r w:rsidR="001513A3">
        <w:t>ção</w:t>
      </w:r>
      <w:r>
        <w:t xml:space="preserve"> do volume (n</w:t>
      </w:r>
      <w:r w:rsidR="001513A3">
        <w:t>ú</w:t>
      </w:r>
      <w:r>
        <w:t>mero de contratos) referente a cada opera</w:t>
      </w:r>
      <w:r w:rsidR="001513A3">
        <w:t>ção</w:t>
      </w:r>
      <w:r>
        <w:t xml:space="preserve"> realizada ao longo de um per</w:t>
      </w:r>
      <w:r w:rsidR="001513A3">
        <w:t>í</w:t>
      </w:r>
      <w:r>
        <w:t>odo. Em comum, a todas essas linhas de pesquisa, temos o papel da incorpora</w:t>
      </w:r>
      <w:r w:rsidR="001513A3">
        <w:t>ção</w:t>
      </w:r>
      <w:r>
        <w:t xml:space="preserve"> de informa</w:t>
      </w:r>
      <w:r w:rsidR="001513A3">
        <w:t>ções</w:t>
      </w:r>
      <w:r>
        <w:t xml:space="preserve"> nos pre</w:t>
      </w:r>
      <w:r w:rsidR="001513A3">
        <w:t>ç</w:t>
      </w:r>
      <w:r>
        <w:t>os dos ativos.</w:t>
      </w:r>
    </w:p>
    <w:p w:rsidR="00E57F22" w:rsidRDefault="00E57F22" w:rsidP="00E57F22">
      <w:pPr>
        <w:autoSpaceDE w:val="0"/>
        <w:autoSpaceDN w:val="0"/>
        <w:adjustRightInd w:val="0"/>
        <w:spacing w:line="360" w:lineRule="auto"/>
        <w:ind w:firstLine="709"/>
        <w:jc w:val="both"/>
      </w:pPr>
      <w:r>
        <w:t>Uma linha de pensamento mais cl</w:t>
      </w:r>
      <w:r w:rsidR="001513A3">
        <w:t>á</w:t>
      </w:r>
      <w:r>
        <w:t>ssica, como Fama (1991) e Lucas (1978), Lucas (1986), defendem que equil</w:t>
      </w:r>
      <w:r w:rsidR="001513A3">
        <w:t>í</w:t>
      </w:r>
      <w:r>
        <w:t>brio e alcan</w:t>
      </w:r>
      <w:r w:rsidR="001513A3">
        <w:t>ç</w:t>
      </w:r>
      <w:r>
        <w:t>ado com a utiliza</w:t>
      </w:r>
      <w:r w:rsidR="001513A3">
        <w:t>ção</w:t>
      </w:r>
      <w:r>
        <w:t xml:space="preserve"> de toda informa</w:t>
      </w:r>
      <w:r w:rsidR="001513A3">
        <w:t>ção</w:t>
      </w:r>
      <w:r>
        <w:t xml:space="preserve"> dispon</w:t>
      </w:r>
      <w:r w:rsidR="001513A3">
        <w:t>í</w:t>
      </w:r>
      <w:r>
        <w:t xml:space="preserve">vel. Outros autores Byrne e Brooks (2008) defendem </w:t>
      </w:r>
      <w:r w:rsidR="001513A3">
        <w:t>momentâneos</w:t>
      </w:r>
      <w:r>
        <w:t xml:space="preserve"> erros de incorpora</w:t>
      </w:r>
      <w:r w:rsidR="001513A3">
        <w:t>ção</w:t>
      </w:r>
      <w:r>
        <w:t xml:space="preserve"> de informa</w:t>
      </w:r>
      <w:r w:rsidR="001513A3">
        <w:t>ções</w:t>
      </w:r>
      <w:r>
        <w:t xml:space="preserve"> que geram pequenos </w:t>
      </w:r>
      <w:r w:rsidR="001513A3">
        <w:t>desequilíbrios</w:t>
      </w:r>
      <w:r>
        <w:t xml:space="preserve"> e oportunidades de arbitragem. Nesse contexto a velocidade de incorpora</w:t>
      </w:r>
      <w:r w:rsidR="001513A3">
        <w:t>ção</w:t>
      </w:r>
      <w:r>
        <w:t xml:space="preserve"> de informa</w:t>
      </w:r>
      <w:r w:rsidR="001513A3">
        <w:t>ção</w:t>
      </w:r>
      <w:r>
        <w:t>, o custo de capital e o valor de mercado de empresas passaram ter uma rela</w:t>
      </w:r>
      <w:r w:rsidR="001513A3">
        <w:t>ção</w:t>
      </w:r>
      <w:r>
        <w:t xml:space="preserve"> inicialmente estuda por Jensen e Meckling (1976), para o qual uma informa</w:t>
      </w:r>
      <w:r w:rsidR="001513A3">
        <w:t>ção</w:t>
      </w:r>
      <w:r>
        <w:t xml:space="preserve"> somente </w:t>
      </w:r>
      <w:r w:rsidR="001513A3">
        <w:t>é</w:t>
      </w:r>
      <w:r>
        <w:t xml:space="preserve"> utilizada quando seu benef</w:t>
      </w:r>
      <w:r w:rsidR="001513A3">
        <w:t>í</w:t>
      </w:r>
      <w:r>
        <w:t>cio marginal supera seu custo marginal de processamento. Estudos como o de Easley e O'hara (2004), Botosan, Plumlee e Xie (2004), Bushman et al. (2004) e Plumlee (2003) encontram evid</w:t>
      </w:r>
      <w:r w:rsidR="001513A3">
        <w:t>ê</w:t>
      </w:r>
      <w:r>
        <w:t>ncias de que quanto maior a assimetria de informa</w:t>
      </w:r>
      <w:r w:rsidR="001513A3">
        <w:t>ção</w:t>
      </w:r>
      <w:r>
        <w:t xml:space="preserve"> entre os agentes econ</w:t>
      </w:r>
      <w:r w:rsidR="001513A3">
        <w:t>ô</w:t>
      </w:r>
      <w:r>
        <w:t>micos, maior o custo de capital das empresas. A complexidade da informac~ao tem um maior tempo de processamento conforme apresentado por Plumlee (2003), al</w:t>
      </w:r>
      <w:r w:rsidR="001513A3">
        <w:t>é</w:t>
      </w:r>
      <w:r>
        <w:t>m de que empresas acompanhadas por um n</w:t>
      </w:r>
      <w:r w:rsidR="001513A3">
        <w:t>ú</w:t>
      </w:r>
      <w:r>
        <w:t>mero maior de analistas, incorporam as informa</w:t>
      </w:r>
      <w:r w:rsidR="001513A3">
        <w:t>ções</w:t>
      </w:r>
      <w:r>
        <w:t xml:space="preserve"> mais </w:t>
      </w:r>
      <w:r w:rsidR="001513A3">
        <w:t>rapidamente</w:t>
      </w:r>
      <w:r>
        <w:t xml:space="preserve"> segundo Brennan e Subrahmanyam (1995).</w:t>
      </w:r>
    </w:p>
    <w:p w:rsidR="00725DE9" w:rsidRDefault="00E57F22" w:rsidP="00E57F22">
      <w:pPr>
        <w:autoSpaceDE w:val="0"/>
        <w:autoSpaceDN w:val="0"/>
        <w:adjustRightInd w:val="0"/>
        <w:spacing w:line="360" w:lineRule="auto"/>
        <w:ind w:firstLine="709"/>
        <w:jc w:val="both"/>
      </w:pPr>
      <w:r>
        <w:t xml:space="preserve">O efeito </w:t>
      </w:r>
      <w:r w:rsidR="001513A3" w:rsidRPr="001513A3">
        <w:rPr>
          <w:i/>
        </w:rPr>
        <w:t>l</w:t>
      </w:r>
      <w:r w:rsidRPr="001513A3">
        <w:rPr>
          <w:i/>
        </w:rPr>
        <w:t>ead-</w:t>
      </w:r>
      <w:r w:rsidR="001513A3" w:rsidRPr="001513A3">
        <w:rPr>
          <w:i/>
        </w:rPr>
        <w:t>l</w:t>
      </w:r>
      <w:r w:rsidRPr="001513A3">
        <w:rPr>
          <w:i/>
        </w:rPr>
        <w:t>ag</w:t>
      </w:r>
      <w:r>
        <w:t xml:space="preserve">, </w:t>
      </w:r>
      <w:r w:rsidR="001513A3">
        <w:t>é</w:t>
      </w:r>
      <w:r>
        <w:t xml:space="preserve"> observada, quando existe uma rela</w:t>
      </w:r>
      <w:r w:rsidR="001513A3">
        <w:t>ção</w:t>
      </w:r>
      <w:r>
        <w:t xml:space="preserve"> (ou ainda uma correla</w:t>
      </w:r>
      <w:r w:rsidR="001513A3">
        <w:t>ção</w:t>
      </w:r>
      <w:r>
        <w:t>) entre os movimentos de pre</w:t>
      </w:r>
      <w:r w:rsidR="001513A3">
        <w:t>ç</w:t>
      </w:r>
      <w:r>
        <w:t xml:space="preserve">os ou de volatilidades de dois mercados distintos, onde um mercado segue o movimento do outro mercado considerado </w:t>
      </w:r>
      <w:r w:rsidR="001513A3">
        <w:t>“</w:t>
      </w:r>
      <w:r>
        <w:t>L</w:t>
      </w:r>
      <w:r w:rsidR="001513A3">
        <w:t xml:space="preserve">íder” </w:t>
      </w:r>
      <w:r>
        <w:t xml:space="preserve">com alguma defasagem. Para Jiang, Fung e Cheng (2001), o efeito </w:t>
      </w:r>
      <w:r w:rsidR="00241772" w:rsidRPr="00241772">
        <w:rPr>
          <w:i/>
        </w:rPr>
        <w:t>l</w:t>
      </w:r>
      <w:r w:rsidRPr="00241772">
        <w:rPr>
          <w:i/>
        </w:rPr>
        <w:t>ead-</w:t>
      </w:r>
      <w:r w:rsidR="00241772" w:rsidRPr="00241772">
        <w:rPr>
          <w:i/>
        </w:rPr>
        <w:t>l</w:t>
      </w:r>
      <w:r w:rsidRPr="00241772">
        <w:rPr>
          <w:i/>
        </w:rPr>
        <w:t>ag</w:t>
      </w:r>
      <w:r>
        <w:t xml:space="preserve"> </w:t>
      </w:r>
      <w:r w:rsidR="001513A3">
        <w:t>é</w:t>
      </w:r>
      <w:r>
        <w:t xml:space="preserve"> de</w:t>
      </w:r>
      <w:r w:rsidR="001513A3">
        <w:t>fi</w:t>
      </w:r>
      <w:r>
        <w:t>nido como dois ou mais pre</w:t>
      </w:r>
      <w:r w:rsidR="001513A3">
        <w:t>ç</w:t>
      </w:r>
      <w:r>
        <w:t>os se movem em sequ</w:t>
      </w:r>
      <w:r w:rsidR="001513A3">
        <w:t>ê</w:t>
      </w:r>
      <w:r>
        <w:t>ncia. Esse efeito quando veri</w:t>
      </w:r>
      <w:r w:rsidR="001513A3">
        <w:t>fi</w:t>
      </w:r>
      <w:r>
        <w:t>cado, rompe com a hip</w:t>
      </w:r>
      <w:r w:rsidR="001513A3">
        <w:t>ó</w:t>
      </w:r>
      <w:r>
        <w:t xml:space="preserve">tese de </w:t>
      </w:r>
      <w:r w:rsidR="001513A3">
        <w:t>eficiência</w:t>
      </w:r>
      <w:r>
        <w:t xml:space="preserve"> de mercado desenvolvida por Malkiel e Fama</w:t>
      </w:r>
      <w:r w:rsidR="00241772">
        <w:t xml:space="preserve"> </w:t>
      </w:r>
      <w:r>
        <w:t>(1970), que a</w:t>
      </w:r>
      <w:r w:rsidR="00241772">
        <w:t>fi</w:t>
      </w:r>
      <w:r>
        <w:t>rma que os pre</w:t>
      </w:r>
      <w:r w:rsidR="00241772">
        <w:t>ç</w:t>
      </w:r>
      <w:r>
        <w:t>os das a</w:t>
      </w:r>
      <w:r w:rsidR="00241772">
        <w:t>ções</w:t>
      </w:r>
      <w:r>
        <w:t xml:space="preserve"> se comportam como um passeio </w:t>
      </w:r>
      <w:r w:rsidR="00241772">
        <w:t>aleatório</w:t>
      </w:r>
      <w:r>
        <w:t>, n</w:t>
      </w:r>
      <w:r w:rsidR="00241772">
        <w:t>ã</w:t>
      </w:r>
      <w:r>
        <w:t>o sendo sujeitos a previs</w:t>
      </w:r>
      <w:r w:rsidR="00241772">
        <w:t>ã</w:t>
      </w:r>
      <w:r>
        <w:t>o e arbitragem. Contudo, a mesmo na presen</w:t>
      </w:r>
      <w:r w:rsidR="00241772">
        <w:t>ça</w:t>
      </w:r>
      <w:r>
        <w:t xml:space="preserve"> </w:t>
      </w:r>
      <w:r w:rsidR="00241772">
        <w:t>confirmada</w:t>
      </w:r>
      <w:r>
        <w:t xml:space="preserve"> de efeitos </w:t>
      </w:r>
      <w:r w:rsidR="00241772" w:rsidRPr="00241772">
        <w:rPr>
          <w:i/>
        </w:rPr>
        <w:t>l</w:t>
      </w:r>
      <w:r w:rsidRPr="00241772">
        <w:rPr>
          <w:i/>
        </w:rPr>
        <w:t>ead-</w:t>
      </w:r>
      <w:r w:rsidR="00241772" w:rsidRPr="00241772">
        <w:rPr>
          <w:i/>
        </w:rPr>
        <w:t>l</w:t>
      </w:r>
      <w:r w:rsidRPr="00241772">
        <w:rPr>
          <w:i/>
        </w:rPr>
        <w:t>ag</w:t>
      </w:r>
      <w:r>
        <w:t>, os custos de transa</w:t>
      </w:r>
      <w:r w:rsidR="00241772">
        <w:t>ção</w:t>
      </w:r>
      <w:r>
        <w:t xml:space="preserve"> podem inviabilizar a arbitragem, fazendo v</w:t>
      </w:r>
      <w:r w:rsidR="00241772">
        <w:t>á</w:t>
      </w:r>
      <w:r>
        <w:t>lida novamente a hip</w:t>
      </w:r>
      <w:r w:rsidR="00241772">
        <w:t>ó</w:t>
      </w:r>
      <w:r>
        <w:t xml:space="preserve">tese de </w:t>
      </w:r>
      <w:r w:rsidR="00241772">
        <w:t>eficiência</w:t>
      </w:r>
      <w:r>
        <w:t xml:space="preserve"> de mercado.</w:t>
      </w:r>
    </w:p>
    <w:p w:rsidR="00241772" w:rsidRDefault="00241772" w:rsidP="00241772">
      <w:pPr>
        <w:autoSpaceDE w:val="0"/>
        <w:autoSpaceDN w:val="0"/>
        <w:adjustRightInd w:val="0"/>
        <w:spacing w:line="360" w:lineRule="auto"/>
        <w:ind w:firstLine="709"/>
        <w:jc w:val="both"/>
      </w:pPr>
      <w:r>
        <w:t xml:space="preserve">Miller (1980) identificaram o efeito </w:t>
      </w:r>
      <w:r w:rsidRPr="00241772">
        <w:rPr>
          <w:i/>
        </w:rPr>
        <w:t>lead-lag</w:t>
      </w:r>
      <w:r>
        <w:t xml:space="preserve"> entre o preço de atacado (Líder) seguido pelo preço do produtor de carne de porco nos Estados Unidos. Com relação a mercados de ações, o efeito </w:t>
      </w:r>
      <w:r w:rsidRPr="00241772">
        <w:rPr>
          <w:i/>
        </w:rPr>
        <w:t>lead-lag</w:t>
      </w:r>
      <w:r>
        <w:t xml:space="preserve"> foi utilizado de diferentes maneiras, como na análise da relação entre mercado á vista e mercados futuros por Herbst, McCormack e West (1987) para o índice S&amp;P 500, Tse (1995) examina essa mesma relação para os contratos do índice Nikkei, com evidências de que os preços futuros lideram os preços à vista no curto prazo. Outros estudos dos efeitos </w:t>
      </w:r>
      <w:r w:rsidRPr="00241772">
        <w:rPr>
          <w:i/>
        </w:rPr>
        <w:t>lead-lag</w:t>
      </w:r>
      <w:r>
        <w:t xml:space="preserve"> foram realizados para o índice FTSE100 de Londres por Brooks, Rew e Ritson (2001), assim como o estudo de Suárez (2008) para o índice IBEX35 da espanha. Daigler (1990) estudo os efeitos </w:t>
      </w:r>
      <w:r w:rsidRPr="00241772">
        <w:rPr>
          <w:i/>
        </w:rPr>
        <w:t>lead-</w:t>
      </w:r>
      <w:r w:rsidRPr="00241772">
        <w:rPr>
          <w:i/>
        </w:rPr>
        <w:lastRenderedPageBreak/>
        <w:t>lag</w:t>
      </w:r>
      <w:r>
        <w:t xml:space="preserve"> para os índices S&amp;P500, MMI e contratos NYSE analisando a relação entre retornos e volumes de transações. Um estudo para América Latina foi realizado por Saatcioglu e Starks (1998).</w:t>
      </w:r>
    </w:p>
    <w:p w:rsidR="00E57F22" w:rsidRDefault="00241772" w:rsidP="00E57F22">
      <w:pPr>
        <w:autoSpaceDE w:val="0"/>
        <w:autoSpaceDN w:val="0"/>
        <w:adjustRightInd w:val="0"/>
        <w:spacing w:line="360" w:lineRule="auto"/>
        <w:ind w:firstLine="709"/>
        <w:jc w:val="both"/>
      </w:pPr>
      <w:r>
        <w:t xml:space="preserve">Para o caso brasileiro Gaio e Rolim (2007), mediram o impacto de mudanças nos principais índices de bolsas de valores no mundo no Ibovespa, apresentando evidências de que </w:t>
      </w:r>
      <w:r w:rsidR="00BD5946">
        <w:t>o comportamento das bolsas de valores internacionais influencia</w:t>
      </w:r>
      <w:r>
        <w:t xml:space="preserve"> os preços no mercado acion</w:t>
      </w:r>
      <w:r w:rsidR="00BD5946">
        <w:t>á</w:t>
      </w:r>
      <w:r>
        <w:t xml:space="preserve">rio brasileiro. Oliveira (2008) estudaram co-movimentos do </w:t>
      </w:r>
      <w:r w:rsidR="00BD5946">
        <w:t>í</w:t>
      </w:r>
      <w:r>
        <w:t xml:space="preserve">ndice Dow Jones e o </w:t>
      </w:r>
      <w:r w:rsidR="00BD5946">
        <w:t>í</w:t>
      </w:r>
      <w:r>
        <w:t>ndice Ibovespa e identi</w:t>
      </w:r>
      <w:r w:rsidR="00BD5946">
        <w:t>fi</w:t>
      </w:r>
      <w:r>
        <w:t>cou a exist</w:t>
      </w:r>
      <w:r w:rsidR="00BD5946">
        <w:t>ê</w:t>
      </w:r>
      <w:r>
        <w:t xml:space="preserve">ncia de efeitos </w:t>
      </w:r>
      <w:r w:rsidR="00BD5946" w:rsidRPr="00BD5946">
        <w:rPr>
          <w:i/>
        </w:rPr>
        <w:t>l</w:t>
      </w:r>
      <w:r w:rsidRPr="00BD5946">
        <w:rPr>
          <w:i/>
        </w:rPr>
        <w:t>ead-</w:t>
      </w:r>
      <w:r w:rsidR="00BD5946" w:rsidRPr="00BD5946">
        <w:rPr>
          <w:i/>
        </w:rPr>
        <w:t>l</w:t>
      </w:r>
      <w:r w:rsidRPr="00BD5946">
        <w:rPr>
          <w:i/>
        </w:rPr>
        <w:t>ag</w:t>
      </w:r>
      <w:r>
        <w:t xml:space="preserve"> entre o mercado brasileiro e o norte americano no per</w:t>
      </w:r>
      <w:r w:rsidR="00BD5946">
        <w:t>í</w:t>
      </w:r>
      <w:r>
        <w:t>odo de julho de 2006 a setembro de 2007, utilizando dados de alta frequ</w:t>
      </w:r>
      <w:r w:rsidR="00BD5946">
        <w:t>ê</w:t>
      </w:r>
      <w:r>
        <w:t>ncia, concluindo que n</w:t>
      </w:r>
      <w:r w:rsidR="00BD5946">
        <w:t>ã</w:t>
      </w:r>
      <w:r>
        <w:t>o espa</w:t>
      </w:r>
      <w:r w:rsidR="00BD5946">
        <w:t>ç</w:t>
      </w:r>
      <w:r>
        <w:t>o para arbitragem por conta dos custos de transa</w:t>
      </w:r>
      <w:r w:rsidR="00BD5946">
        <w:t>ção</w:t>
      </w:r>
      <w:r>
        <w:t>. Por outro lado, Nakamura (2009) mostra a exist</w:t>
      </w:r>
      <w:r w:rsidR="00BD5946">
        <w:t>ê</w:t>
      </w:r>
      <w:r>
        <w:t xml:space="preserve">ncia de efeitos </w:t>
      </w:r>
      <w:r w:rsidR="00BD5946" w:rsidRPr="00BD5946">
        <w:rPr>
          <w:i/>
        </w:rPr>
        <w:t>l</w:t>
      </w:r>
      <w:r w:rsidRPr="00BD5946">
        <w:rPr>
          <w:i/>
        </w:rPr>
        <w:t>ead-</w:t>
      </w:r>
      <w:r w:rsidR="00BD5946" w:rsidRPr="00BD5946">
        <w:rPr>
          <w:i/>
        </w:rPr>
        <w:t>l</w:t>
      </w:r>
      <w:r w:rsidRPr="00BD5946">
        <w:rPr>
          <w:i/>
        </w:rPr>
        <w:t>ag</w:t>
      </w:r>
      <w:r>
        <w:t xml:space="preserve"> entre mercado acion</w:t>
      </w:r>
      <w:r w:rsidR="00BD5946">
        <w:t>á</w:t>
      </w:r>
      <w:r>
        <w:t>rio brasileiro e seus ADRs. Pena, Guelman e Rabello (2010) analisaram a rela</w:t>
      </w:r>
      <w:r w:rsidR="00BD5946">
        <w:t>ção</w:t>
      </w:r>
      <w:r>
        <w:t xml:space="preserve"> entre o </w:t>
      </w:r>
      <w:r w:rsidR="00BD5946">
        <w:t>í</w:t>
      </w:r>
      <w:r>
        <w:t xml:space="preserve">ndice Dow Jones e Nikkei com o </w:t>
      </w:r>
      <w:r w:rsidR="00BD5946">
        <w:t>í</w:t>
      </w:r>
      <w:r>
        <w:t xml:space="preserve">ndice Ibovespa, de janeiro de 2006 a maio de 2008, os </w:t>
      </w:r>
      <w:r w:rsidR="00BD5946">
        <w:t>au</w:t>
      </w:r>
      <w:r>
        <w:t>tores identi</w:t>
      </w:r>
      <w:r w:rsidR="00BD5946">
        <w:t>fi</w:t>
      </w:r>
      <w:r>
        <w:t>caram uma rela</w:t>
      </w:r>
      <w:r w:rsidR="00BD5946">
        <w:t>ção</w:t>
      </w:r>
      <w:r>
        <w:t xml:space="preserve"> contempor</w:t>
      </w:r>
      <w:r w:rsidR="00BD5946">
        <w:t>â</w:t>
      </w:r>
      <w:r>
        <w:t xml:space="preserve">nea entre os </w:t>
      </w:r>
      <w:r w:rsidR="00BD5946">
        <w:t>í</w:t>
      </w:r>
      <w:r>
        <w:t>ndices e efeitos defasados que seriam oriundos da diferen</w:t>
      </w:r>
      <w:r w:rsidR="00BD5946">
        <w:t>ç</w:t>
      </w:r>
      <w:r>
        <w:t xml:space="preserve">a de fusos </w:t>
      </w:r>
      <w:r w:rsidR="00BD5946">
        <w:t>horários</w:t>
      </w:r>
      <w:r>
        <w:t>.</w:t>
      </w:r>
    </w:p>
    <w:p w:rsidR="00241772" w:rsidRDefault="00241772" w:rsidP="00241772">
      <w:pPr>
        <w:autoSpaceDE w:val="0"/>
        <w:autoSpaceDN w:val="0"/>
        <w:adjustRightInd w:val="0"/>
        <w:spacing w:line="360" w:lineRule="auto"/>
        <w:ind w:firstLine="709"/>
        <w:jc w:val="both"/>
        <w:rPr>
          <w:rStyle w:val="hps"/>
        </w:rPr>
      </w:pPr>
      <w:r w:rsidRPr="00241772">
        <w:rPr>
          <w:rStyle w:val="hps"/>
        </w:rPr>
        <w:t>O estudo de Neto, Medeiros e Queiroz (2012) identi</w:t>
      </w:r>
      <w:r w:rsidR="00BD5946">
        <w:rPr>
          <w:rStyle w:val="hps"/>
        </w:rPr>
        <w:t>fi</w:t>
      </w:r>
      <w:r w:rsidRPr="00241772">
        <w:rPr>
          <w:rStyle w:val="hps"/>
        </w:rPr>
        <w:t>cou a exist</w:t>
      </w:r>
      <w:r w:rsidR="00BD5946">
        <w:rPr>
          <w:rStyle w:val="hps"/>
        </w:rPr>
        <w:t>ê</w:t>
      </w:r>
      <w:r w:rsidRPr="00241772">
        <w:rPr>
          <w:rStyle w:val="hps"/>
        </w:rPr>
        <w:t xml:space="preserve">ncia de efeitos </w:t>
      </w:r>
      <w:r w:rsidR="00BD5946" w:rsidRPr="00BD5946">
        <w:rPr>
          <w:rStyle w:val="hps"/>
          <w:i/>
        </w:rPr>
        <w:t>l</w:t>
      </w:r>
      <w:r w:rsidRPr="00BD5946">
        <w:rPr>
          <w:rStyle w:val="hps"/>
          <w:i/>
        </w:rPr>
        <w:t>ead-</w:t>
      </w:r>
      <w:r w:rsidR="00BD5946" w:rsidRPr="00BD5946">
        <w:rPr>
          <w:rStyle w:val="hps"/>
          <w:i/>
        </w:rPr>
        <w:t>l</w:t>
      </w:r>
      <w:r w:rsidRPr="00BD5946">
        <w:rPr>
          <w:rStyle w:val="hps"/>
          <w:i/>
        </w:rPr>
        <w:t>ag</w:t>
      </w:r>
      <w:r w:rsidRPr="00241772">
        <w:rPr>
          <w:rStyle w:val="hps"/>
        </w:rPr>
        <w:t xml:space="preserve"> entre o</w:t>
      </w:r>
      <w:r>
        <w:rPr>
          <w:rStyle w:val="hps"/>
        </w:rPr>
        <w:t xml:space="preserve"> </w:t>
      </w:r>
      <w:r w:rsidR="00BD5946">
        <w:rPr>
          <w:rStyle w:val="hps"/>
        </w:rPr>
        <w:t>í</w:t>
      </w:r>
      <w:r w:rsidRPr="00241772">
        <w:rPr>
          <w:rStyle w:val="hps"/>
        </w:rPr>
        <w:t xml:space="preserve">ndice IGC-X e o </w:t>
      </w:r>
      <w:r w:rsidR="00BD5946">
        <w:rPr>
          <w:rStyle w:val="hps"/>
        </w:rPr>
        <w:t>í</w:t>
      </w:r>
      <w:r w:rsidRPr="00241772">
        <w:rPr>
          <w:rStyle w:val="hps"/>
        </w:rPr>
        <w:t>ndice ibovespa, ou seja, um maior grau de governan</w:t>
      </w:r>
      <w:r w:rsidR="00BD5946">
        <w:rPr>
          <w:rStyle w:val="hps"/>
        </w:rPr>
        <w:t>ç</w:t>
      </w:r>
      <w:r w:rsidRPr="00241772">
        <w:rPr>
          <w:rStyle w:val="hps"/>
        </w:rPr>
        <w:t>a estaria associado uma mais</w:t>
      </w:r>
      <w:r>
        <w:rPr>
          <w:rStyle w:val="hps"/>
        </w:rPr>
        <w:t xml:space="preserve"> </w:t>
      </w:r>
      <w:r w:rsidRPr="00241772">
        <w:rPr>
          <w:rStyle w:val="hps"/>
        </w:rPr>
        <w:t>r</w:t>
      </w:r>
      <w:r w:rsidR="00BD5946">
        <w:rPr>
          <w:rStyle w:val="hps"/>
        </w:rPr>
        <w:t>á</w:t>
      </w:r>
      <w:r w:rsidRPr="00241772">
        <w:rPr>
          <w:rStyle w:val="hps"/>
        </w:rPr>
        <w:t>pida incorpora</w:t>
      </w:r>
      <w:r w:rsidR="00BD5946">
        <w:rPr>
          <w:rStyle w:val="hps"/>
        </w:rPr>
        <w:t>ção</w:t>
      </w:r>
      <w:r w:rsidRPr="00241772">
        <w:rPr>
          <w:rStyle w:val="hps"/>
        </w:rPr>
        <w:t xml:space="preserve"> de informa</w:t>
      </w:r>
      <w:r w:rsidR="00BD5946">
        <w:rPr>
          <w:rStyle w:val="hps"/>
        </w:rPr>
        <w:t>ção</w:t>
      </w:r>
      <w:r w:rsidRPr="00241772">
        <w:rPr>
          <w:rStyle w:val="hps"/>
        </w:rPr>
        <w:t xml:space="preserve"> nos pre</w:t>
      </w:r>
      <w:r w:rsidR="00BD5946">
        <w:rPr>
          <w:rStyle w:val="hps"/>
        </w:rPr>
        <w:t>ç</w:t>
      </w:r>
      <w:r w:rsidRPr="00241772">
        <w:rPr>
          <w:rStyle w:val="hps"/>
        </w:rPr>
        <w:t xml:space="preserve">os, fazendo o </w:t>
      </w:r>
      <w:r w:rsidR="00BD5946">
        <w:rPr>
          <w:rStyle w:val="hps"/>
        </w:rPr>
        <w:t>í</w:t>
      </w:r>
      <w:r w:rsidRPr="00241772">
        <w:rPr>
          <w:rStyle w:val="hps"/>
        </w:rPr>
        <w:t>ndice com qualidade de governan</w:t>
      </w:r>
      <w:r w:rsidR="00BD5946">
        <w:rPr>
          <w:rStyle w:val="hps"/>
        </w:rPr>
        <w:t>ç</w:t>
      </w:r>
      <w:r w:rsidRPr="00241772">
        <w:rPr>
          <w:rStyle w:val="hps"/>
        </w:rPr>
        <w:t>a causar</w:t>
      </w:r>
      <w:r>
        <w:rPr>
          <w:rStyle w:val="hps"/>
        </w:rPr>
        <w:t xml:space="preserve"> </w:t>
      </w:r>
      <w:r w:rsidRPr="00241772">
        <w:rPr>
          <w:rStyle w:val="hps"/>
        </w:rPr>
        <w:t>no sentido de granger o Ibovespa.</w:t>
      </w:r>
    </w:p>
    <w:p w:rsidR="00895269" w:rsidRPr="00241772" w:rsidRDefault="00895269" w:rsidP="00241772">
      <w:pPr>
        <w:autoSpaceDE w:val="0"/>
        <w:autoSpaceDN w:val="0"/>
        <w:adjustRightInd w:val="0"/>
        <w:spacing w:line="360" w:lineRule="auto"/>
        <w:ind w:firstLine="709"/>
        <w:jc w:val="both"/>
        <w:rPr>
          <w:rStyle w:val="hps"/>
        </w:rPr>
      </w:pPr>
    </w:p>
    <w:p w:rsidR="008D74C1" w:rsidRPr="00523841" w:rsidRDefault="00895269" w:rsidP="008D74C1">
      <w:pPr>
        <w:numPr>
          <w:ilvl w:val="0"/>
          <w:numId w:val="5"/>
        </w:numPr>
        <w:autoSpaceDE w:val="0"/>
        <w:autoSpaceDN w:val="0"/>
        <w:adjustRightInd w:val="0"/>
        <w:rPr>
          <w:rFonts w:eastAsia="Calibri"/>
          <w:b/>
          <w:bCs/>
          <w:sz w:val="23"/>
          <w:szCs w:val="23"/>
        </w:rPr>
      </w:pPr>
      <w:r>
        <w:rPr>
          <w:b/>
          <w:bCs/>
          <w:sz w:val="23"/>
          <w:szCs w:val="23"/>
        </w:rPr>
        <w:t>Modelo GARCH Multivariado BEKK</w:t>
      </w:r>
    </w:p>
    <w:p w:rsidR="00983000" w:rsidRDefault="00983000" w:rsidP="001C2F57">
      <w:pPr>
        <w:autoSpaceDE w:val="0"/>
        <w:autoSpaceDN w:val="0"/>
        <w:adjustRightInd w:val="0"/>
        <w:spacing w:line="360" w:lineRule="auto"/>
        <w:jc w:val="both"/>
        <w:rPr>
          <w:color w:val="000000"/>
          <w:lang w:val="en-US"/>
        </w:rPr>
      </w:pPr>
    </w:p>
    <w:p w:rsidR="00895269" w:rsidRDefault="00895269" w:rsidP="00895269">
      <w:pPr>
        <w:autoSpaceDE w:val="0"/>
        <w:autoSpaceDN w:val="0"/>
        <w:adjustRightInd w:val="0"/>
        <w:spacing w:line="360" w:lineRule="auto"/>
        <w:ind w:firstLine="708"/>
        <w:jc w:val="both"/>
        <w:rPr>
          <w:color w:val="000000"/>
        </w:rPr>
      </w:pPr>
      <w:r w:rsidRPr="00895269">
        <w:rPr>
          <w:color w:val="000000"/>
        </w:rPr>
        <w:t>Os modelos de s</w:t>
      </w:r>
      <w:r w:rsidR="00DD097D">
        <w:rPr>
          <w:color w:val="000000"/>
        </w:rPr>
        <w:t>é</w:t>
      </w:r>
      <w:r w:rsidRPr="00895269">
        <w:rPr>
          <w:color w:val="000000"/>
        </w:rPr>
        <w:t>ries de tempo univariados foram pioneiros nos estudos da volatilidade do retorno</w:t>
      </w:r>
      <w:r>
        <w:rPr>
          <w:color w:val="000000"/>
        </w:rPr>
        <w:t xml:space="preserve"> </w:t>
      </w:r>
      <w:r w:rsidRPr="00895269">
        <w:rPr>
          <w:color w:val="000000"/>
        </w:rPr>
        <w:t>de ativos</w:t>
      </w:r>
      <w:r>
        <w:rPr>
          <w:color w:val="000000"/>
        </w:rPr>
        <w:t xml:space="preserve"> </w:t>
      </w:r>
      <w:r w:rsidR="00DD097D">
        <w:rPr>
          <w:color w:val="000000"/>
        </w:rPr>
        <w:t>fi</w:t>
      </w:r>
      <w:r w:rsidRPr="00895269">
        <w:rPr>
          <w:color w:val="000000"/>
        </w:rPr>
        <w:t>nanceiros, em especial quando essa volatilidade tem um comportamento variando</w:t>
      </w:r>
      <w:r>
        <w:rPr>
          <w:color w:val="000000"/>
        </w:rPr>
        <w:t xml:space="preserve"> </w:t>
      </w:r>
      <w:r w:rsidRPr="00895269">
        <w:rPr>
          <w:color w:val="000000"/>
        </w:rPr>
        <w:t>ao longo do tempo. Esses estudo</w:t>
      </w:r>
      <w:r w:rsidR="00DD097D">
        <w:rPr>
          <w:color w:val="000000"/>
        </w:rPr>
        <w:t>s</w:t>
      </w:r>
      <w:r w:rsidRPr="00895269">
        <w:rPr>
          <w:color w:val="000000"/>
        </w:rPr>
        <w:t xml:space="preserve"> evolu</w:t>
      </w:r>
      <w:r w:rsidR="00DD097D">
        <w:rPr>
          <w:color w:val="000000"/>
        </w:rPr>
        <w:t>í</w:t>
      </w:r>
      <w:r w:rsidRPr="00895269">
        <w:rPr>
          <w:color w:val="000000"/>
        </w:rPr>
        <w:t>ram para os casos multivariados. Neste cap</w:t>
      </w:r>
      <w:r w:rsidR="00DD097D">
        <w:rPr>
          <w:color w:val="000000"/>
        </w:rPr>
        <w:t>í</w:t>
      </w:r>
      <w:r w:rsidRPr="00895269">
        <w:rPr>
          <w:color w:val="000000"/>
        </w:rPr>
        <w:t xml:space="preserve">tulo vamos apresentar alguns modelos apropriados para </w:t>
      </w:r>
      <w:r w:rsidR="00DD097D" w:rsidRPr="00895269">
        <w:rPr>
          <w:color w:val="000000"/>
        </w:rPr>
        <w:t>s</w:t>
      </w:r>
      <w:r w:rsidR="00DD097D">
        <w:rPr>
          <w:color w:val="000000"/>
        </w:rPr>
        <w:t>é</w:t>
      </w:r>
      <w:r w:rsidR="00DD097D" w:rsidRPr="00895269">
        <w:rPr>
          <w:color w:val="000000"/>
        </w:rPr>
        <w:t xml:space="preserve">ries </w:t>
      </w:r>
      <w:r w:rsidR="00DD097D">
        <w:rPr>
          <w:color w:val="000000"/>
        </w:rPr>
        <w:t>financeiras</w:t>
      </w:r>
      <w:r w:rsidRPr="00895269">
        <w:rPr>
          <w:color w:val="000000"/>
        </w:rPr>
        <w:t xml:space="preserve"> multivariadas que apresentam a </w:t>
      </w:r>
      <w:r w:rsidR="000822AD" w:rsidRPr="00895269">
        <w:rPr>
          <w:color w:val="000000"/>
        </w:rPr>
        <w:t>vari</w:t>
      </w:r>
      <w:r w:rsidR="000822AD">
        <w:rPr>
          <w:color w:val="000000"/>
        </w:rPr>
        <w:t>ância</w:t>
      </w:r>
      <w:r>
        <w:rPr>
          <w:color w:val="000000"/>
        </w:rPr>
        <w:t xml:space="preserve"> </w:t>
      </w:r>
      <w:r w:rsidRPr="00895269">
        <w:rPr>
          <w:color w:val="000000"/>
        </w:rPr>
        <w:t>e covari</w:t>
      </w:r>
      <w:r w:rsidR="00DD097D">
        <w:rPr>
          <w:color w:val="000000"/>
        </w:rPr>
        <w:t>â</w:t>
      </w:r>
      <w:r w:rsidRPr="00895269">
        <w:rPr>
          <w:color w:val="000000"/>
        </w:rPr>
        <w:t>ncia condicional evoluindo no tempo. Existe uma variedade grande de modelos n</w:t>
      </w:r>
      <w:r w:rsidR="00DD097D">
        <w:rPr>
          <w:color w:val="000000"/>
        </w:rPr>
        <w:t>ã</w:t>
      </w:r>
      <w:r w:rsidRPr="00895269">
        <w:rPr>
          <w:color w:val="000000"/>
        </w:rPr>
        <w:t>o-lineares</w:t>
      </w:r>
      <w:r w:rsidR="00DD097D">
        <w:rPr>
          <w:color w:val="000000"/>
        </w:rPr>
        <w:t xml:space="preserve"> </w:t>
      </w:r>
      <w:r w:rsidRPr="00895269">
        <w:rPr>
          <w:color w:val="000000"/>
        </w:rPr>
        <w:t>univariados dispon</w:t>
      </w:r>
      <w:r w:rsidR="00DD097D">
        <w:rPr>
          <w:color w:val="000000"/>
        </w:rPr>
        <w:t>í</w:t>
      </w:r>
      <w:r w:rsidRPr="00895269">
        <w:rPr>
          <w:color w:val="000000"/>
        </w:rPr>
        <w:t>veis na literatura,</w:t>
      </w:r>
      <w:r>
        <w:rPr>
          <w:color w:val="000000"/>
        </w:rPr>
        <w:t xml:space="preserve"> </w:t>
      </w:r>
      <w:r w:rsidRPr="00895269">
        <w:rPr>
          <w:color w:val="000000"/>
        </w:rPr>
        <w:t>aqui iremos nos concentrar, resumidamente, em algumas extens</w:t>
      </w:r>
      <w:r w:rsidR="00DD097D">
        <w:rPr>
          <w:color w:val="000000"/>
        </w:rPr>
        <w:t>õ</w:t>
      </w:r>
      <w:r w:rsidRPr="00895269">
        <w:rPr>
          <w:color w:val="000000"/>
        </w:rPr>
        <w:t>es da classe de modelos ARCH (auto-regressivos com heteroscedasticidade condicional), introduzida</w:t>
      </w:r>
      <w:r>
        <w:rPr>
          <w:color w:val="000000"/>
        </w:rPr>
        <w:t xml:space="preserve"> </w:t>
      </w:r>
      <w:r w:rsidRPr="00895269">
        <w:rPr>
          <w:color w:val="000000"/>
        </w:rPr>
        <w:t xml:space="preserve">por Engle (1982) e </w:t>
      </w:r>
      <w:r w:rsidR="00F766DC" w:rsidRPr="00895269">
        <w:rPr>
          <w:color w:val="000000"/>
        </w:rPr>
        <w:t>estendida</w:t>
      </w:r>
      <w:r w:rsidRPr="00895269">
        <w:rPr>
          <w:color w:val="000000"/>
        </w:rPr>
        <w:t xml:space="preserve"> por Bollerslev (1990) para o caso multivariado.</w:t>
      </w:r>
    </w:p>
    <w:p w:rsidR="001C2F57" w:rsidRDefault="00895269" w:rsidP="00895269">
      <w:pPr>
        <w:autoSpaceDE w:val="0"/>
        <w:autoSpaceDN w:val="0"/>
        <w:adjustRightInd w:val="0"/>
        <w:spacing w:line="360" w:lineRule="auto"/>
        <w:ind w:firstLine="708"/>
        <w:jc w:val="both"/>
        <w:rPr>
          <w:color w:val="000000"/>
        </w:rPr>
      </w:pPr>
      <w:r w:rsidRPr="00895269">
        <w:rPr>
          <w:color w:val="000000"/>
        </w:rPr>
        <w:t>A primeira generaliza</w:t>
      </w:r>
      <w:r w:rsidR="00DD097D">
        <w:rPr>
          <w:color w:val="000000"/>
        </w:rPr>
        <w:t>ção</w:t>
      </w:r>
      <w:r w:rsidRPr="00895269">
        <w:rPr>
          <w:color w:val="000000"/>
        </w:rPr>
        <w:t xml:space="preserve"> dos modelos ARCH foi sugerida por Bollerslev (1986), o chamado modelo</w:t>
      </w:r>
      <w:r>
        <w:rPr>
          <w:color w:val="000000"/>
        </w:rPr>
        <w:t xml:space="preserve"> </w:t>
      </w:r>
      <w:r w:rsidRPr="00895269">
        <w:rPr>
          <w:color w:val="000000"/>
        </w:rPr>
        <w:t>GARCH (</w:t>
      </w:r>
      <w:r w:rsidR="00DD097D">
        <w:rPr>
          <w:color w:val="000000"/>
        </w:rPr>
        <w:t>“</w:t>
      </w:r>
      <w:r w:rsidRPr="00DD097D">
        <w:rPr>
          <w:i/>
          <w:color w:val="000000"/>
        </w:rPr>
        <w:t>generalized</w:t>
      </w:r>
      <w:r w:rsidRPr="00895269">
        <w:rPr>
          <w:color w:val="000000"/>
        </w:rPr>
        <w:t xml:space="preserve"> ARCH</w:t>
      </w:r>
      <w:r w:rsidR="00DD097D">
        <w:rPr>
          <w:color w:val="000000"/>
        </w:rPr>
        <w:t>”</w:t>
      </w:r>
      <w:r w:rsidRPr="00895269">
        <w:rPr>
          <w:color w:val="000000"/>
        </w:rPr>
        <w:t>). Um modelo GARCH pode ser usado para descrever a volatilidade</w:t>
      </w:r>
      <w:r>
        <w:rPr>
          <w:color w:val="000000"/>
        </w:rPr>
        <w:t xml:space="preserve"> </w:t>
      </w:r>
      <w:r w:rsidRPr="00895269">
        <w:rPr>
          <w:color w:val="000000"/>
        </w:rPr>
        <w:t>com menos par</w:t>
      </w:r>
      <w:r w:rsidR="00DD097D">
        <w:rPr>
          <w:color w:val="000000"/>
        </w:rPr>
        <w:t>â</w:t>
      </w:r>
      <w:r w:rsidRPr="00895269">
        <w:rPr>
          <w:color w:val="000000"/>
        </w:rPr>
        <w:t>metros do que um modelo ARCH.</w:t>
      </w:r>
      <w:r w:rsidR="001C2F57" w:rsidRPr="00895269">
        <w:rPr>
          <w:color w:val="000000"/>
        </w:rPr>
        <w:t xml:space="preserve"> </w:t>
      </w:r>
    </w:p>
    <w:p w:rsidR="00895269" w:rsidRDefault="00895269" w:rsidP="00895269">
      <w:pPr>
        <w:autoSpaceDE w:val="0"/>
        <w:autoSpaceDN w:val="0"/>
        <w:adjustRightInd w:val="0"/>
        <w:spacing w:line="360" w:lineRule="auto"/>
        <w:ind w:firstLine="708"/>
        <w:jc w:val="both"/>
        <w:rPr>
          <w:color w:val="000000"/>
        </w:rPr>
      </w:pPr>
      <w:r w:rsidRPr="00895269">
        <w:rPr>
          <w:color w:val="000000"/>
        </w:rPr>
        <w:t>Contudo em muitas situa</w:t>
      </w:r>
      <w:r w:rsidR="00DD097D">
        <w:rPr>
          <w:color w:val="000000"/>
        </w:rPr>
        <w:t>ções</w:t>
      </w:r>
      <w:r w:rsidRPr="00895269">
        <w:rPr>
          <w:color w:val="000000"/>
        </w:rPr>
        <w:t xml:space="preserve"> de pesquisa existe a necessidade de considerarmos mais de um</w:t>
      </w:r>
      <w:r>
        <w:rPr>
          <w:color w:val="000000"/>
        </w:rPr>
        <w:t xml:space="preserve"> </w:t>
      </w:r>
      <w:r w:rsidRPr="00895269">
        <w:rPr>
          <w:color w:val="000000"/>
        </w:rPr>
        <w:t>ativo, e consequentemente suas correla</w:t>
      </w:r>
      <w:r w:rsidR="00DD097D">
        <w:rPr>
          <w:color w:val="000000"/>
        </w:rPr>
        <w:t>ções</w:t>
      </w:r>
      <w:r w:rsidRPr="00895269">
        <w:rPr>
          <w:color w:val="000000"/>
        </w:rPr>
        <w:t>. Dessa forma, assim como a volatilidade variando no</w:t>
      </w:r>
      <w:r>
        <w:rPr>
          <w:color w:val="000000"/>
        </w:rPr>
        <w:t xml:space="preserve"> </w:t>
      </w:r>
      <w:r w:rsidRPr="00895269">
        <w:rPr>
          <w:color w:val="000000"/>
        </w:rPr>
        <w:lastRenderedPageBreak/>
        <w:t>tempo ganhou repercuss</w:t>
      </w:r>
      <w:r w:rsidR="00DD097D">
        <w:rPr>
          <w:color w:val="000000"/>
        </w:rPr>
        <w:t>ã</w:t>
      </w:r>
      <w:r w:rsidRPr="00895269">
        <w:rPr>
          <w:color w:val="000000"/>
        </w:rPr>
        <w:t>o em pesquisas, a correla</w:t>
      </w:r>
      <w:r w:rsidR="00DD097D">
        <w:rPr>
          <w:color w:val="000000"/>
        </w:rPr>
        <w:t>ção</w:t>
      </w:r>
      <w:r w:rsidRPr="00895269">
        <w:rPr>
          <w:color w:val="000000"/>
        </w:rPr>
        <w:t xml:space="preserve"> variando temporalmente come</w:t>
      </w:r>
      <w:r w:rsidR="00DD097D">
        <w:rPr>
          <w:color w:val="000000"/>
        </w:rPr>
        <w:t>ç</w:t>
      </w:r>
      <w:r w:rsidRPr="00895269">
        <w:rPr>
          <w:color w:val="000000"/>
        </w:rPr>
        <w:t>ou a ganhar</w:t>
      </w:r>
      <w:r>
        <w:rPr>
          <w:color w:val="000000"/>
        </w:rPr>
        <w:t xml:space="preserve"> </w:t>
      </w:r>
      <w:r w:rsidRPr="00895269">
        <w:rPr>
          <w:color w:val="000000"/>
        </w:rPr>
        <w:t>destaques com os modelos GARCH multivariados (MGARCH).</w:t>
      </w:r>
    </w:p>
    <w:p w:rsidR="00895269" w:rsidRDefault="00895269" w:rsidP="00895269">
      <w:pPr>
        <w:autoSpaceDE w:val="0"/>
        <w:autoSpaceDN w:val="0"/>
        <w:adjustRightInd w:val="0"/>
        <w:spacing w:line="360" w:lineRule="auto"/>
        <w:ind w:firstLine="708"/>
        <w:jc w:val="both"/>
        <w:rPr>
          <w:color w:val="000000"/>
        </w:rPr>
      </w:pPr>
      <w:r w:rsidRPr="00895269">
        <w:rPr>
          <w:color w:val="000000"/>
        </w:rPr>
        <w:t>O modelo GARCH multivariado tem a seguinte forma geral:</w:t>
      </w:r>
    </w:p>
    <w:p w:rsidR="00E71D01" w:rsidRDefault="00E71D01" w:rsidP="00895269">
      <w:pPr>
        <w:autoSpaceDE w:val="0"/>
        <w:autoSpaceDN w:val="0"/>
        <w:adjustRightInd w:val="0"/>
        <w:spacing w:line="360" w:lineRule="auto"/>
        <w:ind w:firstLine="708"/>
        <w:jc w:val="both"/>
        <w:rPr>
          <w:color w:val="000000"/>
        </w:rPr>
      </w:pPr>
      <m:oMathPara>
        <m:oMath>
          <m:r>
            <w:rPr>
              <w:rFonts w:ascii="Cambria Math" w:hAnsi="Cambria Math"/>
              <w:color w:val="000000"/>
            </w:rPr>
            <m:t>vech</m:t>
          </m:r>
          <m:d>
            <m:dPr>
              <m:ctrlPr>
                <w:rPr>
                  <w:rFonts w:ascii="Cambria Math" w:hAnsi="Cambria Math"/>
                  <w:i/>
                  <w:color w:val="000000"/>
                </w:rPr>
              </m:ctrlPr>
            </m:dPr>
            <m:e>
              <m:sSub>
                <m:sSubPr>
                  <m:ctrlPr>
                    <w:rPr>
                      <w:rFonts w:ascii="Cambria Math" w:hAnsi="Cambria Math"/>
                      <w:color w:val="000000"/>
                    </w:rPr>
                  </m:ctrlPr>
                </m:sSubPr>
                <m:e>
                  <m:r>
                    <m:rPr>
                      <m:sty m:val="p"/>
                    </m:rPr>
                    <w:rPr>
                      <w:rFonts w:ascii="Cambria Math" w:hAnsi="Cambria Math"/>
                      <w:color w:val="000000"/>
                    </w:rPr>
                    <m:t>Σ</m:t>
                  </m:r>
                </m:e>
                <m:sub>
                  <m:r>
                    <w:rPr>
                      <w:rFonts w:ascii="Cambria Math" w:hAnsi="Cambria Math"/>
                      <w:color w:val="000000"/>
                    </w:rPr>
                    <m:t>t|t-1</m:t>
                  </m:r>
                </m:sub>
              </m:sSub>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r>
            <w:rPr>
              <w:rFonts w:ascii="Cambria Math" w:hAnsi="Cambria Math"/>
              <w:color w:val="000000"/>
            </w:rPr>
            <m:t>+</m:t>
          </m:r>
          <m:nary>
            <m:naryPr>
              <m:chr m:val="∑"/>
              <m:limLoc m:val="undOvr"/>
              <m:ctrlPr>
                <w:rPr>
                  <w:rFonts w:ascii="Cambria Math" w:hAnsi="Cambria Math"/>
                  <w:i/>
                  <w:color w:val="000000"/>
                </w:rPr>
              </m:ctrlPr>
            </m:naryPr>
            <m:sub>
              <m:r>
                <w:rPr>
                  <w:rFonts w:ascii="Cambria Math" w:hAnsi="Cambria Math"/>
                  <w:color w:val="000000"/>
                </w:rPr>
                <m:t>j=1</m:t>
              </m:r>
            </m:sub>
            <m:sup>
              <m:r>
                <w:rPr>
                  <w:rFonts w:ascii="Cambria Math" w:hAnsi="Cambria Math"/>
                  <w:color w:val="000000"/>
                </w:rPr>
                <m:t>q</m:t>
              </m:r>
            </m:sup>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j</m:t>
                  </m:r>
                </m:sub>
              </m:sSub>
              <m:r>
                <w:rPr>
                  <w:rFonts w:ascii="Cambria Math" w:hAnsi="Cambria Math"/>
                  <w:color w:val="000000"/>
                </w:rPr>
                <m:t>vech(</m:t>
              </m:r>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t-j</m:t>
                  </m:r>
                </m:sub>
              </m:sSub>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t-j</m:t>
                  </m:r>
                </m:sub>
                <m:sup>
                  <m:r>
                    <w:rPr>
                      <w:rFonts w:ascii="Cambria Math" w:hAnsi="Cambria Math"/>
                      <w:color w:val="000000"/>
                    </w:rPr>
                    <m:t>'</m:t>
                  </m:r>
                </m:sup>
              </m:sSubSup>
            </m:e>
          </m:nary>
          <m:r>
            <w:rPr>
              <w:rFonts w:ascii="Cambria Math" w:hAnsi="Cambria Math"/>
              <w:color w:val="000000"/>
            </w:rPr>
            <m:t>)+</m:t>
          </m:r>
          <m:nary>
            <m:naryPr>
              <m:chr m:val="∑"/>
              <m:limLoc m:val="undOvr"/>
              <m:ctrlPr>
                <w:rPr>
                  <w:rFonts w:ascii="Cambria Math" w:hAnsi="Cambria Math"/>
                  <w:i/>
                  <w:color w:val="000000"/>
                </w:rPr>
              </m:ctrlPr>
            </m:naryPr>
            <m:sub>
              <m:r>
                <w:rPr>
                  <w:rFonts w:ascii="Cambria Math" w:hAnsi="Cambria Math"/>
                  <w:color w:val="000000"/>
                </w:rPr>
                <m:t>j=1</m:t>
              </m:r>
            </m:sub>
            <m:sup>
              <m:r>
                <w:rPr>
                  <w:rFonts w:ascii="Cambria Math" w:hAnsi="Cambria Math"/>
                  <w:color w:val="000000"/>
                </w:rPr>
                <m:t>m</m:t>
              </m:r>
            </m:sup>
            <m:e>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j</m:t>
                  </m:r>
                </m:sub>
              </m:sSub>
              <m:r>
                <w:rPr>
                  <w:rFonts w:ascii="Cambria Math" w:hAnsi="Cambria Math"/>
                  <w:color w:val="000000"/>
                </w:rPr>
                <m:t>vech</m:t>
              </m:r>
              <m:d>
                <m:dPr>
                  <m:ctrlPr>
                    <w:rPr>
                      <w:rFonts w:ascii="Cambria Math" w:hAnsi="Cambria Math"/>
                      <w:i/>
                      <w:color w:val="000000"/>
                    </w:rPr>
                  </m:ctrlPr>
                </m:dPr>
                <m:e>
                  <m:sSub>
                    <m:sSubPr>
                      <m:ctrlPr>
                        <w:rPr>
                          <w:rFonts w:ascii="Cambria Math" w:hAnsi="Cambria Math"/>
                          <w:color w:val="000000"/>
                        </w:rPr>
                      </m:ctrlPr>
                    </m:sSubPr>
                    <m:e>
                      <m:r>
                        <m:rPr>
                          <m:sty m:val="p"/>
                        </m:rPr>
                        <w:rPr>
                          <w:rFonts w:ascii="Cambria Math" w:hAnsi="Cambria Math"/>
                          <w:color w:val="000000"/>
                        </w:rPr>
                        <m:t>Σ</m:t>
                      </m:r>
                    </m:e>
                    <m:sub>
                      <m:r>
                        <w:rPr>
                          <w:rFonts w:ascii="Cambria Math" w:hAnsi="Cambria Math"/>
                          <w:color w:val="000000"/>
                        </w:rPr>
                        <m:t>t-j|t-j-1</m:t>
                      </m:r>
                    </m:sub>
                  </m:sSub>
                </m:e>
              </m:d>
              <m:r>
                <w:rPr>
                  <w:rFonts w:ascii="Cambria Math" w:hAnsi="Cambria Math"/>
                  <w:color w:val="000000"/>
                </w:rPr>
                <m:t xml:space="preserve">             (1)</m:t>
              </m:r>
            </m:e>
          </m:nary>
        </m:oMath>
      </m:oMathPara>
    </w:p>
    <w:p w:rsidR="00E71D01" w:rsidRPr="006144B2" w:rsidRDefault="000E6CF9" w:rsidP="00895269">
      <w:pPr>
        <w:autoSpaceDE w:val="0"/>
        <w:autoSpaceDN w:val="0"/>
        <w:adjustRightInd w:val="0"/>
        <w:spacing w:line="360" w:lineRule="auto"/>
        <w:ind w:firstLine="708"/>
        <w:jc w:val="both"/>
        <w:rPr>
          <w:color w:val="000000"/>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t</m:t>
              </m:r>
            </m:sub>
          </m:sSub>
          <m:r>
            <w:rPr>
              <w:rFonts w:ascii="Cambria Math" w:hAnsi="Cambria Math"/>
              <w:color w:val="000000"/>
            </w:rPr>
            <m:t>=</m:t>
          </m:r>
          <m:sSubSup>
            <m:sSubSupPr>
              <m:ctrlPr>
                <w:rPr>
                  <w:rFonts w:ascii="Cambria Math" w:hAnsi="Cambria Math"/>
                  <w:i/>
                  <w:color w:val="000000"/>
                </w:rPr>
              </m:ctrlPr>
            </m:sSubSupPr>
            <m:e>
              <m:r>
                <m:rPr>
                  <m:sty m:val="p"/>
                </m:rPr>
                <w:rPr>
                  <w:rFonts w:ascii="Cambria Math" w:hAnsi="Cambria Math"/>
                  <w:color w:val="000000"/>
                </w:rPr>
                <m:t>Σ</m:t>
              </m:r>
            </m:e>
            <m:sub>
              <m:r>
                <w:rPr>
                  <w:rFonts w:ascii="Cambria Math" w:hAnsi="Cambria Math"/>
                  <w:color w:val="000000"/>
                </w:rPr>
                <m:t>t</m:t>
              </m:r>
            </m:sub>
            <m:sup>
              <m:f>
                <m:fPr>
                  <m:type m:val="lin"/>
                  <m:ctrlPr>
                    <w:rPr>
                      <w:rFonts w:ascii="Cambria Math" w:hAnsi="Cambria Math"/>
                      <w:i/>
                      <w:color w:val="000000"/>
                    </w:rPr>
                  </m:ctrlPr>
                </m:fPr>
                <m:num>
                  <m:r>
                    <w:rPr>
                      <w:rFonts w:ascii="Cambria Math" w:hAnsi="Cambria Math"/>
                      <w:color w:val="000000"/>
                    </w:rPr>
                    <m:t>1</m:t>
                  </m:r>
                </m:num>
                <m:den>
                  <m:r>
                    <w:rPr>
                      <w:rFonts w:ascii="Cambria Math" w:hAnsi="Cambria Math"/>
                      <w:color w:val="000000"/>
                    </w:rPr>
                    <m:t>2</m:t>
                  </m:r>
                </m:den>
              </m:f>
            </m:sup>
          </m:sSubSup>
          <m:sSub>
            <m:sSubPr>
              <m:ctrlPr>
                <w:rPr>
                  <w:rFonts w:ascii="Cambria Math" w:hAnsi="Cambria Math"/>
                  <w:i/>
                  <w:color w:val="000000"/>
                </w:rPr>
              </m:ctrlPr>
            </m:sSubPr>
            <m:e>
              <m:r>
                <w:rPr>
                  <w:rFonts w:ascii="Cambria Math" w:hAnsi="Cambria Math"/>
                  <w:color w:val="000000"/>
                </w:rPr>
                <m:t>z</m:t>
              </m:r>
            </m:e>
            <m:sub>
              <m:r>
                <w:rPr>
                  <w:rFonts w:ascii="Cambria Math" w:hAnsi="Cambria Math"/>
                  <w:color w:val="000000"/>
                </w:rPr>
                <m:t>t</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z</m:t>
              </m:r>
            </m:e>
            <m:sub>
              <m:r>
                <w:rPr>
                  <w:rFonts w:ascii="Cambria Math" w:hAnsi="Cambria Math"/>
                  <w:color w:val="000000"/>
                </w:rPr>
                <m:t>t</m:t>
              </m:r>
            </m:sub>
          </m:sSub>
          <m:r>
            <w:rPr>
              <w:rFonts w:ascii="Cambria Math" w:hAnsi="Cambria Math"/>
              <w:color w:val="000000"/>
            </w:rPr>
            <m:t>∼i.i.d</m:t>
          </m:r>
          <m:d>
            <m:dPr>
              <m:ctrlPr>
                <w:rPr>
                  <w:rFonts w:ascii="Cambria Math" w:hAnsi="Cambria Math"/>
                  <w:i/>
                  <w:color w:val="000000"/>
                </w:rPr>
              </m:ctrlPr>
            </m:dPr>
            <m:e>
              <m:r>
                <w:rPr>
                  <w:rFonts w:ascii="Cambria Math" w:hAnsi="Cambria Math"/>
                  <w:color w:val="000000"/>
                </w:rPr>
                <m:t>0,</m:t>
              </m:r>
              <m:sSub>
                <m:sSubPr>
                  <m:ctrlPr>
                    <w:rPr>
                      <w:rFonts w:ascii="Cambria Math" w:hAnsi="Cambria Math"/>
                      <w:i/>
                      <w:color w:val="000000"/>
                    </w:rPr>
                  </m:ctrlPr>
                </m:sSubPr>
                <m:e>
                  <m:r>
                    <w:rPr>
                      <w:rFonts w:ascii="Cambria Math" w:hAnsi="Cambria Math"/>
                      <w:color w:val="000000"/>
                    </w:rPr>
                    <m:t>I</m:t>
                  </m:r>
                </m:e>
                <m:sub>
                  <m:r>
                    <w:rPr>
                      <w:rFonts w:ascii="Cambria Math" w:hAnsi="Cambria Math"/>
                      <w:color w:val="000000"/>
                    </w:rPr>
                    <m:t>k</m:t>
                  </m:r>
                </m:sub>
              </m:sSub>
            </m:e>
          </m:d>
          <m:r>
            <w:rPr>
              <w:rFonts w:ascii="Cambria Math" w:hAnsi="Cambria Math"/>
              <w:color w:val="000000"/>
            </w:rPr>
            <m:t xml:space="preserve">                                                                                  (2)</m:t>
          </m:r>
        </m:oMath>
      </m:oMathPara>
    </w:p>
    <w:p w:rsidR="006144B2" w:rsidRPr="006144B2" w:rsidRDefault="000E6CF9" w:rsidP="006144B2">
      <w:pPr>
        <w:autoSpaceDE w:val="0"/>
        <w:autoSpaceDN w:val="0"/>
        <w:adjustRightInd w:val="0"/>
        <w:spacing w:line="360" w:lineRule="auto"/>
        <w:ind w:firstLine="708"/>
        <w:jc w:val="both"/>
        <w:rPr>
          <w:color w:val="000000"/>
        </w:rPr>
      </w:pPr>
      <m:oMathPara>
        <m:oMath>
          <m:sSub>
            <m:sSubPr>
              <m:ctrlPr>
                <w:rPr>
                  <w:rFonts w:ascii="Cambria Math" w:hAnsi="Cambria Math"/>
                  <w:i/>
                  <w:color w:val="000000"/>
                </w:rPr>
              </m:ctrlPr>
            </m:sSubPr>
            <m:e>
              <m:r>
                <m:rPr>
                  <m:sty m:val="p"/>
                </m:rPr>
                <w:rPr>
                  <w:rFonts w:ascii="Cambria Math" w:hAnsi="Cambria Math"/>
                  <w:color w:val="000000"/>
                </w:rPr>
                <m:t>Σ</m:t>
              </m:r>
            </m:e>
            <m:sub>
              <m:r>
                <w:rPr>
                  <w:rFonts w:ascii="Cambria Math" w:hAnsi="Cambria Math"/>
                  <w:color w:val="000000"/>
                </w:rPr>
                <m:t>t</m:t>
              </m:r>
            </m:sub>
          </m:sSub>
          <m:r>
            <w:rPr>
              <w:rFonts w:ascii="Cambria Math" w:hAnsi="Cambria Math"/>
              <w:color w:val="000000"/>
            </w:rPr>
            <m:t>=</m:t>
          </m:r>
          <m:sSubSup>
            <m:sSubSupPr>
              <m:ctrlPr>
                <w:rPr>
                  <w:rFonts w:ascii="Cambria Math" w:hAnsi="Cambria Math"/>
                  <w:i/>
                  <w:color w:val="000000"/>
                </w:rPr>
              </m:ctrlPr>
            </m:sSubSupPr>
            <m:e>
              <m:r>
                <m:rPr>
                  <m:sty m:val="p"/>
                </m:rPr>
                <w:rPr>
                  <w:rFonts w:ascii="Cambria Math" w:hAnsi="Cambria Math"/>
                  <w:color w:val="000000"/>
                </w:rPr>
                <m:t>Σ</m:t>
              </m:r>
            </m:e>
            <m:sub>
              <m:r>
                <w:rPr>
                  <w:rFonts w:ascii="Cambria Math" w:hAnsi="Cambria Math"/>
                  <w:color w:val="000000"/>
                </w:rPr>
                <m:t>t</m:t>
              </m:r>
            </m:sub>
            <m:sup>
              <m:f>
                <m:fPr>
                  <m:type m:val="lin"/>
                  <m:ctrlPr>
                    <w:rPr>
                      <w:rFonts w:ascii="Cambria Math" w:hAnsi="Cambria Math"/>
                      <w:i/>
                      <w:color w:val="000000"/>
                    </w:rPr>
                  </m:ctrlPr>
                </m:fPr>
                <m:num>
                  <m:r>
                    <w:rPr>
                      <w:rFonts w:ascii="Cambria Math" w:hAnsi="Cambria Math"/>
                      <w:color w:val="000000"/>
                    </w:rPr>
                    <m:t>1</m:t>
                  </m:r>
                </m:num>
                <m:den>
                  <m:r>
                    <w:rPr>
                      <w:rFonts w:ascii="Cambria Math" w:hAnsi="Cambria Math"/>
                      <w:color w:val="000000"/>
                    </w:rPr>
                    <m:t>2</m:t>
                  </m:r>
                </m:den>
              </m:f>
            </m:sup>
          </m:sSubSup>
          <m:sSubSup>
            <m:sSubSupPr>
              <m:ctrlPr>
                <w:rPr>
                  <w:rFonts w:ascii="Cambria Math" w:hAnsi="Cambria Math"/>
                  <w:i/>
                  <w:color w:val="000000"/>
                </w:rPr>
              </m:ctrlPr>
            </m:sSubSupPr>
            <m:e>
              <m:r>
                <m:rPr>
                  <m:sty m:val="p"/>
                </m:rPr>
                <w:rPr>
                  <w:rFonts w:ascii="Cambria Math" w:hAnsi="Cambria Math"/>
                  <w:color w:val="000000"/>
                </w:rPr>
                <m:t>(Σ</m:t>
              </m:r>
            </m:e>
            <m:sub>
              <m:r>
                <w:rPr>
                  <w:rFonts w:ascii="Cambria Math" w:hAnsi="Cambria Math"/>
                  <w:color w:val="000000"/>
                </w:rPr>
                <m:t>t</m:t>
              </m:r>
            </m:sub>
            <m:sup>
              <m:f>
                <m:fPr>
                  <m:type m:val="lin"/>
                  <m:ctrlPr>
                    <w:rPr>
                      <w:rFonts w:ascii="Cambria Math" w:hAnsi="Cambria Math"/>
                      <w:i/>
                      <w:color w:val="000000"/>
                    </w:rPr>
                  </m:ctrlPr>
                </m:fPr>
                <m:num>
                  <m:r>
                    <w:rPr>
                      <w:rFonts w:ascii="Cambria Math" w:hAnsi="Cambria Math"/>
                      <w:color w:val="000000"/>
                    </w:rPr>
                    <m:t>1</m:t>
                  </m:r>
                </m:num>
                <m:den>
                  <m:r>
                    <w:rPr>
                      <w:rFonts w:ascii="Cambria Math" w:hAnsi="Cambria Math"/>
                      <w:color w:val="000000"/>
                    </w:rPr>
                    <m:t>2</m:t>
                  </m:r>
                </m:den>
              </m:f>
            </m:sup>
          </m:sSubSup>
          <m:r>
            <w:rPr>
              <w:rFonts w:ascii="Cambria Math" w:hAnsi="Cambria Math"/>
              <w:color w:val="000000"/>
            </w:rPr>
            <m:t>),        (Cholesky)                                                                                  (3)</m:t>
          </m:r>
        </m:oMath>
      </m:oMathPara>
    </w:p>
    <w:p w:rsidR="006144B2" w:rsidRDefault="006144B2" w:rsidP="006144B2">
      <w:pPr>
        <w:autoSpaceDE w:val="0"/>
        <w:autoSpaceDN w:val="0"/>
        <w:adjustRightInd w:val="0"/>
        <w:spacing w:line="360" w:lineRule="auto"/>
        <w:ind w:firstLine="708"/>
        <w:jc w:val="both"/>
        <w:rPr>
          <w:color w:val="000000"/>
        </w:rPr>
      </w:pPr>
    </w:p>
    <w:p w:rsidR="006144B2" w:rsidRDefault="006144B2" w:rsidP="00895269">
      <w:pPr>
        <w:autoSpaceDE w:val="0"/>
        <w:autoSpaceDN w:val="0"/>
        <w:adjustRightInd w:val="0"/>
        <w:spacing w:line="360" w:lineRule="auto"/>
        <w:ind w:firstLine="708"/>
        <w:jc w:val="both"/>
        <w:rPr>
          <w:color w:val="000000"/>
        </w:rPr>
      </w:pPr>
    </w:p>
    <w:p w:rsidR="00895269" w:rsidRDefault="00895269" w:rsidP="00895269">
      <w:pPr>
        <w:autoSpaceDE w:val="0"/>
        <w:autoSpaceDN w:val="0"/>
        <w:adjustRightInd w:val="0"/>
        <w:spacing w:line="360" w:lineRule="auto"/>
        <w:ind w:firstLine="708"/>
        <w:jc w:val="both"/>
        <w:rPr>
          <w:color w:val="000000"/>
        </w:rPr>
      </w:pPr>
      <w:r w:rsidRPr="00895269">
        <w:rPr>
          <w:color w:val="000000"/>
        </w:rPr>
        <w:t>O espa</w:t>
      </w:r>
      <w:r w:rsidR="00DD097D">
        <w:rPr>
          <w:color w:val="000000"/>
        </w:rPr>
        <w:t>ç</w:t>
      </w:r>
      <w:r w:rsidRPr="00895269">
        <w:rPr>
          <w:color w:val="000000"/>
        </w:rPr>
        <w:t>o de par</w:t>
      </w:r>
      <w:r w:rsidR="00DD097D">
        <w:rPr>
          <w:color w:val="000000"/>
        </w:rPr>
        <w:t>â</w:t>
      </w:r>
      <w:r w:rsidRPr="00895269">
        <w:rPr>
          <w:color w:val="000000"/>
        </w:rPr>
        <w:t>metros de um modelo MGARCH tem uma dimens</w:t>
      </w:r>
      <w:r w:rsidR="00DD097D">
        <w:rPr>
          <w:color w:val="000000"/>
        </w:rPr>
        <w:t>ã</w:t>
      </w:r>
      <w:r w:rsidRPr="00895269">
        <w:rPr>
          <w:color w:val="000000"/>
        </w:rPr>
        <w:t>o grande e, em geral, precisa</w:t>
      </w:r>
      <w:r>
        <w:rPr>
          <w:color w:val="000000"/>
        </w:rPr>
        <w:t xml:space="preserve"> </w:t>
      </w:r>
      <w:r w:rsidRPr="00895269">
        <w:rPr>
          <w:color w:val="000000"/>
        </w:rPr>
        <w:t>ser restringido para garantir a unicidade da representa</w:t>
      </w:r>
      <w:r w:rsidR="00DD097D">
        <w:rPr>
          <w:color w:val="000000"/>
        </w:rPr>
        <w:t>ção</w:t>
      </w:r>
      <w:r w:rsidRPr="00895269">
        <w:rPr>
          <w:color w:val="000000"/>
        </w:rPr>
        <w:t xml:space="preserve"> e obter propriedades adequadas de covari</w:t>
      </w:r>
      <w:r w:rsidR="00DD097D">
        <w:rPr>
          <w:color w:val="000000"/>
        </w:rPr>
        <w:t>â</w:t>
      </w:r>
      <w:r w:rsidRPr="00895269">
        <w:rPr>
          <w:color w:val="000000"/>
        </w:rPr>
        <w:t>ncias condicionais. Para reduzir o espa</w:t>
      </w:r>
      <w:r w:rsidR="00DD097D">
        <w:rPr>
          <w:color w:val="000000"/>
        </w:rPr>
        <w:t>ç</w:t>
      </w:r>
      <w:r w:rsidRPr="00895269">
        <w:rPr>
          <w:color w:val="000000"/>
        </w:rPr>
        <w:t>o de par</w:t>
      </w:r>
      <w:r w:rsidR="00DD097D">
        <w:rPr>
          <w:color w:val="000000"/>
        </w:rPr>
        <w:t>â</w:t>
      </w:r>
      <w:r w:rsidRPr="00895269">
        <w:rPr>
          <w:color w:val="000000"/>
        </w:rPr>
        <w:t>metros, Bollerslev, Engle e Wooldridge (1988)</w:t>
      </w:r>
      <w:r>
        <w:rPr>
          <w:color w:val="000000"/>
        </w:rPr>
        <w:t xml:space="preserve"> </w:t>
      </w:r>
      <w:r w:rsidRPr="00895269">
        <w:rPr>
          <w:color w:val="000000"/>
        </w:rPr>
        <w:t xml:space="preserve">discutiram modelos MGARCH diagonais, onde o </w:t>
      </w:r>
      <m:oMath>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j</m:t>
            </m:r>
          </m:sub>
          <m:sup>
            <m:r>
              <w:rPr>
                <w:rFonts w:ascii="Cambria Math" w:hAnsi="Cambria Math"/>
                <w:color w:val="000000"/>
              </w:rPr>
              <m:t>'</m:t>
            </m:r>
          </m:sup>
        </m:sSubSup>
        <m:r>
          <w:rPr>
            <w:rFonts w:ascii="Cambria Math" w:hAnsi="Cambria Math"/>
            <w:color w:val="000000"/>
          </w:rPr>
          <m:t>s</m:t>
        </m:r>
      </m:oMath>
      <w:r w:rsidR="002741F5">
        <w:rPr>
          <w:color w:val="000000"/>
        </w:rPr>
        <w:t xml:space="preserve"> e </w:t>
      </w:r>
      <m:oMath>
        <m:sSubSup>
          <m:sSubSupPr>
            <m:ctrlPr>
              <w:rPr>
                <w:rFonts w:ascii="Cambria Math" w:hAnsi="Cambria Math"/>
                <w:i/>
                <w:color w:val="000000"/>
              </w:rPr>
            </m:ctrlPr>
          </m:sSubSupPr>
          <m:e>
            <m:r>
              <w:rPr>
                <w:rFonts w:ascii="Cambria Math" w:hAnsi="Cambria Math"/>
                <w:color w:val="000000"/>
              </w:rPr>
              <m:t>B</m:t>
            </m:r>
          </m:e>
          <m:sub>
            <m:r>
              <w:rPr>
                <w:rFonts w:ascii="Cambria Math" w:hAnsi="Cambria Math"/>
                <w:color w:val="000000"/>
              </w:rPr>
              <m:t>j</m:t>
            </m:r>
          </m:sub>
          <m:sup>
            <m:r>
              <w:rPr>
                <w:rFonts w:ascii="Cambria Math" w:hAnsi="Cambria Math"/>
                <w:color w:val="000000"/>
              </w:rPr>
              <m:t>'</m:t>
            </m:r>
          </m:sup>
        </m:sSubSup>
        <m:r>
          <w:rPr>
            <w:rFonts w:ascii="Cambria Math" w:hAnsi="Cambria Math"/>
            <w:color w:val="000000"/>
          </w:rPr>
          <m:t>s</m:t>
        </m:r>
      </m:oMath>
      <w:r w:rsidR="002741F5">
        <w:rPr>
          <w:color w:val="000000"/>
        </w:rPr>
        <w:t xml:space="preserve"> </w:t>
      </w:r>
      <w:r w:rsidRPr="00895269">
        <w:rPr>
          <w:color w:val="000000"/>
        </w:rPr>
        <w:t>s</w:t>
      </w:r>
      <w:r w:rsidR="00DD097D">
        <w:rPr>
          <w:color w:val="000000"/>
        </w:rPr>
        <w:t>ã</w:t>
      </w:r>
      <w:r w:rsidRPr="00895269">
        <w:rPr>
          <w:color w:val="000000"/>
        </w:rPr>
        <w:t>o matrizes diagonais. Uma alternativa,</w:t>
      </w:r>
      <w:r>
        <w:rPr>
          <w:color w:val="000000"/>
        </w:rPr>
        <w:t xml:space="preserve"> </w:t>
      </w:r>
      <w:r w:rsidRPr="00895269">
        <w:rPr>
          <w:color w:val="000000"/>
        </w:rPr>
        <w:t>s</w:t>
      </w:r>
      <w:r w:rsidR="00DD097D">
        <w:rPr>
          <w:color w:val="000000"/>
        </w:rPr>
        <w:t>ã</w:t>
      </w:r>
      <w:r w:rsidRPr="00895269">
        <w:rPr>
          <w:color w:val="000000"/>
        </w:rPr>
        <w:t>o os modelos multivariados GARCH BEKK que usualmente s</w:t>
      </w:r>
      <w:r w:rsidR="00DD097D">
        <w:rPr>
          <w:color w:val="000000"/>
        </w:rPr>
        <w:t>ã</w:t>
      </w:r>
      <w:r w:rsidRPr="00895269">
        <w:rPr>
          <w:color w:val="000000"/>
        </w:rPr>
        <w:t>o representados da seguinte forma:</w:t>
      </w:r>
    </w:p>
    <w:p w:rsidR="001840F0" w:rsidRDefault="001840F0" w:rsidP="00895269">
      <w:pPr>
        <w:autoSpaceDE w:val="0"/>
        <w:autoSpaceDN w:val="0"/>
        <w:adjustRightInd w:val="0"/>
        <w:spacing w:line="360" w:lineRule="auto"/>
        <w:ind w:firstLine="708"/>
        <w:jc w:val="both"/>
        <w:rPr>
          <w:color w:val="000000"/>
        </w:rPr>
      </w:pPr>
    </w:p>
    <w:p w:rsidR="00F44F81" w:rsidRDefault="000E6CF9" w:rsidP="00F44F81">
      <w:pPr>
        <w:autoSpaceDE w:val="0"/>
        <w:autoSpaceDN w:val="0"/>
        <w:adjustRightInd w:val="0"/>
        <w:spacing w:line="360" w:lineRule="auto"/>
        <w:ind w:firstLine="708"/>
        <w:jc w:val="both"/>
        <w:rPr>
          <w:color w:val="000000"/>
        </w:rPr>
      </w:pPr>
      <m:oMathPara>
        <m:oMath>
          <m:sSub>
            <m:sSubPr>
              <m:ctrlPr>
                <w:rPr>
                  <w:rFonts w:ascii="Cambria Math" w:hAnsi="Cambria Math"/>
                  <w:color w:val="000000"/>
                </w:rPr>
              </m:ctrlPr>
            </m:sSubPr>
            <m:e>
              <m:r>
                <m:rPr>
                  <m:sty m:val="p"/>
                </m:rPr>
                <w:rPr>
                  <w:rFonts w:ascii="Cambria Math" w:hAnsi="Cambria Math"/>
                  <w:color w:val="000000"/>
                </w:rPr>
                <m:t>Σ</m:t>
              </m:r>
            </m:e>
            <m:sub>
              <m:r>
                <w:rPr>
                  <w:rFonts w:ascii="Cambria Math" w:hAnsi="Cambria Math"/>
                  <w:color w:val="000000"/>
                </w:rPr>
                <m:t>t|t-1</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0</m:t>
              </m:r>
            </m:sub>
            <m:sup>
              <m:r>
                <w:rPr>
                  <w:rFonts w:ascii="Cambria Math" w:hAnsi="Cambria Math"/>
                  <w:color w:val="000000"/>
                </w:rPr>
                <m:t>*'</m:t>
              </m:r>
            </m:sup>
          </m:sSubSup>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0</m:t>
              </m:r>
            </m:sub>
            <m:sup>
              <m:r>
                <w:rPr>
                  <w:rFonts w:ascii="Cambria Math" w:hAnsi="Cambria Math"/>
                  <w:color w:val="000000"/>
                </w:rPr>
                <m:t>*</m:t>
              </m:r>
            </m:sup>
          </m:sSubSup>
          <m:r>
            <w:rPr>
              <w:rFonts w:ascii="Cambria Math" w:hAnsi="Cambria Math"/>
              <w:color w:val="000000"/>
            </w:rPr>
            <m:t>+</m:t>
          </m:r>
          <m:nary>
            <m:naryPr>
              <m:chr m:val="∑"/>
              <m:limLoc m:val="undOvr"/>
              <m:ctrlPr>
                <w:rPr>
                  <w:rFonts w:ascii="Cambria Math" w:hAnsi="Cambria Math"/>
                  <w:i/>
                  <w:color w:val="000000"/>
                </w:rPr>
              </m:ctrlPr>
            </m:naryPr>
            <m:sub>
              <m:r>
                <w:rPr>
                  <w:rFonts w:ascii="Cambria Math" w:hAnsi="Cambria Math"/>
                  <w:color w:val="000000"/>
                </w:rPr>
                <m:t>n=1</m:t>
              </m:r>
            </m:sub>
            <m:sup>
              <m:r>
                <w:rPr>
                  <w:rFonts w:ascii="Cambria Math" w:hAnsi="Cambria Math"/>
                  <w:color w:val="000000"/>
                </w:rPr>
                <m:t>N</m:t>
              </m:r>
            </m:sup>
            <m:e>
              <m:nary>
                <m:naryPr>
                  <m:chr m:val="∑"/>
                  <m:limLoc m:val="undOvr"/>
                  <m:ctrlPr>
                    <w:rPr>
                      <w:rFonts w:ascii="Cambria Math" w:hAnsi="Cambria Math"/>
                      <w:i/>
                      <w:color w:val="000000"/>
                    </w:rPr>
                  </m:ctrlPr>
                </m:naryPr>
                <m:sub>
                  <m:r>
                    <w:rPr>
                      <w:rFonts w:ascii="Cambria Math" w:hAnsi="Cambria Math"/>
                      <w:color w:val="000000"/>
                    </w:rPr>
                    <m:t>j=1</m:t>
                  </m:r>
                </m:sub>
                <m:sup>
                  <m:r>
                    <w:rPr>
                      <w:rFonts w:ascii="Cambria Math" w:hAnsi="Cambria Math"/>
                      <w:color w:val="000000"/>
                    </w:rPr>
                    <m:t>q</m:t>
                  </m:r>
                </m:sup>
                <m:e>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jn</m:t>
                      </m:r>
                    </m:sub>
                    <m:sup>
                      <m:r>
                        <w:rPr>
                          <w:rFonts w:ascii="Cambria Math" w:hAnsi="Cambria Math"/>
                          <w:color w:val="000000"/>
                        </w:rPr>
                        <m:t>*'</m:t>
                      </m:r>
                    </m:sup>
                  </m:sSubSup>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t-j</m:t>
                      </m:r>
                    </m:sub>
                  </m:sSub>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t-j</m:t>
                      </m:r>
                    </m:sub>
                    <m:sup>
                      <m:r>
                        <w:rPr>
                          <w:rFonts w:ascii="Cambria Math" w:hAnsi="Cambria Math"/>
                          <w:color w:val="000000"/>
                        </w:rPr>
                        <m:t>'</m:t>
                      </m:r>
                    </m:sup>
                  </m:sSubSup>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jn</m:t>
                      </m:r>
                    </m:sub>
                    <m:sup>
                      <m:r>
                        <w:rPr>
                          <w:rFonts w:ascii="Cambria Math" w:hAnsi="Cambria Math"/>
                          <w:color w:val="000000"/>
                        </w:rPr>
                        <m:t>*</m:t>
                      </m:r>
                    </m:sup>
                  </m:sSubSup>
                </m:e>
              </m:nary>
            </m:e>
          </m:nary>
          <m:r>
            <w:rPr>
              <w:rFonts w:ascii="Cambria Math" w:hAnsi="Cambria Math"/>
              <w:color w:val="000000"/>
            </w:rPr>
            <m:t>+</m:t>
          </m:r>
          <m:nary>
            <m:naryPr>
              <m:chr m:val="∑"/>
              <m:limLoc m:val="undOvr"/>
              <m:ctrlPr>
                <w:rPr>
                  <w:rFonts w:ascii="Cambria Math" w:hAnsi="Cambria Math"/>
                  <w:i/>
                  <w:color w:val="000000"/>
                </w:rPr>
              </m:ctrlPr>
            </m:naryPr>
            <m:sub>
              <m:r>
                <w:rPr>
                  <w:rFonts w:ascii="Cambria Math" w:hAnsi="Cambria Math"/>
                  <w:color w:val="000000"/>
                </w:rPr>
                <m:t>n=1</m:t>
              </m:r>
            </m:sub>
            <m:sup>
              <m:r>
                <w:rPr>
                  <w:rFonts w:ascii="Cambria Math" w:hAnsi="Cambria Math"/>
                  <w:color w:val="000000"/>
                </w:rPr>
                <m:t>N</m:t>
              </m:r>
            </m:sup>
            <m:e>
              <m:nary>
                <m:naryPr>
                  <m:chr m:val="∑"/>
                  <m:limLoc m:val="undOvr"/>
                  <m:ctrlPr>
                    <w:rPr>
                      <w:rFonts w:ascii="Cambria Math" w:hAnsi="Cambria Math"/>
                      <w:i/>
                      <w:color w:val="000000"/>
                    </w:rPr>
                  </m:ctrlPr>
                </m:naryPr>
                <m:sub>
                  <m:r>
                    <w:rPr>
                      <w:rFonts w:ascii="Cambria Math" w:hAnsi="Cambria Math"/>
                      <w:color w:val="000000"/>
                    </w:rPr>
                    <m:t>j=1</m:t>
                  </m:r>
                </m:sub>
                <m:sup>
                  <m:r>
                    <w:rPr>
                      <w:rFonts w:ascii="Cambria Math" w:hAnsi="Cambria Math"/>
                      <w:color w:val="000000"/>
                    </w:rPr>
                    <m:t>m</m:t>
                  </m:r>
                </m:sup>
                <m:e>
                  <m:sSubSup>
                    <m:sSubSupPr>
                      <m:ctrlPr>
                        <w:rPr>
                          <w:rFonts w:ascii="Cambria Math" w:hAnsi="Cambria Math"/>
                          <w:i/>
                          <w:color w:val="000000"/>
                        </w:rPr>
                      </m:ctrlPr>
                    </m:sSubSupPr>
                    <m:e>
                      <m:r>
                        <w:rPr>
                          <w:rFonts w:ascii="Cambria Math" w:hAnsi="Cambria Math"/>
                          <w:color w:val="000000"/>
                        </w:rPr>
                        <m:t>B</m:t>
                      </m:r>
                    </m:e>
                    <m:sub>
                      <m:r>
                        <w:rPr>
                          <w:rFonts w:ascii="Cambria Math" w:hAnsi="Cambria Math"/>
                          <w:color w:val="000000"/>
                        </w:rPr>
                        <m:t>jn</m:t>
                      </m:r>
                    </m:sub>
                    <m:sup>
                      <m:r>
                        <w:rPr>
                          <w:rFonts w:ascii="Cambria Math" w:hAnsi="Cambria Math"/>
                          <w:color w:val="000000"/>
                        </w:rPr>
                        <m:t>*'</m:t>
                      </m:r>
                    </m:sup>
                  </m:sSubSup>
                  <m:sSub>
                    <m:sSubPr>
                      <m:ctrlPr>
                        <w:rPr>
                          <w:rFonts w:ascii="Cambria Math" w:hAnsi="Cambria Math"/>
                          <w:color w:val="000000"/>
                        </w:rPr>
                      </m:ctrlPr>
                    </m:sSubPr>
                    <m:e>
                      <m:r>
                        <m:rPr>
                          <m:sty m:val="p"/>
                        </m:rPr>
                        <w:rPr>
                          <w:rFonts w:ascii="Cambria Math" w:hAnsi="Cambria Math"/>
                          <w:color w:val="000000"/>
                        </w:rPr>
                        <m:t>Σ</m:t>
                      </m:r>
                    </m:e>
                    <m:sub>
                      <m:r>
                        <w:rPr>
                          <w:rFonts w:ascii="Cambria Math" w:hAnsi="Cambria Math"/>
                          <w:color w:val="000000"/>
                        </w:rPr>
                        <m:t>t-j|t-j-1</m:t>
                      </m:r>
                    </m:sub>
                  </m:sSub>
                  <m:sSubSup>
                    <m:sSubSupPr>
                      <m:ctrlPr>
                        <w:rPr>
                          <w:rFonts w:ascii="Cambria Math" w:hAnsi="Cambria Math"/>
                          <w:i/>
                          <w:color w:val="000000"/>
                        </w:rPr>
                      </m:ctrlPr>
                    </m:sSubSupPr>
                    <m:e>
                      <m:r>
                        <w:rPr>
                          <w:rFonts w:ascii="Cambria Math" w:hAnsi="Cambria Math"/>
                          <w:color w:val="000000"/>
                        </w:rPr>
                        <m:t>B</m:t>
                      </m:r>
                    </m:e>
                    <m:sub>
                      <m:r>
                        <w:rPr>
                          <w:rFonts w:ascii="Cambria Math" w:hAnsi="Cambria Math"/>
                          <w:color w:val="000000"/>
                        </w:rPr>
                        <m:t>jn</m:t>
                      </m:r>
                    </m:sub>
                    <m:sup>
                      <m:r>
                        <w:rPr>
                          <w:rFonts w:ascii="Cambria Math" w:hAnsi="Cambria Math"/>
                          <w:color w:val="000000"/>
                        </w:rPr>
                        <m:t>*</m:t>
                      </m:r>
                    </m:sup>
                  </m:sSubSup>
                  <m:r>
                    <w:rPr>
                      <w:rFonts w:ascii="Cambria Math" w:hAnsi="Cambria Math"/>
                      <w:color w:val="000000"/>
                    </w:rPr>
                    <m:t xml:space="preserve">                     (4)</m:t>
                  </m:r>
                </m:e>
              </m:nary>
            </m:e>
          </m:nary>
        </m:oMath>
      </m:oMathPara>
    </w:p>
    <w:p w:rsidR="002741F5" w:rsidRDefault="002741F5" w:rsidP="00895269">
      <w:pPr>
        <w:autoSpaceDE w:val="0"/>
        <w:autoSpaceDN w:val="0"/>
        <w:adjustRightInd w:val="0"/>
        <w:spacing w:line="360" w:lineRule="auto"/>
        <w:ind w:firstLine="708"/>
        <w:jc w:val="both"/>
        <w:rPr>
          <w:color w:val="000000"/>
        </w:rPr>
      </w:pPr>
    </w:p>
    <w:p w:rsidR="001840F0" w:rsidRDefault="001840F0" w:rsidP="00895269">
      <w:pPr>
        <w:autoSpaceDE w:val="0"/>
        <w:autoSpaceDN w:val="0"/>
        <w:adjustRightInd w:val="0"/>
        <w:spacing w:line="360" w:lineRule="auto"/>
        <w:ind w:firstLine="708"/>
        <w:jc w:val="both"/>
        <w:rPr>
          <w:color w:val="000000"/>
        </w:rPr>
      </w:pPr>
      <w:r w:rsidRPr="001840F0">
        <w:rPr>
          <w:color w:val="000000"/>
        </w:rPr>
        <w:t>Onde</w:t>
      </w:r>
      <w:r w:rsidR="005117A2">
        <w:rPr>
          <w:color w:val="000000"/>
        </w:rPr>
        <w:t xml:space="preserve"> </w:t>
      </w:r>
      <m:oMath>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0</m:t>
            </m:r>
          </m:sub>
          <m:sup>
            <m:r>
              <w:rPr>
                <w:rFonts w:ascii="Cambria Math" w:hAnsi="Cambria Math"/>
                <w:color w:val="000000"/>
              </w:rPr>
              <m:t>*</m:t>
            </m:r>
          </m:sup>
        </m:sSubSup>
      </m:oMath>
      <w:r w:rsidRPr="001840F0">
        <w:rPr>
          <w:color w:val="000000"/>
        </w:rPr>
        <w:t xml:space="preserve"> e uma matriz triangular</w:t>
      </w:r>
      <w:r w:rsidR="005117A2">
        <w:rPr>
          <w:color w:val="000000"/>
        </w:rPr>
        <w:t xml:space="preserve"> </w:t>
      </w:r>
      <m:oMath>
        <m:r>
          <w:rPr>
            <w:rFonts w:ascii="Cambria Math" w:hAnsi="Cambria Math"/>
            <w:color w:val="000000"/>
          </w:rPr>
          <m:t>K×K</m:t>
        </m:r>
      </m:oMath>
      <w:r w:rsidR="005117A2">
        <w:rPr>
          <w:color w:val="000000"/>
        </w:rPr>
        <w:t xml:space="preserve"> </w:t>
      </w:r>
      <w:r w:rsidRPr="001840F0">
        <w:rPr>
          <w:color w:val="000000"/>
        </w:rPr>
        <w:t>e os coe</w:t>
      </w:r>
      <w:r w:rsidR="00DD097D">
        <w:rPr>
          <w:color w:val="000000"/>
        </w:rPr>
        <w:t>fi</w:t>
      </w:r>
      <w:r w:rsidRPr="001840F0">
        <w:rPr>
          <w:color w:val="000000"/>
        </w:rPr>
        <w:t xml:space="preserve">cientes matriciais </w:t>
      </w:r>
      <m:oMath>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jn</m:t>
            </m:r>
          </m:sub>
          <m:sup>
            <m:r>
              <w:rPr>
                <w:rFonts w:ascii="Cambria Math" w:hAnsi="Cambria Math"/>
                <w:color w:val="000000"/>
              </w:rPr>
              <m:t>*'</m:t>
            </m:r>
          </m:sup>
        </m:sSubSup>
      </m:oMath>
      <w:r w:rsidR="005117A2">
        <w:rPr>
          <w:color w:val="000000"/>
        </w:rPr>
        <w:t xml:space="preserve"> </w:t>
      </w:r>
      <w:r w:rsidRPr="001840F0">
        <w:rPr>
          <w:color w:val="000000"/>
        </w:rPr>
        <w:t>e</w:t>
      </w:r>
      <w:r w:rsidR="005117A2">
        <w:rPr>
          <w:color w:val="000000"/>
        </w:rPr>
        <w:t xml:space="preserve"> </w:t>
      </w:r>
      <m:oMath>
        <m:sSubSup>
          <m:sSubSupPr>
            <m:ctrlPr>
              <w:rPr>
                <w:rFonts w:ascii="Cambria Math" w:hAnsi="Cambria Math"/>
                <w:i/>
                <w:color w:val="000000"/>
              </w:rPr>
            </m:ctrlPr>
          </m:sSubSupPr>
          <m:e>
            <m:r>
              <w:rPr>
                <w:rFonts w:ascii="Cambria Math" w:hAnsi="Cambria Math"/>
                <w:color w:val="000000"/>
              </w:rPr>
              <m:t>B</m:t>
            </m:r>
          </m:e>
          <m:sub>
            <m:r>
              <w:rPr>
                <w:rFonts w:ascii="Cambria Math" w:hAnsi="Cambria Math"/>
                <w:color w:val="000000"/>
              </w:rPr>
              <m:t>jn</m:t>
            </m:r>
          </m:sub>
          <m:sup>
            <m:r>
              <w:rPr>
                <w:rFonts w:ascii="Cambria Math" w:hAnsi="Cambria Math"/>
                <w:color w:val="000000"/>
              </w:rPr>
              <m:t>*'</m:t>
            </m:r>
          </m:sup>
        </m:sSubSup>
      </m:oMath>
      <w:r w:rsidRPr="001840F0">
        <w:rPr>
          <w:color w:val="000000"/>
        </w:rPr>
        <w:t xml:space="preserve"> </w:t>
      </w:r>
      <w:r w:rsidR="005117A2">
        <w:rPr>
          <w:color w:val="000000"/>
        </w:rPr>
        <w:t xml:space="preserve"> </w:t>
      </w:r>
      <w:r w:rsidRPr="001840F0">
        <w:rPr>
          <w:color w:val="000000"/>
        </w:rPr>
        <w:t>s</w:t>
      </w:r>
      <w:r w:rsidR="00DD097D">
        <w:rPr>
          <w:color w:val="000000"/>
        </w:rPr>
        <w:t>ã</w:t>
      </w:r>
      <w:r w:rsidRPr="001840F0">
        <w:rPr>
          <w:color w:val="000000"/>
        </w:rPr>
        <w:t>o tamb</w:t>
      </w:r>
      <w:r w:rsidR="00DD097D">
        <w:rPr>
          <w:color w:val="000000"/>
        </w:rPr>
        <w:t>é</w:t>
      </w:r>
      <w:r w:rsidRPr="001840F0">
        <w:rPr>
          <w:color w:val="000000"/>
        </w:rPr>
        <w:t xml:space="preserve">m </w:t>
      </w:r>
      <m:oMath>
        <m:r>
          <w:rPr>
            <w:rFonts w:ascii="Cambria Math" w:hAnsi="Cambria Math"/>
            <w:color w:val="000000"/>
          </w:rPr>
          <m:t>K×K</m:t>
        </m:r>
      </m:oMath>
      <w:r w:rsidRPr="001840F0">
        <w:rPr>
          <w:color w:val="000000"/>
        </w:rPr>
        <w:t>.</w:t>
      </w:r>
    </w:p>
    <w:p w:rsidR="001840F0" w:rsidRDefault="001840F0" w:rsidP="001840F0">
      <w:pPr>
        <w:autoSpaceDE w:val="0"/>
        <w:autoSpaceDN w:val="0"/>
        <w:adjustRightInd w:val="0"/>
        <w:spacing w:line="360" w:lineRule="auto"/>
        <w:ind w:firstLine="708"/>
        <w:jc w:val="both"/>
        <w:rPr>
          <w:color w:val="000000"/>
        </w:rPr>
      </w:pPr>
      <w:r w:rsidRPr="001840F0">
        <w:rPr>
          <w:color w:val="000000"/>
        </w:rPr>
        <w:t>Embora o modelo de BEKK de baixa ordem seja uma representa</w:t>
      </w:r>
      <w:r w:rsidR="00DD097D">
        <w:rPr>
          <w:color w:val="000000"/>
        </w:rPr>
        <w:t>ção</w:t>
      </w:r>
      <w:r w:rsidRPr="001840F0">
        <w:rPr>
          <w:color w:val="000000"/>
        </w:rPr>
        <w:t xml:space="preserve"> relativamente parcimoniosa</w:t>
      </w:r>
      <w:r>
        <w:rPr>
          <w:color w:val="000000"/>
        </w:rPr>
        <w:t xml:space="preserve"> </w:t>
      </w:r>
      <w:r w:rsidRPr="001840F0">
        <w:rPr>
          <w:color w:val="000000"/>
        </w:rPr>
        <w:t>da estrutura de covari</w:t>
      </w:r>
      <w:r w:rsidR="00DD097D">
        <w:rPr>
          <w:color w:val="000000"/>
        </w:rPr>
        <w:t>â</w:t>
      </w:r>
      <w:r w:rsidRPr="001840F0">
        <w:rPr>
          <w:color w:val="000000"/>
        </w:rPr>
        <w:t>ncias condicionais, o n</w:t>
      </w:r>
      <w:r w:rsidR="00DD097D">
        <w:rPr>
          <w:color w:val="000000"/>
        </w:rPr>
        <w:t>ú</w:t>
      </w:r>
      <w:r w:rsidRPr="001840F0">
        <w:rPr>
          <w:color w:val="000000"/>
        </w:rPr>
        <w:t>mero de par</w:t>
      </w:r>
      <w:r w:rsidR="00DD097D">
        <w:rPr>
          <w:color w:val="000000"/>
        </w:rPr>
        <w:t>â</w:t>
      </w:r>
      <w:r w:rsidRPr="001840F0">
        <w:rPr>
          <w:color w:val="000000"/>
        </w:rPr>
        <w:t>metros ainda cresce rapidamente com a</w:t>
      </w:r>
      <w:r>
        <w:rPr>
          <w:color w:val="000000"/>
        </w:rPr>
        <w:t xml:space="preserve"> </w:t>
      </w:r>
      <w:r w:rsidRPr="001840F0">
        <w:rPr>
          <w:color w:val="000000"/>
        </w:rPr>
        <w:t>dimens</w:t>
      </w:r>
      <w:r w:rsidR="00DD097D">
        <w:rPr>
          <w:color w:val="000000"/>
        </w:rPr>
        <w:t>ã</w:t>
      </w:r>
      <w:r w:rsidRPr="001840F0">
        <w:rPr>
          <w:color w:val="000000"/>
        </w:rPr>
        <w:t>o do sistema subjacente. Portanto, na pr</w:t>
      </w:r>
      <w:r w:rsidR="00DD097D">
        <w:rPr>
          <w:color w:val="000000"/>
        </w:rPr>
        <w:t>á</w:t>
      </w:r>
      <w:r w:rsidRPr="001840F0">
        <w:rPr>
          <w:color w:val="000000"/>
        </w:rPr>
        <w:t xml:space="preserve">tica, </w:t>
      </w:r>
      <w:r w:rsidR="00DD097D">
        <w:rPr>
          <w:color w:val="000000"/>
        </w:rPr>
        <w:t>é</w:t>
      </w:r>
      <w:r w:rsidRPr="001840F0">
        <w:rPr>
          <w:color w:val="000000"/>
        </w:rPr>
        <w:t xml:space="preserve"> apenas fact</w:t>
      </w:r>
      <w:r w:rsidR="00DD097D">
        <w:rPr>
          <w:color w:val="000000"/>
        </w:rPr>
        <w:t>í</w:t>
      </w:r>
      <w:r w:rsidRPr="001840F0">
        <w:rPr>
          <w:color w:val="000000"/>
        </w:rPr>
        <w:t>vel se tratarmos sistemas com</w:t>
      </w:r>
      <w:r>
        <w:rPr>
          <w:color w:val="000000"/>
        </w:rPr>
        <w:t xml:space="preserve"> </w:t>
      </w:r>
      <w:r w:rsidRPr="001840F0">
        <w:rPr>
          <w:color w:val="000000"/>
        </w:rPr>
        <w:t>n</w:t>
      </w:r>
      <w:r w:rsidR="00DD097D">
        <w:rPr>
          <w:color w:val="000000"/>
        </w:rPr>
        <w:t>ú</w:t>
      </w:r>
      <w:r w:rsidRPr="001840F0">
        <w:rPr>
          <w:color w:val="000000"/>
        </w:rPr>
        <w:t>mero reduzido de vari</w:t>
      </w:r>
      <w:r w:rsidR="00DD097D">
        <w:rPr>
          <w:color w:val="000000"/>
        </w:rPr>
        <w:t>á</w:t>
      </w:r>
      <w:r w:rsidRPr="001840F0">
        <w:rPr>
          <w:color w:val="000000"/>
        </w:rPr>
        <w:t>veis.</w:t>
      </w:r>
    </w:p>
    <w:p w:rsidR="005C1E93" w:rsidRDefault="001840F0" w:rsidP="001840F0">
      <w:pPr>
        <w:autoSpaceDE w:val="0"/>
        <w:autoSpaceDN w:val="0"/>
        <w:adjustRightInd w:val="0"/>
        <w:spacing w:line="360" w:lineRule="auto"/>
        <w:ind w:firstLine="708"/>
        <w:jc w:val="both"/>
        <w:rPr>
          <w:color w:val="000000"/>
        </w:rPr>
      </w:pPr>
      <w:r w:rsidRPr="001840F0">
        <w:rPr>
          <w:color w:val="000000"/>
        </w:rPr>
        <w:t xml:space="preserve">Nos </w:t>
      </w:r>
      <w:r w:rsidR="0060794A" w:rsidRPr="001840F0">
        <w:rPr>
          <w:color w:val="000000"/>
        </w:rPr>
        <w:t xml:space="preserve">mercados </w:t>
      </w:r>
      <w:r w:rsidR="0060794A">
        <w:rPr>
          <w:color w:val="000000"/>
        </w:rPr>
        <w:t>financeiros</w:t>
      </w:r>
      <w:r w:rsidRPr="001840F0">
        <w:rPr>
          <w:color w:val="000000"/>
        </w:rPr>
        <w:t>, tem sido observado com frequ</w:t>
      </w:r>
      <w:r w:rsidR="00DD097D">
        <w:rPr>
          <w:color w:val="000000"/>
        </w:rPr>
        <w:t>ê</w:t>
      </w:r>
      <w:r w:rsidRPr="001840F0">
        <w:rPr>
          <w:color w:val="000000"/>
        </w:rPr>
        <w:t>ncia que os choques negativos e positivos,</w:t>
      </w:r>
      <w:r>
        <w:rPr>
          <w:color w:val="000000"/>
        </w:rPr>
        <w:t xml:space="preserve"> </w:t>
      </w:r>
      <w:r w:rsidRPr="001840F0">
        <w:rPr>
          <w:color w:val="000000"/>
        </w:rPr>
        <w:t>ou not</w:t>
      </w:r>
      <w:r w:rsidR="00DD097D">
        <w:rPr>
          <w:color w:val="000000"/>
        </w:rPr>
        <w:t>í</w:t>
      </w:r>
      <w:r w:rsidRPr="001840F0">
        <w:rPr>
          <w:color w:val="000000"/>
        </w:rPr>
        <w:t>cias, t</w:t>
      </w:r>
      <w:r w:rsidR="00DD097D">
        <w:rPr>
          <w:color w:val="000000"/>
        </w:rPr>
        <w:t>ê</w:t>
      </w:r>
      <w:r w:rsidRPr="001840F0">
        <w:rPr>
          <w:color w:val="000000"/>
        </w:rPr>
        <w:t>m efeitos muito diferentes Black (1976). Esse efeito de alavanca pode ser introduzido</w:t>
      </w:r>
      <w:r>
        <w:rPr>
          <w:color w:val="000000"/>
        </w:rPr>
        <w:t xml:space="preserve"> </w:t>
      </w:r>
      <w:r w:rsidRPr="001840F0">
        <w:rPr>
          <w:color w:val="000000"/>
        </w:rPr>
        <w:t>de forma diferente em modelos MGARCH</w:t>
      </w:r>
      <w:r w:rsidR="005C1E93">
        <w:rPr>
          <w:rStyle w:val="Refdenotaderodap"/>
          <w:color w:val="000000"/>
        </w:rPr>
        <w:footnoteReference w:id="3"/>
      </w:r>
      <w:r w:rsidRPr="001840F0">
        <w:rPr>
          <w:color w:val="000000"/>
        </w:rPr>
        <w:t xml:space="preserve">. Por exemplo, Hafner e Herwartz (1998) e </w:t>
      </w:r>
      <w:r w:rsidRPr="001840F0">
        <w:rPr>
          <w:color w:val="000000"/>
        </w:rPr>
        <w:lastRenderedPageBreak/>
        <w:t>Herwartz e</w:t>
      </w:r>
      <w:r>
        <w:rPr>
          <w:color w:val="000000"/>
        </w:rPr>
        <w:t xml:space="preserve"> </w:t>
      </w:r>
      <w:r w:rsidRPr="001840F0">
        <w:rPr>
          <w:color w:val="000000"/>
        </w:rPr>
        <w:t>Lutkepohl (2000) generalizaram uma proposta univariada de Glosten, Jagannathan e Runkle (1993)</w:t>
      </w:r>
      <w:r>
        <w:rPr>
          <w:color w:val="000000"/>
        </w:rPr>
        <w:t xml:space="preserve"> </w:t>
      </w:r>
      <w:r w:rsidRPr="001840F0">
        <w:rPr>
          <w:color w:val="000000"/>
        </w:rPr>
        <w:t>e substitu</w:t>
      </w:r>
      <w:r w:rsidR="008A7025">
        <w:rPr>
          <w:color w:val="000000"/>
        </w:rPr>
        <w:t>í</w:t>
      </w:r>
      <w:r w:rsidRPr="001840F0">
        <w:rPr>
          <w:color w:val="000000"/>
        </w:rPr>
        <w:t xml:space="preserve">ram </w:t>
      </w:r>
      <m:oMath>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jn</m:t>
            </m:r>
          </m:sub>
          <m:sup>
            <m:r>
              <w:rPr>
                <w:rFonts w:ascii="Cambria Math" w:hAnsi="Cambria Math"/>
                <w:color w:val="000000"/>
              </w:rPr>
              <m:t>*'</m:t>
            </m:r>
          </m:sup>
        </m:sSubSup>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t-j</m:t>
            </m:r>
          </m:sub>
        </m:sSub>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t-j</m:t>
            </m:r>
          </m:sub>
          <m:sup>
            <m:r>
              <w:rPr>
                <w:rFonts w:ascii="Cambria Math" w:hAnsi="Cambria Math"/>
                <w:color w:val="000000"/>
              </w:rPr>
              <m:t>'</m:t>
            </m:r>
          </m:sup>
        </m:sSubSup>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jn</m:t>
            </m:r>
          </m:sub>
          <m:sup>
            <m:r>
              <w:rPr>
                <w:rFonts w:ascii="Cambria Math" w:hAnsi="Cambria Math"/>
                <w:color w:val="000000"/>
              </w:rPr>
              <m:t>*</m:t>
            </m:r>
          </m:sup>
        </m:sSubSup>
      </m:oMath>
      <w:r w:rsidR="005C1E93">
        <w:rPr>
          <w:color w:val="000000"/>
        </w:rPr>
        <w:t xml:space="preserve"> </w:t>
      </w:r>
      <w:r w:rsidRPr="001840F0">
        <w:rPr>
          <w:color w:val="000000"/>
        </w:rPr>
        <w:t>por</w:t>
      </w:r>
      <w:r w:rsidR="005C1E93">
        <w:rPr>
          <w:color w:val="000000"/>
        </w:rPr>
        <w:t xml:space="preserve"> </w:t>
      </w:r>
    </w:p>
    <w:p w:rsidR="005C1E93" w:rsidRDefault="000E6CF9" w:rsidP="001840F0">
      <w:pPr>
        <w:autoSpaceDE w:val="0"/>
        <w:autoSpaceDN w:val="0"/>
        <w:adjustRightInd w:val="0"/>
        <w:spacing w:line="360" w:lineRule="auto"/>
        <w:ind w:firstLine="708"/>
        <w:jc w:val="both"/>
        <w:rPr>
          <w:color w:val="000000"/>
        </w:rPr>
      </w:pPr>
      <m:oMathPara>
        <m:oMath>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11</m:t>
              </m:r>
            </m:sub>
            <m:sup>
              <m:r>
                <w:rPr>
                  <w:rFonts w:ascii="Cambria Math" w:hAnsi="Cambria Math"/>
                  <w:color w:val="000000"/>
                </w:rPr>
                <m:t>*'</m:t>
              </m:r>
            </m:sup>
          </m:sSubSup>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t-1</m:t>
              </m:r>
            </m:sub>
          </m:sSub>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t-1</m:t>
              </m:r>
            </m:sub>
            <m:sup>
              <m:r>
                <w:rPr>
                  <w:rFonts w:ascii="Cambria Math" w:hAnsi="Cambria Math"/>
                  <w:color w:val="000000"/>
                </w:rPr>
                <m:t>'</m:t>
              </m:r>
            </m:sup>
          </m:sSubSup>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11</m:t>
              </m:r>
            </m:sub>
            <m:sup>
              <m:r>
                <w:rPr>
                  <w:rFonts w:ascii="Cambria Math" w:hAnsi="Cambria Math"/>
                  <w:color w:val="000000"/>
                </w:rPr>
                <m:t>*</m:t>
              </m:r>
            </m:sup>
          </m:sSubSup>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_I</m:t>
              </m:r>
            </m:sub>
            <m:sup>
              <m:r>
                <w:rPr>
                  <w:rFonts w:ascii="Cambria Math" w:hAnsi="Cambria Math"/>
                  <w:color w:val="000000"/>
                </w:rPr>
                <m:t>*'</m:t>
              </m:r>
            </m:sup>
          </m:sSubSup>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t-1</m:t>
              </m:r>
            </m:sub>
          </m:sSub>
          <m:sSubSup>
            <m:sSubSupPr>
              <m:ctrlPr>
                <w:rPr>
                  <w:rFonts w:ascii="Cambria Math" w:hAnsi="Cambria Math"/>
                  <w:i/>
                  <w:color w:val="000000"/>
                </w:rPr>
              </m:ctrlPr>
            </m:sSubSupPr>
            <m:e>
              <m:r>
                <w:rPr>
                  <w:rFonts w:ascii="Cambria Math" w:hAnsi="Cambria Math"/>
                  <w:color w:val="000000"/>
                </w:rPr>
                <m:t>u</m:t>
              </m:r>
            </m:e>
            <m:sub>
              <m:r>
                <w:rPr>
                  <w:rFonts w:ascii="Cambria Math" w:hAnsi="Cambria Math"/>
                  <w:color w:val="000000"/>
                </w:rPr>
                <m:t>t-1</m:t>
              </m:r>
            </m:sub>
            <m:sup>
              <m:r>
                <w:rPr>
                  <w:rFonts w:ascii="Cambria Math" w:hAnsi="Cambria Math"/>
                  <w:color w:val="000000"/>
                </w:rPr>
                <m:t>'</m:t>
              </m:r>
            </m:sup>
          </m:sSubSup>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_I</m:t>
              </m:r>
            </m:sub>
            <m:sup>
              <m:r>
                <w:rPr>
                  <w:rFonts w:ascii="Cambria Math" w:hAnsi="Cambria Math"/>
                  <w:color w:val="000000"/>
                </w:rPr>
                <m:t>*</m:t>
              </m:r>
            </m:sup>
          </m:sSubSup>
          <m:r>
            <w:rPr>
              <w:rFonts w:ascii="Cambria Math" w:hAnsi="Cambria Math"/>
              <w:color w:val="000000"/>
            </w:rPr>
            <m:t>(</m:t>
          </m:r>
          <m:nary>
            <m:naryPr>
              <m:chr m:val="∑"/>
              <m:limLoc m:val="undOvr"/>
              <m:ctrlPr>
                <w:rPr>
                  <w:rFonts w:ascii="Cambria Math" w:hAnsi="Cambria Math"/>
                  <w:i/>
                  <w:color w:val="000000"/>
                </w:rPr>
              </m:ctrlPr>
            </m:naryPr>
            <m:sub>
              <m:r>
                <w:rPr>
                  <w:rFonts w:ascii="Cambria Math" w:hAnsi="Cambria Math"/>
                  <w:color w:val="000000"/>
                </w:rPr>
                <m:t>k=1</m:t>
              </m:r>
            </m:sub>
            <m:sup>
              <m:r>
                <w:rPr>
                  <w:rFonts w:ascii="Cambria Math" w:hAnsi="Cambria Math"/>
                  <w:color w:val="000000"/>
                </w:rPr>
                <m:t>K</m:t>
              </m:r>
            </m:sup>
            <m:e>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kt</m:t>
                  </m:r>
                </m:sub>
              </m:sSub>
              <m:r>
                <w:rPr>
                  <w:rFonts w:ascii="Cambria Math" w:hAnsi="Cambria Math"/>
                  <w:color w:val="000000"/>
                </w:rPr>
                <m:t>&lt;0)                                       (5)</m:t>
              </m:r>
            </m:e>
          </m:nary>
        </m:oMath>
      </m:oMathPara>
    </w:p>
    <w:p w:rsidR="001840F0" w:rsidRDefault="001840F0" w:rsidP="001840F0">
      <w:pPr>
        <w:autoSpaceDE w:val="0"/>
        <w:autoSpaceDN w:val="0"/>
        <w:adjustRightInd w:val="0"/>
        <w:spacing w:line="360" w:lineRule="auto"/>
        <w:ind w:firstLine="708"/>
        <w:jc w:val="both"/>
        <w:rPr>
          <w:color w:val="000000"/>
        </w:rPr>
      </w:pPr>
      <w:proofErr w:type="gramStart"/>
      <w:r w:rsidRPr="001840F0">
        <w:rPr>
          <w:color w:val="000000"/>
        </w:rPr>
        <w:t>em</w:t>
      </w:r>
      <w:proofErr w:type="gramEnd"/>
      <w:r w:rsidRPr="001840F0">
        <w:rPr>
          <w:color w:val="000000"/>
        </w:rPr>
        <w:t xml:space="preserve"> um modelo BEKK com N = 1.</w:t>
      </w:r>
    </w:p>
    <w:p w:rsidR="001840F0" w:rsidRDefault="001840F0" w:rsidP="001840F0">
      <w:pPr>
        <w:autoSpaceDE w:val="0"/>
        <w:autoSpaceDN w:val="0"/>
        <w:adjustRightInd w:val="0"/>
        <w:spacing w:line="360" w:lineRule="auto"/>
        <w:ind w:firstLine="708"/>
        <w:jc w:val="both"/>
        <w:rPr>
          <w:color w:val="000000"/>
        </w:rPr>
      </w:pPr>
      <w:r w:rsidRPr="001840F0">
        <w:rPr>
          <w:color w:val="000000"/>
        </w:rPr>
        <w:t>Aqui I(.) denota uma fun</w:t>
      </w:r>
      <w:r w:rsidR="008A7025">
        <w:rPr>
          <w:color w:val="000000"/>
        </w:rPr>
        <w:t>ção</w:t>
      </w:r>
      <w:r w:rsidRPr="001840F0">
        <w:rPr>
          <w:color w:val="000000"/>
        </w:rPr>
        <w:t xml:space="preserve"> indicadora que assume o valor 1 se o argumento e v</w:t>
      </w:r>
      <w:r w:rsidR="008A7025">
        <w:rPr>
          <w:color w:val="000000"/>
        </w:rPr>
        <w:t>á</w:t>
      </w:r>
      <w:r w:rsidRPr="001840F0">
        <w:rPr>
          <w:color w:val="000000"/>
        </w:rPr>
        <w:t>lido e 0 se n</w:t>
      </w:r>
      <w:r w:rsidR="008A7025">
        <w:rPr>
          <w:color w:val="000000"/>
        </w:rPr>
        <w:t>ã</w:t>
      </w:r>
      <w:r w:rsidRPr="001840F0">
        <w:rPr>
          <w:color w:val="000000"/>
        </w:rPr>
        <w:t>o</w:t>
      </w:r>
      <w:r>
        <w:rPr>
          <w:color w:val="000000"/>
        </w:rPr>
        <w:t xml:space="preserve"> </w:t>
      </w:r>
      <w:r w:rsidR="00F72CE5">
        <w:rPr>
          <w:color w:val="000000"/>
        </w:rPr>
        <w:t>é.</w:t>
      </w:r>
      <w:r w:rsidRPr="001840F0">
        <w:rPr>
          <w:color w:val="000000"/>
        </w:rPr>
        <w:t xml:space="preserve"> </w:t>
      </w:r>
      <m:oMath>
        <m:sSubSup>
          <m:sSubSupPr>
            <m:ctrlPr>
              <w:rPr>
                <w:rFonts w:ascii="Cambria Math" w:hAnsi="Cambria Math"/>
                <w:i/>
                <w:color w:val="000000"/>
              </w:rPr>
            </m:ctrlPr>
          </m:sSubSupPr>
          <m:e>
            <m:r>
              <w:rPr>
                <w:rFonts w:ascii="Cambria Math" w:hAnsi="Cambria Math"/>
                <w:color w:val="000000"/>
              </w:rPr>
              <m:t>A</m:t>
            </m:r>
          </m:e>
          <m:sub>
            <m:r>
              <w:rPr>
                <w:rFonts w:ascii="Cambria Math" w:hAnsi="Cambria Math"/>
                <w:color w:val="000000"/>
              </w:rPr>
              <m:t>_</m:t>
            </m:r>
          </m:sub>
          <m:sup>
            <m:r>
              <w:rPr>
                <w:rFonts w:ascii="Cambria Math" w:hAnsi="Cambria Math"/>
                <w:color w:val="000000"/>
              </w:rPr>
              <m:t>*</m:t>
            </m:r>
          </m:sup>
        </m:sSubSup>
      </m:oMath>
      <w:r w:rsidR="00F72CE5">
        <w:rPr>
          <w:color w:val="000000"/>
        </w:rPr>
        <w:t xml:space="preserve"> é</w:t>
      </w:r>
      <w:r w:rsidRPr="001840F0">
        <w:rPr>
          <w:color w:val="000000"/>
        </w:rPr>
        <w:t xml:space="preserve"> um coe</w:t>
      </w:r>
      <w:r w:rsidR="008A7025">
        <w:rPr>
          <w:color w:val="000000"/>
        </w:rPr>
        <w:t>fi</w:t>
      </w:r>
      <w:r w:rsidRPr="001840F0">
        <w:rPr>
          <w:color w:val="000000"/>
        </w:rPr>
        <w:t xml:space="preserve">ciente adicional da matriz </w:t>
      </w:r>
      <m:oMath>
        <m:r>
          <w:rPr>
            <w:rFonts w:ascii="Cambria Math" w:hAnsi="Cambria Math"/>
            <w:color w:val="000000"/>
          </w:rPr>
          <m:t>K×K</m:t>
        </m:r>
      </m:oMath>
      <w:r w:rsidRPr="001840F0">
        <w:rPr>
          <w:color w:val="000000"/>
        </w:rPr>
        <w:t>.</w:t>
      </w:r>
    </w:p>
    <w:p w:rsidR="00E02F76" w:rsidRDefault="00E02F76" w:rsidP="003456DE">
      <w:pPr>
        <w:pStyle w:val="PargrafodaLista"/>
        <w:ind w:left="0"/>
        <w:jc w:val="both"/>
      </w:pPr>
    </w:p>
    <w:p w:rsidR="003456DE" w:rsidRPr="001E3620" w:rsidRDefault="00283DAA" w:rsidP="00523841">
      <w:pPr>
        <w:numPr>
          <w:ilvl w:val="0"/>
          <w:numId w:val="5"/>
        </w:numPr>
        <w:autoSpaceDE w:val="0"/>
        <w:autoSpaceDN w:val="0"/>
        <w:adjustRightInd w:val="0"/>
        <w:rPr>
          <w:rFonts w:eastAsia="Calibri"/>
          <w:b/>
          <w:bCs/>
          <w:sz w:val="23"/>
          <w:szCs w:val="23"/>
        </w:rPr>
      </w:pPr>
      <w:r w:rsidRPr="001E3620">
        <w:rPr>
          <w:rFonts w:eastAsia="Calibri"/>
          <w:b/>
          <w:bCs/>
          <w:sz w:val="23"/>
          <w:szCs w:val="23"/>
        </w:rPr>
        <w:t xml:space="preserve"> </w:t>
      </w:r>
      <w:r w:rsidR="001E3620" w:rsidRPr="001E3620">
        <w:rPr>
          <w:rFonts w:eastAsia="Calibri"/>
          <w:b/>
          <w:bCs/>
          <w:sz w:val="23"/>
          <w:szCs w:val="23"/>
        </w:rPr>
        <w:t>Teste de causalidade de Granger de segunda ordem</w:t>
      </w:r>
    </w:p>
    <w:p w:rsidR="003456DE" w:rsidRPr="001E3620" w:rsidRDefault="003456DE" w:rsidP="003456DE">
      <w:pPr>
        <w:jc w:val="both"/>
        <w:rPr>
          <w:b/>
        </w:rPr>
      </w:pPr>
    </w:p>
    <w:p w:rsidR="006A3CC1" w:rsidRDefault="006A3CC1" w:rsidP="005325DA">
      <w:pPr>
        <w:spacing w:line="360" w:lineRule="auto"/>
        <w:jc w:val="both"/>
      </w:pPr>
    </w:p>
    <w:p w:rsidR="005325DA" w:rsidRDefault="00C759B1" w:rsidP="005325DA">
      <w:pPr>
        <w:spacing w:line="360" w:lineRule="auto"/>
        <w:jc w:val="both"/>
      </w:pPr>
      <w:r w:rsidRPr="00F766DC">
        <w:tab/>
      </w:r>
      <w:r w:rsidR="005325DA">
        <w:t>A de</w:t>
      </w:r>
      <w:r w:rsidR="0072626E">
        <w:t>finição</w:t>
      </w:r>
      <w:r w:rsidR="005325DA">
        <w:t xml:space="preserve"> de causalidade de Granger se baseia em previs</w:t>
      </w:r>
      <w:r w:rsidR="0072626E">
        <w:t>õ</w:t>
      </w:r>
      <w:r w:rsidR="005325DA">
        <w:t>es. Sob condi</w:t>
      </w:r>
      <w:r w:rsidR="0072626E">
        <w:t>ções</w:t>
      </w:r>
      <w:r w:rsidR="005325DA">
        <w:t xml:space="preserve"> adequadas, as previs</w:t>
      </w:r>
      <w:r w:rsidR="0072626E">
        <w:t>õ</w:t>
      </w:r>
      <w:r w:rsidR="005325DA">
        <w:t xml:space="preserve">es </w:t>
      </w:r>
      <w:r w:rsidR="0072626E">
        <w:t>ó</w:t>
      </w:r>
      <w:r w:rsidR="005325DA">
        <w:t>timas s</w:t>
      </w:r>
      <w:r w:rsidR="0072626E">
        <w:t>ã</w:t>
      </w:r>
      <w:r w:rsidR="005325DA">
        <w:t>o obtidas como esperan</w:t>
      </w:r>
      <w:r w:rsidR="0072626E">
        <w:t>ç</w:t>
      </w:r>
      <w:r w:rsidR="005325DA">
        <w:t>as condicionais. Portanto, a causalidade de Granger pode ser de</w:t>
      </w:r>
      <w:r w:rsidR="0072626E">
        <w:t>fi</w:t>
      </w:r>
      <w:r w:rsidR="005325DA">
        <w:t xml:space="preserve">nida em termos </w:t>
      </w:r>
      <w:r w:rsidR="0072626E">
        <w:t>ó</w:t>
      </w:r>
      <w:r w:rsidR="005325DA">
        <w:t>timos como esperan</w:t>
      </w:r>
      <w:r w:rsidR="0072626E">
        <w:t>ç</w:t>
      </w:r>
      <w:r w:rsidR="005325DA">
        <w:t>as condicionais conforme Granger (1988). Em outras palavras, podemos de</w:t>
      </w:r>
      <w:r w:rsidR="0072626E">
        <w:t>fi</w:t>
      </w:r>
      <w:r w:rsidR="005325DA">
        <w:t>nir uma vari</w:t>
      </w:r>
      <w:r w:rsidR="0072626E">
        <w:t>á</w:t>
      </w:r>
      <w:r w:rsidR="005325DA">
        <w:t>vel de s</w:t>
      </w:r>
      <w:r w:rsidR="0072626E">
        <w:t>é</w:t>
      </w:r>
      <w:r w:rsidR="005325DA">
        <w:t xml:space="preserve">ries de tempo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0072626E">
        <w:t xml:space="preserve"> </w:t>
      </w:r>
      <w:r w:rsidR="005325DA">
        <w:t xml:space="preserve">para ser causal de </w:t>
      </w:r>
      <m:oMath>
        <m:sSub>
          <m:sSubPr>
            <m:ctrlPr>
              <w:rPr>
                <w:rFonts w:ascii="Cambria Math" w:hAnsi="Cambria Math"/>
                <w:i/>
              </w:rPr>
            </m:ctrlPr>
          </m:sSubPr>
          <m:e>
            <m:r>
              <w:rPr>
                <w:rFonts w:ascii="Cambria Math" w:hAnsi="Cambria Math"/>
              </w:rPr>
              <m:t>Z</m:t>
            </m:r>
          </m:e>
          <m:sub>
            <m:r>
              <w:rPr>
                <w:rFonts w:ascii="Cambria Math" w:hAnsi="Cambria Math"/>
              </w:rPr>
              <m:t>t</m:t>
            </m:r>
          </m:sub>
        </m:sSub>
      </m:oMath>
      <w:r w:rsidR="005325DA">
        <w:t>, se</w:t>
      </w:r>
    </w:p>
    <w:p w:rsidR="005325DA" w:rsidRDefault="005325DA" w:rsidP="005325DA">
      <w:pPr>
        <w:spacing w:line="360" w:lineRule="auto"/>
        <w:jc w:val="both"/>
      </w:pPr>
    </w:p>
    <w:p w:rsidR="0072626E" w:rsidRDefault="00B64833" w:rsidP="005325DA">
      <w:pPr>
        <w:spacing w:line="360" w:lineRule="auto"/>
        <w:jc w:val="both"/>
      </w:pPr>
      <m:oMath>
        <m:r>
          <w:rPr>
            <w:rFonts w:ascii="Cambria Math" w:hAnsi="Cambria Math"/>
          </w:rPr>
          <m:t xml:space="preserve">                E</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t+1</m:t>
                </m:r>
              </m:sub>
            </m:sSub>
          </m:e>
          <m:e>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t-1</m:t>
                </m:r>
              </m:sub>
            </m:sSub>
            <m:r>
              <w:rPr>
                <w:rFonts w:ascii="Cambria Math" w:hAnsi="Cambria Math"/>
              </w:rPr>
              <m:t>,…</m:t>
            </m:r>
          </m:e>
        </m:d>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t+1</m:t>
                </m:r>
              </m:sub>
            </m:sSub>
          </m:e>
          <m:e>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t-1</m:t>
                </m:r>
              </m:sub>
            </m:sSub>
            <m:r>
              <w:rPr>
                <w:rFonts w:ascii="Cambria Math" w:hAnsi="Cambria Math"/>
              </w:rPr>
              <m:t>,…</m:t>
            </m:r>
          </m:e>
        </m:d>
        <m:r>
          <w:rPr>
            <w:rFonts w:ascii="Cambria Math" w:hAnsi="Cambria Math"/>
          </w:rPr>
          <m:t xml:space="preserve">                                         (6)</m:t>
        </m:r>
      </m:oMath>
      <w:r>
        <w:t xml:space="preserve">                            </w:t>
      </w:r>
    </w:p>
    <w:p w:rsidR="0072626E" w:rsidRDefault="0072626E" w:rsidP="005325DA">
      <w:pPr>
        <w:spacing w:line="360" w:lineRule="auto"/>
        <w:jc w:val="both"/>
      </w:pPr>
    </w:p>
    <w:p w:rsidR="006C0BCF" w:rsidRDefault="006C0BCF" w:rsidP="006C0BCF">
      <w:pPr>
        <w:spacing w:line="360" w:lineRule="auto"/>
        <w:ind w:firstLine="708"/>
        <w:jc w:val="both"/>
      </w:pPr>
      <w:r>
        <w:t>Esta definição sugere uma extensão direta de ordem superior de momentos condicionais. N</w:t>
      </w:r>
      <w:r w:rsidR="00B64833">
        <w:t>ó</w:t>
      </w:r>
      <w:r>
        <w:t>s de</w:t>
      </w:r>
      <w:r w:rsidR="00B64833">
        <w:t>fi</w:t>
      </w:r>
      <w:r>
        <w:t xml:space="preserve">nimos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t xml:space="preserve"> ser causal para </w:t>
      </w:r>
      <m:oMath>
        <m:sSub>
          <m:sSubPr>
            <m:ctrlPr>
              <w:rPr>
                <w:rFonts w:ascii="Cambria Math" w:hAnsi="Cambria Math"/>
                <w:i/>
              </w:rPr>
            </m:ctrlPr>
          </m:sSubPr>
          <m:e>
            <m:r>
              <w:rPr>
                <w:rFonts w:ascii="Cambria Math" w:hAnsi="Cambria Math"/>
              </w:rPr>
              <m:t>Z</m:t>
            </m:r>
          </m:e>
          <m:sub>
            <m:r>
              <w:rPr>
                <w:rFonts w:ascii="Cambria Math" w:hAnsi="Cambria Math"/>
              </w:rPr>
              <m:t>t</m:t>
            </m:r>
          </m:sub>
        </m:sSub>
      </m:oMath>
      <w:r>
        <w:t xml:space="preserve"> no r-ésimo momento se</w:t>
      </w:r>
    </w:p>
    <w:p w:rsidR="00FE292A" w:rsidRDefault="00FE292A" w:rsidP="006C0BCF">
      <w:pPr>
        <w:spacing w:line="360" w:lineRule="auto"/>
        <w:ind w:firstLine="708"/>
        <w:jc w:val="both"/>
      </w:pPr>
    </w:p>
    <w:p w:rsidR="00FE292A" w:rsidRDefault="00FE292A" w:rsidP="00FE292A">
      <w:pPr>
        <w:spacing w:line="360" w:lineRule="auto"/>
        <w:jc w:val="both"/>
      </w:pPr>
      <m:oMath>
        <m:r>
          <w:rPr>
            <w:rFonts w:ascii="Cambria Math" w:hAnsi="Cambria Math"/>
          </w:rPr>
          <m:t xml:space="preserve">                E</m:t>
        </m:r>
        <m:d>
          <m:dPr>
            <m:ctrlPr>
              <w:rPr>
                <w:rFonts w:ascii="Cambria Math" w:hAnsi="Cambria Math"/>
                <w:i/>
              </w:rPr>
            </m:ctrlPr>
          </m:dPr>
          <m:e>
            <m:sSubSup>
              <m:sSubSupPr>
                <m:ctrlPr>
                  <w:rPr>
                    <w:rFonts w:ascii="Cambria Math" w:hAnsi="Cambria Math"/>
                    <w:i/>
                  </w:rPr>
                </m:ctrlPr>
              </m:sSubSupPr>
              <m:e>
                <m:r>
                  <w:rPr>
                    <w:rFonts w:ascii="Cambria Math" w:hAnsi="Cambria Math"/>
                  </w:rPr>
                  <m:t>z</m:t>
                </m:r>
              </m:e>
              <m:sub>
                <m:r>
                  <w:rPr>
                    <w:rFonts w:ascii="Cambria Math" w:hAnsi="Cambria Math"/>
                  </w:rPr>
                  <m:t>t+1</m:t>
                </m:r>
              </m:sub>
              <m:sup>
                <m:r>
                  <w:rPr>
                    <w:rFonts w:ascii="Cambria Math" w:hAnsi="Cambria Math"/>
                  </w:rPr>
                  <m:t>r</m:t>
                </m:r>
              </m:sup>
            </m:sSubSup>
          </m:e>
          <m:e>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t-1</m:t>
                </m:r>
              </m:sub>
            </m:sSub>
            <m:r>
              <w:rPr>
                <w:rFonts w:ascii="Cambria Math" w:hAnsi="Cambria Math"/>
              </w:rPr>
              <m:t>,…</m:t>
            </m:r>
          </m:e>
        </m:d>
        <m:r>
          <w:rPr>
            <w:rFonts w:ascii="Cambria Math" w:hAnsi="Cambria Math"/>
          </w:rPr>
          <m:t>≠E</m:t>
        </m:r>
        <m:d>
          <m:dPr>
            <m:ctrlPr>
              <w:rPr>
                <w:rFonts w:ascii="Cambria Math" w:hAnsi="Cambria Math"/>
                <w:i/>
              </w:rPr>
            </m:ctrlPr>
          </m:dPr>
          <m:e>
            <m:sSubSup>
              <m:sSubSupPr>
                <m:ctrlPr>
                  <w:rPr>
                    <w:rFonts w:ascii="Cambria Math" w:hAnsi="Cambria Math"/>
                    <w:i/>
                  </w:rPr>
                </m:ctrlPr>
              </m:sSubSupPr>
              <m:e>
                <m:r>
                  <w:rPr>
                    <w:rFonts w:ascii="Cambria Math" w:hAnsi="Cambria Math"/>
                  </w:rPr>
                  <m:t>z</m:t>
                </m:r>
              </m:e>
              <m:sub>
                <m:r>
                  <w:rPr>
                    <w:rFonts w:ascii="Cambria Math" w:hAnsi="Cambria Math"/>
                  </w:rPr>
                  <m:t>t+1</m:t>
                </m:r>
              </m:sub>
              <m:sup>
                <m:r>
                  <w:rPr>
                    <w:rFonts w:ascii="Cambria Math" w:hAnsi="Cambria Math"/>
                  </w:rPr>
                  <m:t>r</m:t>
                </m:r>
              </m:sup>
            </m:sSubSup>
          </m:e>
          <m:e>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t-1</m:t>
                </m:r>
              </m:sub>
            </m:sSub>
            <m:r>
              <w:rPr>
                <w:rFonts w:ascii="Cambria Math" w:hAnsi="Cambria Math"/>
              </w:rPr>
              <m:t>,…</m:t>
            </m:r>
          </m:e>
        </m:d>
        <m:r>
          <w:rPr>
            <w:rFonts w:ascii="Cambria Math" w:hAnsi="Cambria Math"/>
          </w:rPr>
          <m:t xml:space="preserve">                                         (7)</m:t>
        </m:r>
      </m:oMath>
      <w:r>
        <w:t xml:space="preserve">                            </w:t>
      </w:r>
    </w:p>
    <w:p w:rsidR="00B64833" w:rsidRDefault="00B64833" w:rsidP="005325DA">
      <w:pPr>
        <w:spacing w:line="360" w:lineRule="auto"/>
        <w:jc w:val="both"/>
      </w:pPr>
    </w:p>
    <w:p w:rsidR="005325DA" w:rsidRDefault="005325DA" w:rsidP="005325DA">
      <w:pPr>
        <w:autoSpaceDE w:val="0"/>
        <w:autoSpaceDN w:val="0"/>
        <w:adjustRightInd w:val="0"/>
        <w:spacing w:line="360" w:lineRule="auto"/>
        <w:ind w:firstLine="708"/>
        <w:jc w:val="both"/>
      </w:pPr>
      <w:r>
        <w:t>Assim, a primeira desigualdade de</w:t>
      </w:r>
      <w:r w:rsidR="00A46FF6">
        <w:t>fi</w:t>
      </w:r>
      <w:r>
        <w:t>ne a causalidade em m</w:t>
      </w:r>
      <w:r w:rsidR="004E38E9">
        <w:t>é</w:t>
      </w:r>
      <w:r>
        <w:t>dia e considerando os segundos momentos centrais a segunda desigualdade d</w:t>
      </w:r>
      <w:r w:rsidR="00A46FF6">
        <w:t>á</w:t>
      </w:r>
      <w:r>
        <w:t xml:space="preserve"> uma de</w:t>
      </w:r>
      <w:r w:rsidR="00A46FF6">
        <w:t>fi</w:t>
      </w:r>
      <w:r>
        <w:t>ni</w:t>
      </w:r>
      <w:r w:rsidR="00A46FF6">
        <w:t>ção</w:t>
      </w:r>
      <w:r>
        <w:t xml:space="preserve"> de causalidade na vari</w:t>
      </w:r>
      <w:r w:rsidR="00A46FF6">
        <w:t>â</w:t>
      </w:r>
      <w:r>
        <w:t xml:space="preserve">ncia que </w:t>
      </w:r>
      <w:r w:rsidR="00A46FF6">
        <w:t>é</w:t>
      </w:r>
      <w:r>
        <w:t xml:space="preserve"> an</w:t>
      </w:r>
      <w:r w:rsidR="00A46FF6">
        <w:t>á</w:t>
      </w:r>
      <w:r>
        <w:t xml:space="preserve">loga </w:t>
      </w:r>
      <w:r w:rsidR="00A46FF6">
        <w:t>à</w:t>
      </w:r>
      <w:r>
        <w:t xml:space="preserve"> de</w:t>
      </w:r>
      <w:r w:rsidR="00A46FF6">
        <w:t>finição</w:t>
      </w:r>
      <w:r>
        <w:t xml:space="preserve"> pr</w:t>
      </w:r>
      <w:r w:rsidR="00A46FF6">
        <w:t>é</w:t>
      </w:r>
      <w:r>
        <w:t>via de causalidade de Granger em m</w:t>
      </w:r>
      <w:r w:rsidR="00A46FF6">
        <w:t>é</w:t>
      </w:r>
      <w:r>
        <w:t xml:space="preserve">dia. Em outras palavras, se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t xml:space="preserve"> </w:t>
      </w:r>
      <w:r w:rsidR="00A46FF6">
        <w:t>é</w:t>
      </w:r>
      <w:r>
        <w:t xml:space="preserve"> causal na vari</w:t>
      </w:r>
      <w:r w:rsidR="00A46FF6">
        <w:t>â</w:t>
      </w:r>
      <w:r>
        <w:t xml:space="preserve">ncia para </w:t>
      </w:r>
      <m:oMath>
        <m:sSub>
          <m:sSubPr>
            <m:ctrlPr>
              <w:rPr>
                <w:rFonts w:ascii="Cambria Math" w:hAnsi="Cambria Math"/>
                <w:i/>
              </w:rPr>
            </m:ctrlPr>
          </m:sSubPr>
          <m:e>
            <m:r>
              <w:rPr>
                <w:rFonts w:ascii="Cambria Math" w:hAnsi="Cambria Math"/>
              </w:rPr>
              <m:t>Z</m:t>
            </m:r>
          </m:e>
          <m:sub>
            <m:r>
              <w:rPr>
                <w:rFonts w:ascii="Cambria Math" w:hAnsi="Cambria Math"/>
              </w:rPr>
              <m:t>t</m:t>
            </m:r>
          </m:sub>
        </m:sSub>
      </m:oMath>
      <w:r>
        <w:t>, a volatilidade condicional de Zt pode ser prevista de forma mais precisa, tendo em conta a informa</w:t>
      </w:r>
      <w:r w:rsidR="00A46FF6">
        <w:t>ção</w:t>
      </w:r>
      <w:r>
        <w:t xml:space="preserve"> presente e passada em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t xml:space="preserve"> </w:t>
      </w:r>
      <w:r w:rsidR="00FE292A">
        <w:t>do que sem considerar</w:t>
      </w:r>
      <w:r>
        <w:t xml:space="preserve"> esta informa</w:t>
      </w:r>
      <w:r w:rsidR="00A46FF6">
        <w:t>ção</w:t>
      </w:r>
      <w:r>
        <w:t>.</w:t>
      </w:r>
    </w:p>
    <w:p w:rsidR="005325DA" w:rsidRDefault="005325DA" w:rsidP="005325DA">
      <w:pPr>
        <w:autoSpaceDE w:val="0"/>
        <w:autoSpaceDN w:val="0"/>
        <w:adjustRightInd w:val="0"/>
        <w:spacing w:line="360" w:lineRule="auto"/>
        <w:ind w:firstLine="708"/>
        <w:jc w:val="both"/>
      </w:pPr>
      <w:r>
        <w:t>Um vetor de vari</w:t>
      </w:r>
      <w:r w:rsidR="00A46FF6">
        <w:t>á</w:t>
      </w:r>
      <w:r>
        <w:t>veis n</w:t>
      </w:r>
      <w:r w:rsidR="00A46FF6">
        <w:t xml:space="preserve">ão causa </w:t>
      </w:r>
      <w:r>
        <w:t>outro vetor de vari</w:t>
      </w:r>
      <w:r w:rsidR="00A46FF6">
        <w:t>á</w:t>
      </w:r>
      <w:r>
        <w:t xml:space="preserve">veis, conforme a causalidade de Granger de segunda ordem, se </w:t>
      </w:r>
      <w:r w:rsidR="00A46FF6">
        <w:t>as informações do passado sobre a variabilidade do primeiro não podem</w:t>
      </w:r>
      <w:r>
        <w:t xml:space="preserve"> melhorar a previs</w:t>
      </w:r>
      <w:r w:rsidR="00A46FF6">
        <w:t>ã</w:t>
      </w:r>
      <w:r>
        <w:t>o de vari</w:t>
      </w:r>
      <w:r w:rsidR="00A46FF6">
        <w:t>â</w:t>
      </w:r>
      <w:r>
        <w:t xml:space="preserve">ncias condicionais dos </w:t>
      </w:r>
      <w:r w:rsidR="00A46FF6">
        <w:t>últimos. A definição</w:t>
      </w:r>
      <w:r>
        <w:t xml:space="preserve"> da n</w:t>
      </w:r>
      <w:r w:rsidR="00A46FF6">
        <w:t>ã</w:t>
      </w:r>
      <w:r>
        <w:t>o causalidade de segunda ordem assume que as rela</w:t>
      </w:r>
      <w:r w:rsidR="00A46FF6">
        <w:t>ções</w:t>
      </w:r>
      <w:r>
        <w:t xml:space="preserve"> causais de Granger podem existir no processo de m</w:t>
      </w:r>
      <w:r w:rsidR="00A46FF6">
        <w:t>é</w:t>
      </w:r>
      <w:r>
        <w:t>dia condicional, no entanto, elas devem ser modeladas a partir de</w:t>
      </w:r>
      <w:r w:rsidR="006C0BCF">
        <w:t xml:space="preserve"> fi</w:t>
      </w:r>
      <w:r>
        <w:t>ltros. Caso contr</w:t>
      </w:r>
      <w:r w:rsidR="006C0BCF">
        <w:t>á</w:t>
      </w:r>
      <w:r>
        <w:t>rio, essas rela</w:t>
      </w:r>
      <w:r w:rsidR="006C0BCF">
        <w:t>ções</w:t>
      </w:r>
      <w:r>
        <w:t xml:space="preserve"> </w:t>
      </w:r>
      <w:r>
        <w:lastRenderedPageBreak/>
        <w:t>podem ter impacto sobre os par</w:t>
      </w:r>
      <w:r w:rsidR="006C0BCF">
        <w:t>â</w:t>
      </w:r>
      <w:r>
        <w:t>metros respons</w:t>
      </w:r>
      <w:r w:rsidR="006C0BCF">
        <w:t>á</w:t>
      </w:r>
      <w:r>
        <w:t>veis pelas rela</w:t>
      </w:r>
      <w:r w:rsidR="006C0BCF">
        <w:t>ções</w:t>
      </w:r>
      <w:r>
        <w:t xml:space="preserve"> causais em vari</w:t>
      </w:r>
      <w:r w:rsidR="006C0BCF">
        <w:t>â</w:t>
      </w:r>
      <w:r>
        <w:t>ncias condicionais.</w:t>
      </w:r>
    </w:p>
    <w:p w:rsidR="00607E2B" w:rsidRDefault="00607E2B" w:rsidP="005325DA">
      <w:pPr>
        <w:autoSpaceDE w:val="0"/>
        <w:autoSpaceDN w:val="0"/>
        <w:adjustRightInd w:val="0"/>
        <w:spacing w:line="360" w:lineRule="auto"/>
        <w:ind w:firstLine="708"/>
        <w:jc w:val="both"/>
      </w:pPr>
    </w:p>
    <w:p w:rsidR="00607E2B" w:rsidRPr="00607E2B" w:rsidRDefault="00607E2B" w:rsidP="00607E2B">
      <w:pPr>
        <w:pStyle w:val="PargrafodaLista"/>
        <w:numPr>
          <w:ilvl w:val="1"/>
          <w:numId w:val="42"/>
        </w:numPr>
        <w:autoSpaceDE w:val="0"/>
        <w:autoSpaceDN w:val="0"/>
        <w:adjustRightInd w:val="0"/>
        <w:rPr>
          <w:rFonts w:eastAsia="Calibri"/>
          <w:b/>
          <w:bCs/>
          <w:sz w:val="23"/>
          <w:szCs w:val="23"/>
        </w:rPr>
      </w:pPr>
      <w:r w:rsidRPr="00607E2B">
        <w:rPr>
          <w:rFonts w:eastAsia="Calibri"/>
          <w:b/>
          <w:bCs/>
          <w:sz w:val="23"/>
          <w:szCs w:val="23"/>
        </w:rPr>
        <w:t xml:space="preserve">Teste </w:t>
      </w:r>
      <w:r>
        <w:rPr>
          <w:rFonts w:eastAsia="Calibri"/>
          <w:b/>
          <w:bCs/>
          <w:sz w:val="23"/>
          <w:szCs w:val="23"/>
        </w:rPr>
        <w:t>HH</w:t>
      </w:r>
    </w:p>
    <w:p w:rsidR="00607E2B" w:rsidRDefault="00607E2B" w:rsidP="00607E2B">
      <w:pPr>
        <w:autoSpaceDE w:val="0"/>
        <w:autoSpaceDN w:val="0"/>
        <w:adjustRightInd w:val="0"/>
        <w:spacing w:line="360" w:lineRule="auto"/>
        <w:ind w:firstLine="708"/>
        <w:jc w:val="both"/>
      </w:pPr>
    </w:p>
    <w:p w:rsidR="00607E2B" w:rsidRDefault="00607E2B" w:rsidP="00607E2B">
      <w:pPr>
        <w:autoSpaceDE w:val="0"/>
        <w:autoSpaceDN w:val="0"/>
        <w:adjustRightInd w:val="0"/>
        <w:spacing w:line="360" w:lineRule="auto"/>
        <w:ind w:firstLine="708"/>
        <w:jc w:val="both"/>
      </w:pPr>
      <w:r>
        <w:t>Com base nos quadrados dos res</w:t>
      </w:r>
      <w:r w:rsidR="0011153D">
        <w:t>í</w:t>
      </w:r>
      <w:r>
        <w:t xml:space="preserve">duos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ξ</m:t>
                </m:r>
              </m:e>
            </m:acc>
          </m:e>
          <m:sub>
            <m:r>
              <w:rPr>
                <w:rFonts w:ascii="Cambria Math" w:hAnsi="Cambria Math"/>
              </w:rPr>
              <m:t>i,t</m:t>
            </m:r>
          </m:sub>
          <m:sup>
            <m:r>
              <w:rPr>
                <w:rFonts w:ascii="Cambria Math" w:hAnsi="Cambria Math"/>
              </w:rPr>
              <m:t>2</m:t>
            </m:r>
          </m:sup>
        </m:sSubSup>
        <m:r>
          <w:rPr>
            <w:rFonts w:ascii="Cambria Math" w:hAnsi="Cambria Math"/>
          </w:rPr>
          <m:t>=</m:t>
        </m:r>
        <m:f>
          <m:fPr>
            <m:type m:val="lin"/>
            <m:ctrlPr>
              <w:rPr>
                <w:rFonts w:ascii="Cambria Math" w:hAnsi="Cambria Math"/>
                <w:i/>
              </w:rPr>
            </m:ctrlPr>
          </m:fPr>
          <m:num>
            <m:sSubSup>
              <m:sSubSupPr>
                <m:ctrlPr>
                  <w:rPr>
                    <w:rFonts w:ascii="Cambria Math" w:hAnsi="Cambria Math"/>
                    <w:i/>
                  </w:rPr>
                </m:ctrlPr>
              </m:sSubSupPr>
              <m:e>
                <m:r>
                  <w:rPr>
                    <w:rFonts w:ascii="Cambria Math" w:hAnsi="Cambria Math"/>
                  </w:rPr>
                  <m:t>u</m:t>
                </m:r>
              </m:e>
              <m:sub>
                <m:r>
                  <w:rPr>
                    <w:rFonts w:ascii="Cambria Math" w:hAnsi="Cambria Math"/>
                  </w:rPr>
                  <m:t>i,t</m:t>
                </m:r>
              </m:sub>
              <m:sup>
                <m:r>
                  <w:rPr>
                    <w:rFonts w:ascii="Cambria Math" w:hAnsi="Cambria Math"/>
                  </w:rPr>
                  <m:t>2</m:t>
                </m:r>
              </m:sup>
            </m:sSubSup>
          </m:num>
          <m:den>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i,t</m:t>
                </m:r>
              </m:sub>
              <m:sup>
                <m:r>
                  <w:rPr>
                    <w:rFonts w:ascii="Cambria Math" w:hAnsi="Cambria Math"/>
                  </w:rPr>
                  <m:t>2</m:t>
                </m:r>
              </m:sup>
            </m:sSubSup>
          </m:den>
        </m:f>
        <m:r>
          <w:rPr>
            <w:rFonts w:ascii="Cambria Math" w:hAnsi="Cambria Math"/>
          </w:rPr>
          <m:t xml:space="preserve"> </m:t>
        </m:r>
      </m:oMath>
      <w:r>
        <w:t>onde</w:t>
      </w:r>
      <w:r w:rsidR="00551D21">
        <w:t xml:space="preserv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i,t</m:t>
            </m:r>
          </m:sub>
          <m:sup>
            <m:r>
              <w:rPr>
                <w:rFonts w:ascii="Cambria Math" w:hAnsi="Cambria Math"/>
              </w:rPr>
              <m:t>2</m:t>
            </m:r>
          </m:sup>
        </m:sSubSup>
      </m:oMath>
      <w:r>
        <w:t xml:space="preserve"> </w:t>
      </w:r>
      <w:r w:rsidR="00551D21">
        <w:t xml:space="preserve">é </w:t>
      </w:r>
      <w:r>
        <w:t>a vari</w:t>
      </w:r>
      <w:r w:rsidR="0011153D">
        <w:t>â</w:t>
      </w:r>
      <w:r>
        <w:t xml:space="preserve">ncia condicional estimada de </w:t>
      </w:r>
      <m:oMath>
        <m:sSubSup>
          <m:sSubSupPr>
            <m:ctrlPr>
              <w:rPr>
                <w:rFonts w:ascii="Cambria Math" w:hAnsi="Cambria Math"/>
                <w:i/>
              </w:rPr>
            </m:ctrlPr>
          </m:sSubSupPr>
          <m:e>
            <m:r>
              <w:rPr>
                <w:rFonts w:ascii="Cambria Math" w:hAnsi="Cambria Math"/>
              </w:rPr>
              <m:t>u</m:t>
            </m:r>
          </m:e>
          <m:sub>
            <m:r>
              <w:rPr>
                <w:rFonts w:ascii="Cambria Math" w:hAnsi="Cambria Math"/>
              </w:rPr>
              <m:t>i,t</m:t>
            </m:r>
          </m:sub>
          <m:sup>
            <m:r>
              <w:rPr>
                <w:rFonts w:ascii="Cambria Math" w:hAnsi="Cambria Math"/>
              </w:rPr>
              <m:t>2</m:t>
            </m:r>
          </m:sup>
        </m:sSubSup>
      </m:oMath>
      <w:r w:rsidR="00551D21">
        <w:t xml:space="preserve"> </w:t>
      </w:r>
      <w:r>
        <w:t>usando GARCH univariado, Cheung e Ng (1996) introduziram uma estat</w:t>
      </w:r>
      <w:r w:rsidR="0011153D">
        <w:t>í</w:t>
      </w:r>
      <w:r>
        <w:t>stica para testar a hip</w:t>
      </w:r>
      <w:r w:rsidR="0011153D">
        <w:t>ó</w:t>
      </w:r>
      <w:r>
        <w:t>tese nula de n</w:t>
      </w:r>
      <w:r w:rsidR="0011153D">
        <w:t>ã</w:t>
      </w:r>
      <w:r>
        <w:t>o causalidade na vari</w:t>
      </w:r>
      <w:r w:rsidR="0011153D">
        <w:t>â</w:t>
      </w:r>
      <w:r>
        <w:t>ncia. Na pr</w:t>
      </w:r>
      <w:r w:rsidR="0011153D">
        <w:t>á</w:t>
      </w:r>
      <w:r>
        <w:t xml:space="preserve">tica, a escolha de </w:t>
      </w:r>
      <m:oMath>
        <m:r>
          <w:rPr>
            <w:rFonts w:ascii="Cambria Math" w:hAnsi="Cambria Math"/>
          </w:rPr>
          <m:t>m</m:t>
        </m:r>
      </m:oMath>
      <w:r w:rsidR="00551D21">
        <w:t xml:space="preserve"> </w:t>
      </w:r>
      <w:r>
        <w:t>deve permitir cobrir o maior potencial de defasagem da casualidade na vari</w:t>
      </w:r>
      <w:r w:rsidR="0011153D">
        <w:t>â</w:t>
      </w:r>
      <w:r>
        <w:t>ncia. Cheung e Ng (1996) provaram que sob estimativa consistente de par</w:t>
      </w:r>
      <w:r w:rsidR="0011153D">
        <w:t>â</w:t>
      </w:r>
      <w:r>
        <w:t>metros GARCH univariadas</w:t>
      </w:r>
      <w:r w:rsidR="00551D21">
        <w:t xml:space="preserve"> </w:t>
      </w:r>
      <m:oMath>
        <m:sSub>
          <m:sSubPr>
            <m:ctrlPr>
              <w:rPr>
                <w:rFonts w:ascii="Cambria Math" w:hAnsi="Cambria Math"/>
                <w:i/>
              </w:rPr>
            </m:ctrlPr>
          </m:sSubPr>
          <m:e>
            <m:r>
              <w:rPr>
                <w:rFonts w:ascii="Cambria Math" w:hAnsi="Cambria Math"/>
              </w:rPr>
              <m:t>P</m:t>
            </m:r>
          </m:e>
          <m:sub>
            <m:r>
              <w:rPr>
                <w:rFonts w:ascii="Cambria Math" w:hAnsi="Cambria Math"/>
              </w:rPr>
              <m:t>m</m:t>
            </m:r>
          </m:sub>
        </m:sSub>
        <m:r>
          <w:rPr>
            <w:rStyle w:val="Refdenotaderodap"/>
            <w:rFonts w:ascii="Cambria Math" w:hAnsi="Cambria Math"/>
            <w:i/>
          </w:rPr>
          <w:footnoteReference w:id="4"/>
        </m:r>
      </m:oMath>
      <w:r>
        <w:t xml:space="preserve"> segue </w:t>
      </w:r>
      <w:r w:rsidR="00DF6EDB">
        <w:t>assintoticamente</w:t>
      </w:r>
      <w:r>
        <w:t xml:space="preserve"> a distribui</w:t>
      </w:r>
      <w:r w:rsidR="0011153D">
        <w:t>ção</w:t>
      </w:r>
      <w:r>
        <w:t xml:space="preserve"> </w:t>
      </w:r>
      <m:oMath>
        <m:sSubSup>
          <m:sSubSupPr>
            <m:ctrlPr>
              <w:rPr>
                <w:rFonts w:ascii="Cambria Math" w:hAnsi="Cambria Math"/>
                <w:i/>
              </w:rPr>
            </m:ctrlPr>
          </m:sSubSupPr>
          <m:e>
            <m:r>
              <w:rPr>
                <w:rFonts w:ascii="Cambria Math" w:hAnsi="Cambria Math"/>
              </w:rPr>
              <m:t>χ</m:t>
            </m:r>
          </m:e>
          <m:sub>
            <m:r>
              <w:rPr>
                <w:rFonts w:ascii="Cambria Math" w:hAnsi="Cambria Math"/>
              </w:rPr>
              <m:t>m</m:t>
            </m:r>
          </m:sub>
          <m:sup>
            <m:r>
              <w:rPr>
                <w:rFonts w:ascii="Cambria Math" w:hAnsi="Cambria Math"/>
              </w:rPr>
              <m:t>2</m:t>
            </m:r>
          </m:sup>
        </m:sSubSup>
      </m:oMath>
      <w:r>
        <w:t xml:space="preserve"> sob a hip</w:t>
      </w:r>
      <w:r w:rsidR="0011153D">
        <w:t>ó</w:t>
      </w:r>
      <w:r>
        <w:t>tese nula. Estat</w:t>
      </w:r>
      <w:r w:rsidR="0011153D">
        <w:t>í</w:t>
      </w:r>
      <w:r>
        <w:t>sticas an</w:t>
      </w:r>
      <w:r w:rsidR="0011153D">
        <w:t>á</w:t>
      </w:r>
      <w:r>
        <w:t>logas podem ser de</w:t>
      </w:r>
      <w:r w:rsidR="0011153D">
        <w:t>fi</w:t>
      </w:r>
      <w:r>
        <w:t>nidos para testar a hip</w:t>
      </w:r>
      <w:r w:rsidR="0011153D">
        <w:t>ó</w:t>
      </w:r>
      <w:r>
        <w:t xml:space="preserve">tese de causalidade </w:t>
      </w:r>
      <w:r w:rsidR="00DF6EDB">
        <w:t>bidirecional</w:t>
      </w:r>
      <w:r>
        <w:t>. Uma vers</w:t>
      </w:r>
      <w:r w:rsidR="0011153D">
        <w:t>ã</w:t>
      </w:r>
      <w:r>
        <w:t>o multivariada foi proposta por Hafner e Herwartz (2008), conforme apresentaremos a seguir.</w:t>
      </w:r>
    </w:p>
    <w:p w:rsidR="005325DA" w:rsidRDefault="00EC02EE" w:rsidP="005325DA">
      <w:pPr>
        <w:autoSpaceDE w:val="0"/>
        <w:autoSpaceDN w:val="0"/>
        <w:adjustRightInd w:val="0"/>
        <w:spacing w:line="360" w:lineRule="auto"/>
        <w:ind w:firstLine="708"/>
        <w:jc w:val="both"/>
      </w:pPr>
      <w:r>
        <w:t>A n</w:t>
      </w:r>
      <w:r w:rsidR="0011153D">
        <w:t>ã</w:t>
      </w:r>
      <w:r>
        <w:t>o causalidade em vari</w:t>
      </w:r>
      <w:r w:rsidR="0011153D">
        <w:t>â</w:t>
      </w:r>
      <w:r>
        <w:t>ncia est</w:t>
      </w:r>
      <w:r w:rsidR="0011153D">
        <w:t>á</w:t>
      </w:r>
      <w:r>
        <w:t xml:space="preserve"> associada a </w:t>
      </w:r>
      <w:r w:rsidR="00DF6EDB">
        <w:t>certo</w:t>
      </w:r>
      <w:r>
        <w:t xml:space="preserve"> conjunto de restri</w:t>
      </w:r>
      <w:r w:rsidR="0011153D">
        <w:t>ções</w:t>
      </w:r>
      <w:r>
        <w:t xml:space="preserve"> que zeram alguns valores das matrizes </w:t>
      </w:r>
      <m:oMath>
        <m:sSub>
          <m:sSubPr>
            <m:ctrlPr>
              <w:rPr>
                <w:rFonts w:ascii="Cambria Math" w:hAnsi="Cambria Math"/>
                <w:i/>
              </w:rPr>
            </m:ctrlPr>
          </m:sSubPr>
          <m:e>
            <m:r>
              <w:rPr>
                <w:rFonts w:ascii="Cambria Math" w:hAnsi="Cambria Math"/>
              </w:rPr>
              <m:t>A</m:t>
            </m:r>
          </m:e>
          <m:sub>
            <m:r>
              <w:rPr>
                <w:rFonts w:ascii="Cambria Math" w:hAnsi="Cambria Math"/>
              </w:rPr>
              <m:t>j</m:t>
            </m:r>
          </m:sub>
        </m:sSub>
      </m:oMath>
      <w:r w:rsidR="00A3353D">
        <w:t xml:space="preserve"> </w:t>
      </w:r>
      <w:r>
        <w:t xml:space="preserve">e </w:t>
      </w:r>
      <m:oMath>
        <m:sSub>
          <m:sSubPr>
            <m:ctrlPr>
              <w:rPr>
                <w:rFonts w:ascii="Cambria Math" w:hAnsi="Cambria Math"/>
                <w:i/>
              </w:rPr>
            </m:ctrlPr>
          </m:sSubPr>
          <m:e>
            <m:r>
              <w:rPr>
                <w:rFonts w:ascii="Cambria Math" w:hAnsi="Cambria Math"/>
              </w:rPr>
              <m:t>B</m:t>
            </m:r>
          </m:e>
          <m:sub>
            <m:r>
              <w:rPr>
                <w:rFonts w:ascii="Cambria Math" w:hAnsi="Cambria Math"/>
              </w:rPr>
              <m:t>j</m:t>
            </m:r>
          </m:sub>
        </m:sSub>
      </m:oMath>
      <w:r w:rsidR="00A3353D">
        <w:t xml:space="preserve"> </w:t>
      </w:r>
      <w:r>
        <w:t>em</w:t>
      </w:r>
      <w:r w:rsidR="00C92DCB">
        <w:t xml:space="preserve"> (1). </w:t>
      </w:r>
      <w:r w:rsidRPr="00EC02EE">
        <w:t>Para encontrar essas restri</w:t>
      </w:r>
      <w:r w:rsidR="0011153D">
        <w:t>ções</w:t>
      </w:r>
      <w:r w:rsidRPr="00EC02EE">
        <w:t>, primeiramente de</w:t>
      </w:r>
      <w:r w:rsidR="00C92DCB">
        <w:t>fi</w:t>
      </w:r>
      <w:r w:rsidRPr="00EC02EE">
        <w:t xml:space="preserve">nimos o </w:t>
      </w:r>
      <w:r w:rsidR="0011153D">
        <w:t>í</w:t>
      </w:r>
      <w:r w:rsidRPr="00EC02EE">
        <w:t>ndice</w:t>
      </w:r>
    </w:p>
    <w:p w:rsidR="00BF056F" w:rsidRDefault="000E6CF9" w:rsidP="005325DA">
      <w:pPr>
        <w:autoSpaceDE w:val="0"/>
        <w:autoSpaceDN w:val="0"/>
        <w:adjustRightInd w:val="0"/>
        <w:spacing w:line="360" w:lineRule="auto"/>
        <w:ind w:firstLine="708"/>
        <w:jc w:val="both"/>
      </w:pPr>
      <m:oMath>
        <m:sSubSup>
          <m:sSubSupPr>
            <m:ctrlPr>
              <w:rPr>
                <w:rFonts w:ascii="Cambria Math" w:hAnsi="Cambria Math"/>
                <w:i/>
              </w:rPr>
            </m:ctrlPr>
          </m:sSubSupPr>
          <m:e>
            <m:r>
              <w:rPr>
                <w:rFonts w:ascii="Cambria Math" w:hAnsi="Cambria Math"/>
              </w:rPr>
              <m:t xml:space="preserve">                                             k</m:t>
            </m:r>
          </m:e>
          <m:sub>
            <m:r>
              <w:rPr>
                <w:rFonts w:ascii="Cambria Math" w:hAnsi="Cambria Math"/>
              </w:rPr>
              <m:t>ij</m:t>
            </m:r>
          </m:sub>
          <m:sup>
            <m:r>
              <w:rPr>
                <w:rFonts w:ascii="Cambria Math" w:hAnsi="Cambria Math"/>
              </w:rPr>
              <m:t>K</m:t>
            </m:r>
          </m:sup>
        </m:sSubSup>
        <m:r>
          <w:rPr>
            <w:rFonts w:ascii="Cambria Math" w:hAnsi="Cambria Math"/>
          </w:rPr>
          <m:t>=i+</m:t>
        </m:r>
        <m:d>
          <m:dPr>
            <m:ctrlPr>
              <w:rPr>
                <w:rFonts w:ascii="Cambria Math" w:hAnsi="Cambria Math"/>
                <w:i/>
              </w:rPr>
            </m:ctrlPr>
          </m:dPr>
          <m:e>
            <m:r>
              <w:rPr>
                <w:rFonts w:ascii="Cambria Math" w:hAnsi="Cambria Math"/>
              </w:rPr>
              <m:t>j-1</m:t>
            </m:r>
          </m:e>
        </m:d>
        <m:d>
          <m:dPr>
            <m:ctrlPr>
              <w:rPr>
                <w:rFonts w:ascii="Cambria Math" w:hAnsi="Cambria Math"/>
                <w:i/>
              </w:rPr>
            </m:ctrlPr>
          </m:dPr>
          <m:e>
            <m:r>
              <w:rPr>
                <w:rFonts w:ascii="Cambria Math" w:hAnsi="Cambria Math"/>
              </w:rPr>
              <m:t>K-</m:t>
            </m:r>
            <m:f>
              <m:fPr>
                <m:ctrlPr>
                  <w:rPr>
                    <w:rFonts w:ascii="Cambria Math" w:hAnsi="Cambria Math"/>
                    <w:i/>
                  </w:rPr>
                </m:ctrlPr>
              </m:fPr>
              <m:num>
                <m:r>
                  <w:rPr>
                    <w:rFonts w:ascii="Cambria Math" w:hAnsi="Cambria Math"/>
                  </w:rPr>
                  <m:t>j</m:t>
                </m:r>
              </m:num>
              <m:den>
                <m:r>
                  <w:rPr>
                    <w:rFonts w:ascii="Cambria Math" w:hAnsi="Cambria Math"/>
                  </w:rPr>
                  <m:t>2</m:t>
                </m:r>
              </m:den>
            </m:f>
          </m:e>
        </m:d>
      </m:oMath>
      <w:r w:rsidR="00A87B50">
        <w:t xml:space="preserve">                                               (8)</w:t>
      </w:r>
    </w:p>
    <w:p w:rsidR="00EC02EE" w:rsidRDefault="00EC02EE" w:rsidP="00EC02EE">
      <w:pPr>
        <w:autoSpaceDE w:val="0"/>
        <w:autoSpaceDN w:val="0"/>
        <w:adjustRightInd w:val="0"/>
        <w:spacing w:line="360" w:lineRule="auto"/>
        <w:ind w:firstLine="708"/>
        <w:jc w:val="both"/>
      </w:pPr>
      <w:r>
        <w:t xml:space="preserve">para </w:t>
      </w:r>
      <m:oMath>
        <m:r>
          <w:rPr>
            <w:rFonts w:ascii="Cambria Math" w:hAnsi="Cambria Math"/>
          </w:rPr>
          <m:t>i,j∈τ⋃υ</m:t>
        </m:r>
      </m:oMath>
      <w:r w:rsidR="0015424B">
        <w:t xml:space="preserve"> </w:t>
      </w:r>
      <w:r>
        <w:t xml:space="preserve">e </w:t>
      </w:r>
      <m:oMath>
        <m:r>
          <w:rPr>
            <w:rFonts w:ascii="Cambria Math" w:hAnsi="Cambria Math"/>
          </w:rPr>
          <m:t>i≥j</m:t>
        </m:r>
      </m:oMath>
      <w:r w:rsidR="0015424B">
        <w:t xml:space="preserve"> </w:t>
      </w:r>
      <w:r>
        <w:t xml:space="preserve">que e a </w:t>
      </w:r>
      <w:r w:rsidR="00DF6EDB">
        <w:t>posição</w:t>
      </w:r>
      <w:r>
        <w:t xml:space="preserve"> do </w:t>
      </w:r>
      <m:oMath>
        <m:d>
          <m:dPr>
            <m:ctrlPr>
              <w:rPr>
                <w:rFonts w:ascii="Cambria Math" w:hAnsi="Cambria Math"/>
                <w:i/>
              </w:rPr>
            </m:ctrlPr>
          </m:dPr>
          <m:e>
            <m:r>
              <w:rPr>
                <w:rFonts w:ascii="Cambria Math" w:hAnsi="Cambria Math"/>
              </w:rPr>
              <m:t>i,j</m:t>
            </m:r>
          </m:e>
        </m:d>
        <m:r>
          <w:rPr>
            <w:rFonts w:ascii="Cambria Math" w:hAnsi="Cambria Math"/>
          </w:rPr>
          <m:t>-ésimo</m:t>
        </m:r>
      </m:oMath>
      <w:r w:rsidR="0015424B">
        <w:t xml:space="preserve"> elemento da matriz </w:t>
      </w:r>
      <m:oMath>
        <m:r>
          <w:rPr>
            <w:rFonts w:ascii="Cambria Math" w:hAnsi="Cambria Math"/>
          </w:rPr>
          <m:t>M</m:t>
        </m:r>
      </m:oMath>
      <w:r w:rsidR="0015424B">
        <w:t xml:space="preserve"> </w:t>
      </w:r>
      <w:r>
        <w:t>sim</w:t>
      </w:r>
      <w:r w:rsidR="0011153D">
        <w:t>é</w:t>
      </w:r>
      <w:r>
        <w:t>trica (</w:t>
      </w:r>
      <m:oMath>
        <m:r>
          <w:rPr>
            <w:rFonts w:ascii="Cambria Math" w:hAnsi="Cambria Math"/>
            <w:color w:val="000000"/>
          </w:rPr>
          <m:t>K×K</m:t>
        </m:r>
      </m:oMath>
      <w:r>
        <w:t>) no vetor</w:t>
      </w:r>
      <w:r w:rsidR="0015424B">
        <w:t xml:space="preserve"> </w:t>
      </w:r>
      <m:oMath>
        <m:r>
          <w:rPr>
            <w:rFonts w:ascii="Cambria Math" w:hAnsi="Cambria Math"/>
          </w:rPr>
          <m:t>vech(M)</m:t>
        </m:r>
      </m:oMath>
      <w:r w:rsidR="0015424B">
        <w:t>.</w:t>
      </w:r>
      <w:r>
        <w:t xml:space="preserve"> Lembrando que </w:t>
      </w:r>
      <m:oMath>
        <m:r>
          <w:rPr>
            <w:rFonts w:ascii="Cambria Math" w:hAnsi="Cambria Math"/>
          </w:rPr>
          <m:t>vech(M)</m:t>
        </m:r>
      </m:oMath>
      <w:r>
        <w:t xml:space="preserve"> contem </w:t>
      </w:r>
      <m:oMath>
        <m:sSup>
          <m:sSupPr>
            <m:ctrlPr>
              <w:rPr>
                <w:rFonts w:ascii="Cambria Math" w:hAnsi="Cambria Math"/>
                <w:i/>
              </w:rPr>
            </m:ctrlPr>
          </m:sSupPr>
          <m:e>
            <m:r>
              <w:rPr>
                <w:rFonts w:ascii="Cambria Math" w:hAnsi="Cambria Math"/>
              </w:rPr>
              <m:t>K</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K(K+1)</m:t>
            </m:r>
          </m:num>
          <m:den>
            <m:r>
              <w:rPr>
                <w:rFonts w:ascii="Cambria Math" w:hAnsi="Cambria Math"/>
              </w:rPr>
              <m:t>2</m:t>
            </m:r>
          </m:den>
        </m:f>
      </m:oMath>
      <w:r w:rsidR="0015424B">
        <w:t xml:space="preserve"> </w:t>
      </w:r>
      <w:r>
        <w:t>elementos</w:t>
      </w:r>
      <w:r w:rsidR="0015424B">
        <w:t xml:space="preserve"> distintos</w:t>
      </w:r>
      <w:r>
        <w:t>. Al</w:t>
      </w:r>
      <w:r w:rsidR="0011153D">
        <w:t>é</w:t>
      </w:r>
      <w:r>
        <w:t>m disso, de</w:t>
      </w:r>
      <w:r w:rsidR="0011153D">
        <w:t>fi</w:t>
      </w:r>
      <w:r>
        <w:t xml:space="preserve">nimos os conjuntos de </w:t>
      </w:r>
      <w:r w:rsidR="0011153D">
        <w:t>í</w:t>
      </w:r>
      <w:r>
        <w:t>ndices</w:t>
      </w:r>
    </w:p>
    <w:p w:rsidR="0062104C" w:rsidRDefault="000E6CF9" w:rsidP="00EC02EE">
      <w:pPr>
        <w:autoSpaceDE w:val="0"/>
        <w:autoSpaceDN w:val="0"/>
        <w:adjustRightInd w:val="0"/>
        <w:spacing w:line="360" w:lineRule="auto"/>
        <w:ind w:firstLine="708"/>
        <w:jc w:val="both"/>
      </w:pPr>
      <m:oMathPara>
        <m:oMath>
          <m:sSup>
            <m:sSupPr>
              <m:ctrlPr>
                <w:rPr>
                  <w:rFonts w:ascii="Cambria Math" w:hAnsi="Cambria Math"/>
                  <w:i/>
                </w:rPr>
              </m:ctrlPr>
            </m:sSupPr>
            <m:e>
              <m:r>
                <w:rPr>
                  <w:rFonts w:ascii="Cambria Math" w:hAnsi="Cambria Math"/>
                </w:rPr>
                <m:t xml:space="preserve">                                         τ</m:t>
              </m:r>
            </m:e>
            <m:sup>
              <m:r>
                <w:rPr>
                  <w:rFonts w:ascii="Cambria Math" w:hAnsi="Cambria Math"/>
                </w:rPr>
                <m:t>*</m:t>
              </m:r>
            </m:sup>
          </m:sSup>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 xml:space="preserve"> k</m:t>
                  </m:r>
                </m:e>
                <m:sub>
                  <m:r>
                    <w:rPr>
                      <w:rFonts w:ascii="Cambria Math" w:hAnsi="Cambria Math"/>
                    </w:rPr>
                    <m:t>ij</m:t>
                  </m:r>
                </m:sub>
                <m:sup>
                  <m:r>
                    <w:rPr>
                      <w:rFonts w:ascii="Cambria Math" w:hAnsi="Cambria Math"/>
                    </w:rPr>
                    <m:t>K</m:t>
                  </m:r>
                </m:sup>
              </m:sSubSup>
            </m:e>
            <m:e>
              <m:r>
                <w:rPr>
                  <w:rFonts w:ascii="Cambria Math" w:hAnsi="Cambria Math"/>
                </w:rPr>
                <m:t>i.j∈τ</m:t>
              </m:r>
            </m:e>
          </m:d>
          <m:r>
            <w:rPr>
              <w:rFonts w:ascii="Cambria Math" w:hAnsi="Cambria Math"/>
            </w:rPr>
            <m:t xml:space="preserve">                                                               (9)</m:t>
          </m:r>
        </m:oMath>
      </m:oMathPara>
    </w:p>
    <w:p w:rsidR="00EC02EE" w:rsidRDefault="00A87B50" w:rsidP="00EC02EE">
      <w:pPr>
        <w:autoSpaceDE w:val="0"/>
        <w:autoSpaceDN w:val="0"/>
        <w:adjustRightInd w:val="0"/>
        <w:spacing w:line="360" w:lineRule="auto"/>
        <w:ind w:firstLine="708"/>
        <w:jc w:val="both"/>
      </w:pPr>
      <w:proofErr w:type="gramStart"/>
      <w:r>
        <w:t>e</w:t>
      </w:r>
      <w:proofErr w:type="gramEnd"/>
    </w:p>
    <w:p w:rsidR="00A87B50" w:rsidRDefault="000E6CF9" w:rsidP="00EC02EE">
      <w:pPr>
        <w:autoSpaceDE w:val="0"/>
        <w:autoSpaceDN w:val="0"/>
        <w:adjustRightInd w:val="0"/>
        <w:spacing w:line="360" w:lineRule="auto"/>
        <w:ind w:firstLine="708"/>
        <w:jc w:val="both"/>
      </w:pPr>
      <m:oMathPara>
        <m:oMath>
          <m:sSup>
            <m:sSupPr>
              <m:ctrlPr>
                <w:rPr>
                  <w:rFonts w:ascii="Cambria Math" w:hAnsi="Cambria Math"/>
                  <w:i/>
                </w:rPr>
              </m:ctrlPr>
            </m:sSupPr>
            <m:e>
              <m:r>
                <w:rPr>
                  <w:rFonts w:ascii="Cambria Math" w:hAnsi="Cambria Math"/>
                </w:rPr>
                <m:t xml:space="preserve">                                         υ</m:t>
              </m:r>
            </m:e>
            <m:sup>
              <m:r>
                <w:rPr>
                  <w:rFonts w:ascii="Cambria Math" w:hAnsi="Cambria Math"/>
                </w:rPr>
                <m:t>*</m:t>
              </m:r>
            </m:sup>
          </m:sSup>
          <m:r>
            <w:rPr>
              <w:rFonts w:ascii="Cambria Math" w:hAnsi="Cambria Math"/>
            </w:rPr>
            <m:t>=</m:t>
          </m:r>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K</m:t>
                  </m:r>
                </m:e>
                <m:sup>
                  <m:r>
                    <w:rPr>
                      <w:rFonts w:ascii="Cambria Math" w:hAnsi="Cambria Math"/>
                    </w:rPr>
                    <m:t>*</m:t>
                  </m:r>
                </m:sup>
              </m:sSup>
            </m:e>
          </m:d>
          <m:r>
            <w:rPr>
              <w:rFonts w:ascii="Cambria Math" w:hAnsi="Cambria Math"/>
            </w:rPr>
            <m:t>|</m:t>
          </m:r>
          <m:sSup>
            <m:sSupPr>
              <m:ctrlPr>
                <w:rPr>
                  <w:rFonts w:ascii="Cambria Math" w:hAnsi="Cambria Math"/>
                  <w:i/>
                </w:rPr>
              </m:ctrlPr>
            </m:sSupPr>
            <m:e>
              <m:r>
                <w:rPr>
                  <w:rFonts w:ascii="Cambria Math" w:hAnsi="Cambria Math"/>
                </w:rPr>
                <m:t>τ</m:t>
              </m:r>
            </m:e>
            <m:sup>
              <m:r>
                <w:rPr>
                  <w:rFonts w:ascii="Cambria Math" w:hAnsi="Cambria Math"/>
                </w:rPr>
                <m:t>*</m:t>
              </m:r>
            </m:sup>
          </m:sSup>
          <m:r>
            <w:rPr>
              <w:rFonts w:ascii="Cambria Math" w:hAnsi="Cambria Math"/>
            </w:rPr>
            <m:t xml:space="preserve">                                                               </m:t>
          </m:r>
          <m:d>
            <m:dPr>
              <m:ctrlPr>
                <w:rPr>
                  <w:rFonts w:ascii="Cambria Math" w:hAnsi="Cambria Math"/>
                  <w:i/>
                </w:rPr>
              </m:ctrlPr>
            </m:dPr>
            <m:e>
              <m:r>
                <w:rPr>
                  <w:rFonts w:ascii="Cambria Math" w:hAnsi="Cambria Math"/>
                </w:rPr>
                <m:t>10</m:t>
              </m:r>
            </m:e>
          </m:d>
        </m:oMath>
      </m:oMathPara>
    </w:p>
    <w:p w:rsidR="00EC02EE" w:rsidRDefault="00EC02EE" w:rsidP="00EC02EE">
      <w:pPr>
        <w:autoSpaceDE w:val="0"/>
        <w:autoSpaceDN w:val="0"/>
        <w:adjustRightInd w:val="0"/>
        <w:spacing w:line="360" w:lineRule="auto"/>
        <w:ind w:firstLine="708"/>
        <w:jc w:val="both"/>
      </w:pPr>
      <w:r>
        <w:t>A partir dessas nota</w:t>
      </w:r>
      <w:r w:rsidR="0011153D">
        <w:t>ções</w:t>
      </w:r>
      <w:r>
        <w:t>, podemos agora de</w:t>
      </w:r>
      <w:r w:rsidR="0011153D">
        <w:t>fi</w:t>
      </w:r>
      <w:r>
        <w:t>nir as condi</w:t>
      </w:r>
      <w:r w:rsidR="0011153D">
        <w:t>ções</w:t>
      </w:r>
      <w:r>
        <w:t xml:space="preserve"> para a n</w:t>
      </w:r>
      <w:r w:rsidR="0011153D">
        <w:t>ã</w:t>
      </w:r>
      <w:r>
        <w:t>o causalidade na vari</w:t>
      </w:r>
      <w:r w:rsidR="0011153D">
        <w:t>â</w:t>
      </w:r>
      <w:r>
        <w:t>ncia. Consideremos as condi</w:t>
      </w:r>
      <w:r w:rsidR="0011153D">
        <w:t>ções</w:t>
      </w:r>
      <w:r>
        <w:t xml:space="preserve"> a seguir</w:t>
      </w:r>
    </w:p>
    <w:p w:rsidR="00A87B50" w:rsidRDefault="000E6CF9" w:rsidP="00EC02EE">
      <w:pPr>
        <w:autoSpaceDE w:val="0"/>
        <w:autoSpaceDN w:val="0"/>
        <w:adjustRightInd w:val="0"/>
        <w:spacing w:line="360" w:lineRule="auto"/>
        <w:ind w:firstLine="708"/>
        <w:jc w:val="both"/>
      </w:pPr>
      <m:oMathPara>
        <m:oMath>
          <m:sSub>
            <m:sSubPr>
              <m:ctrlPr>
                <w:rPr>
                  <w:rFonts w:ascii="Cambria Math" w:hAnsi="Cambria Math"/>
                  <w:i/>
                </w:rPr>
              </m:ctrlPr>
            </m:sSubPr>
            <m:e>
              <m:r>
                <w:rPr>
                  <w:rFonts w:ascii="Cambria Math" w:hAnsi="Cambria Math"/>
                </w:rPr>
                <m:t xml:space="preserve">                        [</m:t>
              </m:r>
              <m:sSub>
                <m:sSubPr>
                  <m:ctrlPr>
                    <w:rPr>
                      <w:rFonts w:ascii="Cambria Math" w:hAnsi="Cambria Math"/>
                      <w:i/>
                    </w:rPr>
                  </m:ctrlPr>
                </m:sSubPr>
                <m:e>
                  <m:r>
                    <w:rPr>
                      <w:rFonts w:ascii="Cambria Math" w:hAnsi="Cambria Math"/>
                    </w:rPr>
                    <m:t>ϕ</m:t>
                  </m:r>
                </m:e>
                <m:sub>
                  <m:r>
                    <w:rPr>
                      <w:rFonts w:ascii="Cambria Math" w:hAnsi="Cambria Math"/>
                    </w:rPr>
                    <m:t>n</m:t>
                  </m:r>
                </m:sub>
              </m:sSub>
              <m:r>
                <w:rPr>
                  <w:rFonts w:ascii="Cambria Math" w:hAnsi="Cambria Math"/>
                </w:rPr>
                <m:t>]</m:t>
              </m:r>
            </m:e>
            <m:sub>
              <m:r>
                <w:rPr>
                  <w:rFonts w:ascii="Cambria Math" w:hAnsi="Cambria Math"/>
                </w:rPr>
                <m:t>ij</m:t>
              </m:r>
            </m:sub>
          </m:sSub>
          <m:r>
            <w:rPr>
              <w:rFonts w:ascii="Cambria Math" w:hAnsi="Cambria Math"/>
            </w:rPr>
            <m:t>=0,    ∀n≥1,   ∀i∈</m:t>
          </m:r>
          <m:sSup>
            <m:sSupPr>
              <m:ctrlPr>
                <w:rPr>
                  <w:rFonts w:ascii="Cambria Math" w:hAnsi="Cambria Math"/>
                  <w:i/>
                </w:rPr>
              </m:ctrlPr>
            </m:sSupPr>
            <m:e>
              <m:r>
                <w:rPr>
                  <w:rFonts w:ascii="Cambria Math" w:hAnsi="Cambria Math"/>
                </w:rPr>
                <m:t>τ</m:t>
              </m:r>
            </m:e>
            <m:sup>
              <m:r>
                <w:rPr>
                  <w:rFonts w:ascii="Cambria Math" w:hAnsi="Cambria Math"/>
                </w:rPr>
                <m:t>*</m:t>
              </m:r>
            </m:sup>
          </m:sSup>
          <m:r>
            <w:rPr>
              <w:rFonts w:ascii="Cambria Math" w:hAnsi="Cambria Math"/>
            </w:rPr>
            <m:t>, ∀j∈</m:t>
          </m:r>
          <m:sSup>
            <m:sSupPr>
              <m:ctrlPr>
                <w:rPr>
                  <w:rFonts w:ascii="Cambria Math" w:hAnsi="Cambria Math"/>
                  <w:i/>
                </w:rPr>
              </m:ctrlPr>
            </m:sSupPr>
            <m:e>
              <m:r>
                <w:rPr>
                  <w:rFonts w:ascii="Cambria Math" w:hAnsi="Cambria Math"/>
                </w:rPr>
                <m:t>υ</m:t>
              </m:r>
            </m:e>
            <m:sup>
              <m:r>
                <w:rPr>
                  <w:rFonts w:ascii="Cambria Math" w:hAnsi="Cambria Math"/>
                </w:rPr>
                <m:t>*</m:t>
              </m:r>
            </m:sup>
          </m:sSup>
          <m:r>
            <w:rPr>
              <w:rFonts w:ascii="Cambria Math" w:hAnsi="Cambria Math"/>
            </w:rPr>
            <m:t xml:space="preserve">                                         (11) </m:t>
          </m:r>
        </m:oMath>
      </m:oMathPara>
    </w:p>
    <w:p w:rsidR="00EC02EE" w:rsidRDefault="00655059" w:rsidP="00EC02EE">
      <w:pPr>
        <w:autoSpaceDE w:val="0"/>
        <w:autoSpaceDN w:val="0"/>
        <w:adjustRightInd w:val="0"/>
        <w:spacing w:line="360" w:lineRule="auto"/>
        <w:ind w:firstLine="708"/>
        <w:jc w:val="both"/>
      </w:pPr>
      <w:proofErr w:type="gramStart"/>
      <w:r>
        <w:t>ou</w:t>
      </w:r>
      <w:proofErr w:type="gramEnd"/>
      <w:r>
        <w:t xml:space="preserve"> seja</w:t>
      </w:r>
    </w:p>
    <w:p w:rsidR="00773839" w:rsidRDefault="000E6CF9" w:rsidP="00773839">
      <w:pPr>
        <w:autoSpaceDE w:val="0"/>
        <w:autoSpaceDN w:val="0"/>
        <w:adjustRightInd w:val="0"/>
        <w:spacing w:line="360" w:lineRule="auto"/>
        <w:ind w:firstLine="708"/>
        <w:jc w:val="both"/>
      </w:pPr>
      <m:oMathPara>
        <m:oMath>
          <m:sSub>
            <m:sSubPr>
              <m:ctrlPr>
                <w:rPr>
                  <w:rFonts w:ascii="Cambria Math" w:hAnsi="Cambria Math"/>
                  <w:i/>
                </w:rPr>
              </m:ctrlPr>
            </m:sSubPr>
            <m:e>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a</m:t>
                  </m:r>
                </m:sub>
              </m:sSub>
              <m:r>
                <w:rPr>
                  <w:rFonts w:ascii="Cambria Math" w:hAnsi="Cambria Math"/>
                </w:rPr>
                <m:t>]</m:t>
              </m:r>
            </m:e>
            <m:sub>
              <m:r>
                <w:rPr>
                  <w:rFonts w:ascii="Cambria Math" w:hAnsi="Cambria Math"/>
                </w:rPr>
                <m:t>ij</m:t>
              </m:r>
            </m:sub>
          </m:sSub>
          <m:r>
            <w:rPr>
              <w:rFonts w:ascii="Cambria Math" w:hAnsi="Cambria Math"/>
            </w:rPr>
            <m:t xml:space="preserve">=0, a=1,…,q, </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e>
            <m:sub>
              <m:r>
                <w:rPr>
                  <w:rFonts w:ascii="Cambria Math" w:hAnsi="Cambria Math"/>
                </w:rPr>
                <m:t>ij</m:t>
              </m:r>
            </m:sub>
          </m:sSub>
          <m:r>
            <w:rPr>
              <w:rFonts w:ascii="Cambria Math" w:hAnsi="Cambria Math"/>
            </w:rPr>
            <m:t>=0, b=1,…,p, ∀i∈</m:t>
          </m:r>
          <m:sSup>
            <m:sSupPr>
              <m:ctrlPr>
                <w:rPr>
                  <w:rFonts w:ascii="Cambria Math" w:hAnsi="Cambria Math"/>
                  <w:i/>
                </w:rPr>
              </m:ctrlPr>
            </m:sSupPr>
            <m:e>
              <m:r>
                <w:rPr>
                  <w:rFonts w:ascii="Cambria Math" w:hAnsi="Cambria Math"/>
                </w:rPr>
                <m:t>τ</m:t>
              </m:r>
            </m:e>
            <m:sup>
              <m:r>
                <w:rPr>
                  <w:rFonts w:ascii="Cambria Math" w:hAnsi="Cambria Math"/>
                </w:rPr>
                <m:t>*</m:t>
              </m:r>
            </m:sup>
          </m:sSup>
          <m:r>
            <w:rPr>
              <w:rFonts w:ascii="Cambria Math" w:hAnsi="Cambria Math"/>
            </w:rPr>
            <m:t>, ∀j∈</m:t>
          </m:r>
          <m:sSup>
            <m:sSupPr>
              <m:ctrlPr>
                <w:rPr>
                  <w:rFonts w:ascii="Cambria Math" w:hAnsi="Cambria Math"/>
                  <w:i/>
                </w:rPr>
              </m:ctrlPr>
            </m:sSupPr>
            <m:e>
              <m:r>
                <w:rPr>
                  <w:rFonts w:ascii="Cambria Math" w:hAnsi="Cambria Math"/>
                </w:rPr>
                <m:t>υ</m:t>
              </m:r>
            </m:e>
            <m:sup>
              <m:r>
                <w:rPr>
                  <w:rFonts w:ascii="Cambria Math" w:hAnsi="Cambria Math"/>
                </w:rPr>
                <m:t>*</m:t>
              </m:r>
            </m:sup>
          </m:sSup>
          <m:r>
            <w:rPr>
              <w:rFonts w:ascii="Cambria Math" w:hAnsi="Cambria Math"/>
            </w:rPr>
            <m:t xml:space="preserve">                (12) </m:t>
          </m:r>
        </m:oMath>
      </m:oMathPara>
    </w:p>
    <w:p w:rsidR="00EC02EE" w:rsidRDefault="00EC02EE" w:rsidP="00EC02EE">
      <w:pPr>
        <w:autoSpaceDE w:val="0"/>
        <w:autoSpaceDN w:val="0"/>
        <w:adjustRightInd w:val="0"/>
        <w:spacing w:line="360" w:lineRule="auto"/>
        <w:ind w:firstLine="708"/>
        <w:jc w:val="both"/>
      </w:pPr>
      <w:r>
        <w:t xml:space="preserve">Supomos agora que </w:t>
      </w:r>
      <m:oMath>
        <m:acc>
          <m:accPr>
            <m:chr m:val="̃"/>
            <m:ctrlPr>
              <w:rPr>
                <w:rFonts w:ascii="Cambria Math" w:hAnsi="Cambria Math"/>
                <w:i/>
              </w:rPr>
            </m:ctrlPr>
          </m:accPr>
          <m:e>
            <m:r>
              <w:rPr>
                <w:rFonts w:ascii="Cambria Math" w:hAnsi="Cambria Math"/>
              </w:rPr>
              <m:t>Q</m:t>
            </m:r>
          </m:e>
        </m:acc>
      </m:oMath>
      <w:r w:rsidR="00020D77">
        <w:t xml:space="preserve"> </w:t>
      </w:r>
      <w:r>
        <w:t>e uma matriz de dimens</w:t>
      </w:r>
      <w:r w:rsidR="0011153D">
        <w:t>ã</w:t>
      </w:r>
      <w:r>
        <w:t>o</w:t>
      </w:r>
      <w:r w:rsidR="00020D77">
        <w:t xml:space="preserve"> </w:t>
      </w:r>
      <m:oMath>
        <m:r>
          <w:rPr>
            <w:rFonts w:ascii="Cambria Math" w:hAnsi="Cambria Math"/>
          </w:rPr>
          <m:t>k</m:t>
        </m:r>
        <m:d>
          <m:dPr>
            <m:ctrlPr>
              <w:rPr>
                <w:rFonts w:ascii="Cambria Math" w:hAnsi="Cambria Math"/>
                <w:i/>
              </w:rPr>
            </m:ctrlPr>
          </m:dPr>
          <m:e>
            <m:r>
              <w:rPr>
                <w:rFonts w:ascii="Cambria Math" w:hAnsi="Cambria Math"/>
              </w:rPr>
              <m:t>K-k</m:t>
            </m:r>
          </m:e>
        </m:d>
        <m: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2</m:t>
            </m:r>
          </m:sup>
        </m:sSup>
      </m:oMath>
      <w:r>
        <w:t>, de posto</w:t>
      </w:r>
      <w:r w:rsidR="00020D77">
        <w:t xml:space="preserve"> </w:t>
      </w:r>
      <m:oMath>
        <m:r>
          <w:rPr>
            <w:rFonts w:ascii="Cambria Math" w:hAnsi="Cambria Math"/>
          </w:rPr>
          <m:t>k</m:t>
        </m:r>
        <m:d>
          <m:dPr>
            <m:ctrlPr>
              <w:rPr>
                <w:rFonts w:ascii="Cambria Math" w:hAnsi="Cambria Math"/>
                <w:i/>
              </w:rPr>
            </m:ctrlPr>
          </m:dPr>
          <m:e>
            <m:r>
              <w:rPr>
                <w:rFonts w:ascii="Cambria Math" w:hAnsi="Cambria Math"/>
              </w:rPr>
              <m:t>K-k</m:t>
            </m:r>
          </m:e>
        </m:d>
        <m:r>
          <w:rPr>
            <w:rFonts w:ascii="Cambria Math" w:hAnsi="Cambria Math"/>
          </w:rPr>
          <m:t>.</m:t>
        </m:r>
      </m:oMath>
      <w:r>
        <w:t xml:space="preserve"> Os </w:t>
      </w:r>
      <m:oMath>
        <m:d>
          <m:dPr>
            <m:ctrlPr>
              <w:rPr>
                <w:rFonts w:ascii="Cambria Math" w:hAnsi="Cambria Math"/>
                <w:i/>
              </w:rPr>
            </m:ctrlPr>
          </m:dPr>
          <m:e>
            <m:r>
              <w:rPr>
                <w:rFonts w:ascii="Cambria Math" w:hAnsi="Cambria Math"/>
              </w:rPr>
              <m:t>r,</m:t>
            </m:r>
            <m:acc>
              <m:accPr>
                <m:chr m:val="̅"/>
                <m:ctrlPr>
                  <w:rPr>
                    <w:rFonts w:ascii="Cambria Math" w:hAnsi="Cambria Math"/>
                    <w:i/>
                  </w:rPr>
                </m:ctrlPr>
              </m:accPr>
              <m:e>
                <m:r>
                  <w:rPr>
                    <w:rFonts w:ascii="Cambria Math" w:hAnsi="Cambria Math"/>
                  </w:rPr>
                  <m:t>w</m:t>
                </m:r>
              </m:e>
            </m:acc>
          </m:e>
        </m:d>
        <m:r>
          <w:rPr>
            <w:rFonts w:ascii="Cambria Math" w:hAnsi="Cambria Math"/>
          </w:rPr>
          <m:t xml:space="preserve"> </m:t>
        </m:r>
      </m:oMath>
      <w:r>
        <w:t xml:space="preserve">elementos de </w:t>
      </w:r>
      <m:oMath>
        <m:acc>
          <m:accPr>
            <m:chr m:val="̃"/>
            <m:ctrlPr>
              <w:rPr>
                <w:rFonts w:ascii="Cambria Math" w:hAnsi="Cambria Math"/>
                <w:i/>
              </w:rPr>
            </m:ctrlPr>
          </m:accPr>
          <m:e>
            <m:r>
              <w:rPr>
                <w:rFonts w:ascii="Cambria Math" w:hAnsi="Cambria Math"/>
              </w:rPr>
              <m:t>Q</m:t>
            </m:r>
          </m:e>
        </m:acc>
      </m:oMath>
      <w:r>
        <w:t xml:space="preserve"> s</w:t>
      </w:r>
      <w:r w:rsidR="0011153D">
        <w:t>ã</w:t>
      </w:r>
      <w:r>
        <w:t>o de</w:t>
      </w:r>
      <w:r w:rsidR="0011153D">
        <w:t>fi</w:t>
      </w:r>
      <w:r>
        <w:t>nidos por</w:t>
      </w:r>
    </w:p>
    <w:p w:rsidR="00020D77" w:rsidRDefault="000E6CF9" w:rsidP="00EC02EE">
      <w:pPr>
        <w:autoSpaceDE w:val="0"/>
        <w:autoSpaceDN w:val="0"/>
        <w:adjustRightInd w:val="0"/>
        <w:spacing w:line="360" w:lineRule="auto"/>
        <w:ind w:firstLine="708"/>
        <w:jc w:val="both"/>
      </w:pPr>
      <m:oMath>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Q</m:t>
                </m:r>
              </m:e>
            </m:acc>
          </m:e>
          <m:sub>
            <m:r>
              <w:rPr>
                <w:rFonts w:ascii="Cambria Math" w:hAnsi="Cambria Math"/>
              </w:rPr>
              <m:t>r,</m:t>
            </m:r>
            <m:acc>
              <m:accPr>
                <m:chr m:val="̅"/>
                <m:ctrlPr>
                  <w:rPr>
                    <w:rFonts w:ascii="Cambria Math" w:hAnsi="Cambria Math"/>
                    <w:i/>
                  </w:rPr>
                </m:ctrlPr>
              </m:accPr>
              <m:e>
                <m:r>
                  <w:rPr>
                    <w:rFonts w:ascii="Cambria Math" w:hAnsi="Cambria Math"/>
                  </w:rPr>
                  <m:t>w</m:t>
                </m:r>
              </m:e>
            </m:acc>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1, </m:t>
                </m:r>
                <m:acc>
                  <m:accPr>
                    <m:chr m:val="̅"/>
                    <m:ctrlPr>
                      <w:rPr>
                        <w:rFonts w:ascii="Cambria Math" w:hAnsi="Cambria Math"/>
                        <w:i/>
                      </w:rPr>
                    </m:ctrlPr>
                  </m:accPr>
                  <m:e>
                    <m:r>
                      <w:rPr>
                        <w:rFonts w:ascii="Cambria Math" w:hAnsi="Cambria Math"/>
                      </w:rPr>
                      <m:t>w</m:t>
                    </m:r>
                  </m:e>
                </m:acc>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mn</m:t>
                    </m:r>
                  </m:sub>
                </m:sSub>
              </m:e>
              <m:e>
                <m:r>
                  <w:rPr>
                    <w:rFonts w:ascii="Cambria Math" w:hAnsi="Cambria Math"/>
                  </w:rPr>
                  <m:t>0,</m:t>
                </m:r>
                <m:acc>
                  <m:accPr>
                    <m:chr m:val="̅"/>
                    <m:ctrlPr>
                      <w:rPr>
                        <w:rFonts w:ascii="Cambria Math" w:hAnsi="Cambria Math"/>
                        <w:i/>
                      </w:rPr>
                    </m:ctrlPr>
                  </m:accPr>
                  <m:e>
                    <m:r>
                      <w:rPr>
                        <w:rFonts w:ascii="Cambria Math" w:hAnsi="Cambria Math"/>
                      </w:rPr>
                      <m:t>w</m:t>
                    </m:r>
                  </m:e>
                </m:acc>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mn</m:t>
                    </m:r>
                  </m:sub>
                </m:sSub>
              </m:e>
            </m:eqArr>
          </m:e>
        </m:d>
      </m:oMath>
      <w:r w:rsidR="00020D77">
        <w:t xml:space="preserve">                                          (13)</w:t>
      </w:r>
    </w:p>
    <w:p w:rsidR="009A31FF" w:rsidRDefault="00EC02EE" w:rsidP="00EC02EE">
      <w:pPr>
        <w:autoSpaceDE w:val="0"/>
        <w:autoSpaceDN w:val="0"/>
        <w:adjustRightInd w:val="0"/>
        <w:spacing w:line="360" w:lineRule="auto"/>
        <w:ind w:firstLine="708"/>
        <w:jc w:val="both"/>
      </w:pPr>
      <w:r w:rsidRPr="00EC02EE">
        <w:t>Onde</w:t>
      </w:r>
    </w:p>
    <w:p w:rsidR="009A31FF" w:rsidRDefault="009A31FF" w:rsidP="00EC02EE">
      <w:pPr>
        <w:autoSpaceDE w:val="0"/>
        <w:autoSpaceDN w:val="0"/>
        <w:adjustRightInd w:val="0"/>
        <w:spacing w:line="360" w:lineRule="auto"/>
        <w:ind w:firstLine="708"/>
        <w:jc w:val="both"/>
      </w:pPr>
      <w:r>
        <w:t xml:space="preserve"> </w:t>
      </w:r>
      <m:oMath>
        <m:r>
          <w:rPr>
            <w:rFonts w:ascii="Cambria Math" w:hAnsi="Cambria Math"/>
          </w:rPr>
          <m:t>r=m+</m:t>
        </m:r>
        <m:d>
          <m:dPr>
            <m:ctrlPr>
              <w:rPr>
                <w:rFonts w:ascii="Cambria Math" w:hAnsi="Cambria Math"/>
                <w:i/>
              </w:rPr>
            </m:ctrlPr>
          </m:dPr>
          <m:e>
            <m:r>
              <w:rPr>
                <w:rFonts w:ascii="Cambria Math" w:hAnsi="Cambria Math"/>
              </w:rPr>
              <m:t>n-1</m:t>
            </m:r>
          </m:e>
        </m:d>
        <m:r>
          <w:rPr>
            <w:rFonts w:ascii="Cambria Math" w:hAnsi="Cambria Math"/>
          </w:rPr>
          <m:t xml:space="preserve">, </m:t>
        </m:r>
        <m:sSub>
          <m:sSubPr>
            <m:ctrlPr>
              <w:rPr>
                <w:rFonts w:ascii="Cambria Math" w:hAnsi="Cambria Math"/>
                <w:i/>
              </w:rPr>
            </m:ctrlPr>
          </m:sSubPr>
          <m:e>
            <m:r>
              <w:rPr>
                <w:rFonts w:ascii="Cambria Math" w:hAnsi="Cambria Math"/>
              </w:rPr>
              <m:t xml:space="preserve"> s</m:t>
            </m:r>
          </m:e>
          <m:sub>
            <m:r>
              <w:rPr>
                <w:rFonts w:ascii="Cambria Math" w:hAnsi="Cambria Math"/>
              </w:rPr>
              <m:t>mn</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m</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j</m:t>
                </m:r>
              </m:e>
              <m:sub>
                <m:r>
                  <w:rPr>
                    <w:rFonts w:ascii="Cambria Math" w:hAnsi="Cambria Math"/>
                  </w:rPr>
                  <m:t>n</m:t>
                </m:r>
              </m:sub>
            </m:sSub>
            <m:r>
              <w:rPr>
                <w:rFonts w:ascii="Cambria Math" w:hAnsi="Cambria Math"/>
              </w:rPr>
              <m:t>-1</m:t>
            </m:r>
          </m:e>
        </m:d>
        <m:r>
          <w:rPr>
            <w:rFonts w:ascii="Cambria Math" w:hAnsi="Cambria Math"/>
          </w:rPr>
          <m:t xml:space="preserve">K, </m:t>
        </m:r>
        <m:sSub>
          <m:sSubPr>
            <m:ctrlPr>
              <w:rPr>
                <w:rFonts w:ascii="Cambria Math" w:hAnsi="Cambria Math"/>
                <w:i/>
              </w:rPr>
            </m:ctrlPr>
          </m:sSubPr>
          <m:e>
            <m:r>
              <w:rPr>
                <w:rFonts w:ascii="Cambria Math" w:hAnsi="Cambria Math"/>
              </w:rPr>
              <m:t>i</m:t>
            </m:r>
          </m:e>
          <m:sub>
            <m:r>
              <w:rPr>
                <w:rFonts w:ascii="Cambria Math" w:hAnsi="Cambria Math"/>
              </w:rPr>
              <m:t>m</m:t>
            </m:r>
          </m:sub>
        </m:sSub>
        <m:r>
          <w:rPr>
            <w:rFonts w:ascii="Cambria Math" w:hAnsi="Cambria Math"/>
          </w:rPr>
          <m:t xml:space="preserve">∈τ, </m:t>
        </m:r>
        <m:sSub>
          <m:sSubPr>
            <m:ctrlPr>
              <w:rPr>
                <w:rFonts w:ascii="Cambria Math" w:hAnsi="Cambria Math"/>
                <w:i/>
              </w:rPr>
            </m:ctrlPr>
          </m:sSubPr>
          <m:e>
            <m:r>
              <w:rPr>
                <w:rFonts w:ascii="Cambria Math" w:hAnsi="Cambria Math"/>
              </w:rPr>
              <m:t>j</m:t>
            </m:r>
          </m:e>
          <m:sub>
            <m:r>
              <w:rPr>
                <w:rFonts w:ascii="Cambria Math" w:hAnsi="Cambria Math"/>
              </w:rPr>
              <m:t>n</m:t>
            </m:r>
          </m:sub>
        </m:sSub>
        <m:r>
          <w:rPr>
            <w:rFonts w:ascii="Cambria Math" w:hAnsi="Cambria Math"/>
          </w:rPr>
          <m:t xml:space="preserve">∈υ,  e m=1,…,k, n=1,…,K-k. </m:t>
        </m:r>
      </m:oMath>
    </w:p>
    <w:p w:rsidR="00EC02EE" w:rsidRDefault="00EC02EE" w:rsidP="00EC02EE">
      <w:pPr>
        <w:autoSpaceDE w:val="0"/>
        <w:autoSpaceDN w:val="0"/>
        <w:adjustRightInd w:val="0"/>
        <w:spacing w:line="360" w:lineRule="auto"/>
        <w:ind w:firstLine="708"/>
        <w:jc w:val="both"/>
      </w:pPr>
      <w:r w:rsidRPr="00EC02EE">
        <w:t>A hip</w:t>
      </w:r>
      <w:r w:rsidR="0011153D">
        <w:t>ó</w:t>
      </w:r>
      <w:r w:rsidRPr="00EC02EE">
        <w:t>tese nula de aus</w:t>
      </w:r>
      <w:r w:rsidR="0011153D">
        <w:t>ê</w:t>
      </w:r>
      <w:r w:rsidRPr="00EC02EE">
        <w:t>ncia de causalidade no modelo BEKK agora pode ser escrita como</w:t>
      </w:r>
    </w:p>
    <w:p w:rsidR="009A31FF" w:rsidRDefault="000E6CF9" w:rsidP="00EC02EE">
      <w:pPr>
        <w:autoSpaceDE w:val="0"/>
        <w:autoSpaceDN w:val="0"/>
        <w:adjustRightInd w:val="0"/>
        <w:spacing w:line="360" w:lineRule="auto"/>
        <w:ind w:firstLine="708"/>
        <w:jc w:val="both"/>
      </w:pPr>
      <m:oMathPara>
        <m:oMath>
          <m:sSub>
            <m:sSubPr>
              <m:ctrlPr>
                <w:rPr>
                  <w:rFonts w:ascii="Cambria Math" w:hAnsi="Cambria Math"/>
                  <w:i/>
                </w:rPr>
              </m:ctrlPr>
            </m:sSubPr>
            <m:e>
              <m:r>
                <w:rPr>
                  <w:rFonts w:ascii="Cambria Math" w:hAnsi="Cambria Math"/>
                </w:rPr>
                <m:t xml:space="preserve">                                              H</m:t>
              </m:r>
            </m:e>
            <m:sub>
              <m:r>
                <w:rPr>
                  <w:rFonts w:ascii="Cambria Math" w:hAnsi="Cambria Math"/>
                </w:rPr>
                <m:t>0</m:t>
              </m:r>
            </m:sub>
          </m:sSub>
          <m:r>
            <w:rPr>
              <w:rFonts w:ascii="Cambria Math" w:hAnsi="Cambria Math"/>
            </w:rPr>
            <m:t>:Qυ=0                                                                     (14)</m:t>
          </m:r>
        </m:oMath>
      </m:oMathPara>
    </w:p>
    <w:p w:rsidR="00EC02EE" w:rsidRDefault="00EC02EE" w:rsidP="00EC02EE">
      <w:pPr>
        <w:autoSpaceDE w:val="0"/>
        <w:autoSpaceDN w:val="0"/>
        <w:adjustRightInd w:val="0"/>
        <w:spacing w:line="360" w:lineRule="auto"/>
        <w:ind w:firstLine="708"/>
        <w:jc w:val="both"/>
      </w:pPr>
      <w:r w:rsidRPr="00EC02EE">
        <w:t xml:space="preserve">Com </w:t>
      </w:r>
      <m:oMath>
        <m:r>
          <w:rPr>
            <w:rFonts w:ascii="Cambria Math" w:hAnsi="Cambria Math"/>
          </w:rPr>
          <m:t>υ=</m:t>
        </m:r>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vech</m:t>
                </m:r>
                <m:d>
                  <m:dPr>
                    <m:ctrlPr>
                      <w:rPr>
                        <w:rFonts w:ascii="Cambria Math" w:hAnsi="Cambria Math"/>
                        <w:i/>
                      </w:rPr>
                    </m:ctrlPr>
                  </m:dPr>
                  <m:e>
                    <m:sSubSup>
                      <m:sSubSupPr>
                        <m:ctrlPr>
                          <w:rPr>
                            <w:rFonts w:ascii="Cambria Math" w:hAnsi="Cambria Math"/>
                            <w:i/>
                          </w:rPr>
                        </m:ctrlPr>
                      </m:sSubSupPr>
                      <m:e>
                        <m:r>
                          <w:rPr>
                            <w:rFonts w:ascii="Cambria Math" w:hAnsi="Cambria Math"/>
                          </w:rPr>
                          <m:t>A</m:t>
                        </m:r>
                      </m:e>
                      <m:sub>
                        <m:r>
                          <w:rPr>
                            <w:rFonts w:ascii="Cambria Math" w:hAnsi="Cambria Math"/>
                          </w:rPr>
                          <m:t>0</m:t>
                        </m:r>
                      </m:sub>
                      <m:sup>
                        <m:r>
                          <w:rPr>
                            <w:rFonts w:ascii="Cambria Math" w:hAnsi="Cambria Math"/>
                          </w:rPr>
                          <m:t>*</m:t>
                        </m:r>
                      </m:sup>
                    </m:sSubSup>
                  </m:e>
                </m:d>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vech</m:t>
                </m:r>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m:t>
                        </m:r>
                      </m:sup>
                    </m:sSup>
                  </m:e>
                </m:d>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vech</m:t>
                </m:r>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m:t>
                        </m:r>
                      </m:sup>
                    </m:sSup>
                  </m:e>
                </m:d>
              </m:e>
              <m:sup>
                <m:r>
                  <w:rPr>
                    <w:rFonts w:ascii="Cambria Math" w:hAnsi="Cambria Math"/>
                  </w:rPr>
                  <m:t>'</m:t>
                </m:r>
              </m:sup>
            </m:sSup>
            <m:r>
              <w:rPr>
                <w:rFonts w:ascii="Cambria Math" w:hAnsi="Cambria Math"/>
              </w:rPr>
              <m:t>]</m:t>
            </m:r>
          </m:e>
          <m:sup>
            <m:r>
              <w:rPr>
                <w:rFonts w:ascii="Cambria Math" w:hAnsi="Cambria Math"/>
              </w:rPr>
              <m:t>'</m:t>
            </m:r>
          </m:sup>
        </m:sSup>
        <m:r>
          <w:rPr>
            <w:rFonts w:ascii="Cambria Math" w:hAnsi="Cambria Math"/>
          </w:rPr>
          <m:t xml:space="preserve">  e  Q=[</m:t>
        </m:r>
        <m:sSub>
          <m:sSubPr>
            <m:ctrlPr>
              <w:rPr>
                <w:rFonts w:ascii="Cambria Math" w:hAnsi="Cambria Math"/>
                <w:i/>
              </w:rPr>
            </m:ctrlPr>
          </m:sSubPr>
          <m:e>
            <m:r>
              <w:rPr>
                <w:rFonts w:ascii="Cambria Math" w:hAnsi="Cambria Math"/>
              </w:rPr>
              <m:t>0</m:t>
            </m:r>
          </m:e>
          <m:sub>
            <m:r>
              <w:rPr>
                <w:rFonts w:ascii="Cambria Math" w:hAnsi="Cambria Math"/>
              </w:rPr>
              <m:t>k</m:t>
            </m:r>
            <m:d>
              <m:dPr>
                <m:ctrlPr>
                  <w:rPr>
                    <w:rFonts w:ascii="Cambria Math" w:hAnsi="Cambria Math"/>
                    <w:i/>
                  </w:rPr>
                </m:ctrlPr>
              </m:dPr>
              <m:e>
                <m:r>
                  <w:rPr>
                    <w:rFonts w:ascii="Cambria Math" w:hAnsi="Cambria Math"/>
                  </w:rPr>
                  <m:t>K-k</m:t>
                </m:r>
              </m:e>
            </m:d>
            <m:r>
              <w:rPr>
                <w:rFonts w:ascii="Cambria Math" w:hAnsi="Cambria Math"/>
              </w:rPr>
              <m:t>×K</m:t>
            </m:r>
          </m:sub>
        </m:sSub>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acc>
          <m:accPr>
            <m:chr m:val="̃"/>
            <m:ctrlPr>
              <w:rPr>
                <w:rFonts w:ascii="Cambria Math" w:hAnsi="Cambria Math"/>
                <w:i/>
              </w:rPr>
            </m:ctrlPr>
          </m:accPr>
          <m:e>
            <m:r>
              <w:rPr>
                <w:rFonts w:ascii="Cambria Math" w:hAnsi="Cambria Math"/>
              </w:rPr>
              <m:t>Q</m:t>
            </m:r>
          </m:e>
        </m:acc>
        <m:r>
          <w:rPr>
            <w:rFonts w:ascii="Cambria Math" w:hAnsi="Cambria Math"/>
          </w:rPr>
          <m:t>]</m:t>
        </m:r>
      </m:oMath>
    </w:p>
    <w:p w:rsidR="00EC02EE" w:rsidRDefault="00EC02EE" w:rsidP="00EC02EE">
      <w:pPr>
        <w:autoSpaceDE w:val="0"/>
        <w:autoSpaceDN w:val="0"/>
        <w:adjustRightInd w:val="0"/>
        <w:spacing w:line="360" w:lineRule="auto"/>
        <w:ind w:firstLine="708"/>
        <w:jc w:val="both"/>
      </w:pPr>
      <w:r>
        <w:t xml:space="preserve">Suponha agora que temos </w:t>
      </w:r>
      <m:oMath>
        <m:r>
          <w:rPr>
            <w:rFonts w:ascii="Cambria Math" w:hAnsi="Cambria Math"/>
          </w:rPr>
          <m:t xml:space="preserve">T </m:t>
        </m:r>
      </m:oMath>
      <w:r>
        <w:t>observa</w:t>
      </w:r>
      <w:r w:rsidR="0011153D">
        <w:t>ções</w:t>
      </w:r>
      <w:r w:rsidR="00227D60">
        <w:t xml:space="preserve"> </w:t>
      </w: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T</m:t>
            </m:r>
          </m:sub>
        </m:sSub>
      </m:oMath>
      <w:r>
        <w:t>. Nos</w:t>
      </w:r>
      <w:r w:rsidR="00227D60">
        <w:t xml:space="preserve"> </w:t>
      </w:r>
      <w:r>
        <w:t xml:space="preserve">assumimos a seguir que o verdadeiro processo </w:t>
      </w:r>
      <w:r w:rsidR="0011153D">
        <w:t>é</w:t>
      </w:r>
      <w:r>
        <w:t xml:space="preserve"> conhecido como pertencendo </w:t>
      </w:r>
      <w:r w:rsidR="0011153D">
        <w:t xml:space="preserve">à </w:t>
      </w:r>
      <w:r>
        <w:t>classe BEKK, conforme Comte e Lieberman (2003). Denotamos um estimador consistente do verdadeiro vetor de par</w:t>
      </w:r>
      <w:r w:rsidR="0011153D">
        <w:t>â</w:t>
      </w:r>
      <w:r>
        <w:t xml:space="preserve">metros </w:t>
      </w:r>
      <m:oMath>
        <m:sSub>
          <m:sSubPr>
            <m:ctrlPr>
              <w:rPr>
                <w:rFonts w:ascii="Cambria Math" w:hAnsi="Cambria Math"/>
                <w:i/>
              </w:rPr>
            </m:ctrlPr>
          </m:sSubPr>
          <m:e>
            <m:r>
              <w:rPr>
                <w:rFonts w:ascii="Cambria Math" w:hAnsi="Cambria Math"/>
              </w:rPr>
              <m:t>ϑ</m:t>
            </m:r>
          </m:e>
          <m:sub>
            <m:r>
              <w:rPr>
                <w:rFonts w:ascii="Cambria Math" w:hAnsi="Cambria Math"/>
              </w:rPr>
              <m:t>0</m:t>
            </m:r>
          </m:sub>
        </m:sSub>
      </m:oMath>
      <w:r>
        <w:t xml:space="preserve"> por </w:t>
      </w:r>
      <m:oMath>
        <m:acc>
          <m:accPr>
            <m:ctrlPr>
              <w:rPr>
                <w:rFonts w:ascii="Cambria Math" w:hAnsi="Cambria Math"/>
                <w:i/>
              </w:rPr>
            </m:ctrlPr>
          </m:accPr>
          <m:e>
            <m:r>
              <w:rPr>
                <w:rFonts w:ascii="Cambria Math" w:hAnsi="Cambria Math"/>
              </w:rPr>
              <m:t>ϑ</m:t>
            </m:r>
          </m:e>
        </m:acc>
      </m:oMath>
      <w:r>
        <w:t xml:space="preserve"> e assumimos que a sua distribui</w:t>
      </w:r>
      <w:r w:rsidR="0011153D">
        <w:t>ção</w:t>
      </w:r>
      <w:r>
        <w:t xml:space="preserve"> assint</w:t>
      </w:r>
      <w:r w:rsidR="0011153D">
        <w:t>ó</w:t>
      </w:r>
      <w:r>
        <w:t xml:space="preserve">tica </w:t>
      </w:r>
      <w:r w:rsidR="0011153D">
        <w:t>é</w:t>
      </w:r>
      <w:r>
        <w:t xml:space="preserve"> dada por</w:t>
      </w:r>
    </w:p>
    <w:p w:rsidR="00227D60" w:rsidRDefault="00B54852" w:rsidP="00EC02EE">
      <w:pPr>
        <w:autoSpaceDE w:val="0"/>
        <w:autoSpaceDN w:val="0"/>
        <w:adjustRightInd w:val="0"/>
        <w:spacing w:line="360" w:lineRule="auto"/>
        <w:ind w:firstLine="708"/>
        <w:jc w:val="both"/>
      </w:pPr>
      <m:oMathPara>
        <m:oMath>
          <m:r>
            <w:rPr>
              <w:rFonts w:ascii="Cambria Math" w:hAnsi="Cambria Math"/>
            </w:rPr>
            <m:t xml:space="preserve">                                        </m:t>
          </m:r>
          <m:rad>
            <m:radPr>
              <m:degHide m:val="on"/>
              <m:ctrlPr>
                <w:rPr>
                  <w:rFonts w:ascii="Cambria Math" w:hAnsi="Cambria Math"/>
                  <w:i/>
                </w:rPr>
              </m:ctrlPr>
            </m:radPr>
            <m:deg/>
            <m:e>
              <m:r>
                <w:rPr>
                  <w:rFonts w:ascii="Cambria Math" w:hAnsi="Cambria Math"/>
                </w:rPr>
                <m:t>T</m:t>
              </m:r>
            </m:e>
          </m:rad>
          <m:d>
            <m:dPr>
              <m:ctrlPr>
                <w:rPr>
                  <w:rFonts w:ascii="Cambria Math" w:hAnsi="Cambria Math"/>
                  <w:i/>
                </w:rPr>
              </m:ctrlPr>
            </m:dPr>
            <m:e>
              <m:acc>
                <m:accPr>
                  <m:ctrlPr>
                    <w:rPr>
                      <w:rFonts w:ascii="Cambria Math" w:hAnsi="Cambria Math"/>
                      <w:i/>
                    </w:rPr>
                  </m:ctrlPr>
                </m:accPr>
                <m:e>
                  <m:r>
                    <w:rPr>
                      <w:rFonts w:ascii="Cambria Math" w:hAnsi="Cambria Math"/>
                    </w:rPr>
                    <m:t>ϑ</m:t>
                  </m:r>
                </m:e>
              </m:acc>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0</m:t>
                  </m:r>
                </m:sub>
              </m:sSub>
            </m:e>
          </m:d>
          <m:box>
            <m:boxPr>
              <m:opEmu m:val="on"/>
              <m:ctrlPr>
                <w:rPr>
                  <w:rFonts w:ascii="Cambria Math" w:hAnsi="Cambria Math" w:cs="Cambria Math"/>
                  <w:i/>
                </w:rPr>
              </m:ctrlPr>
            </m:boxPr>
            <m:e>
              <m:box>
                <m:boxPr>
                  <m:opEmu m:val="on"/>
                  <m:ctrlPr>
                    <w:rPr>
                      <w:rFonts w:ascii="Cambria Math" w:hAnsi="Cambria Math" w:cs="Cambria Math"/>
                      <w:i/>
                    </w:rPr>
                  </m:ctrlPr>
                </m:boxPr>
                <m:e>
                  <m:groupChr>
                    <m:groupChrPr>
                      <m:chr m:val="→"/>
                      <m:vertJc m:val="bot"/>
                      <m:ctrlPr>
                        <w:rPr>
                          <w:rFonts w:ascii="Cambria Math" w:hAnsi="Cambria Math" w:cs="Cambria Math"/>
                          <w:i/>
                        </w:rPr>
                      </m:ctrlPr>
                    </m:groupChrPr>
                    <m:e>
                      <m:r>
                        <w:rPr>
                          <w:rFonts w:ascii="Cambria Math" w:hAnsi="Cambria Math" w:cs="Cambria Math"/>
                        </w:rPr>
                        <m:t>ass</m:t>
                      </m:r>
                    </m:e>
                  </m:groupChr>
                </m:e>
              </m:box>
            </m:e>
          </m:box>
          <m:r>
            <w:rPr>
              <w:rFonts w:ascii="Cambria Math" w:hAnsi="Cambria Math"/>
            </w:rPr>
            <m:t>N</m:t>
          </m:r>
          <m:d>
            <m:dPr>
              <m:ctrlPr>
                <w:rPr>
                  <w:rFonts w:ascii="Cambria Math" w:hAnsi="Cambria Math"/>
                  <w:i/>
                </w:rPr>
              </m:ctrlPr>
            </m:dPr>
            <m:e>
              <m:r>
                <w:rPr>
                  <w:rFonts w:ascii="Cambria Math" w:hAnsi="Cambria Math"/>
                </w:rPr>
                <m:t>0,</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ϑ</m:t>
                  </m:r>
                </m:sub>
              </m:sSub>
              <m:ctrlPr>
                <w:rPr>
                  <w:rFonts w:ascii="Cambria Math" w:hAnsi="Cambria Math"/>
                </w:rPr>
              </m:ctrlPr>
            </m:e>
          </m:d>
          <m:r>
            <m:rPr>
              <m:sty m:val="p"/>
            </m:rPr>
            <w:rPr>
              <w:rFonts w:ascii="Cambria Math" w:hAnsi="Cambria Math"/>
            </w:rPr>
            <m:t xml:space="preserve">                                                   (15)</m:t>
          </m:r>
        </m:oMath>
      </m:oMathPara>
    </w:p>
    <w:p w:rsidR="00EC02EE" w:rsidRDefault="00EC02EE" w:rsidP="00EC02EE">
      <w:pPr>
        <w:autoSpaceDE w:val="0"/>
        <w:autoSpaceDN w:val="0"/>
        <w:adjustRightInd w:val="0"/>
        <w:spacing w:line="360" w:lineRule="auto"/>
        <w:ind w:firstLine="708"/>
        <w:jc w:val="both"/>
      </w:pPr>
      <w:r>
        <w:t>Com alguma matriz de</w:t>
      </w:r>
      <w:r w:rsidR="0011153D">
        <w:t>fi</w:t>
      </w:r>
      <w:r>
        <w:t>nida e sim</w:t>
      </w:r>
      <w:r w:rsidR="0011153D">
        <w:t>é</w:t>
      </w:r>
      <w:r>
        <w:t>trica positiva</w:t>
      </w:r>
      <w:r w:rsidR="00405FE3">
        <w:t xml:space="preserve"> </w:t>
      </w: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ϑ</m:t>
            </m:r>
          </m:sub>
        </m:sSub>
      </m:oMath>
      <w:r>
        <w:t>. Consideremos tamb</w:t>
      </w:r>
      <w:r w:rsidR="0011153D">
        <w:t>é</w:t>
      </w:r>
      <w:r>
        <w:t xml:space="preserve">m que uma estimador consistente de </w:t>
      </w: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ϑ</m:t>
            </m:r>
          </m:sub>
        </m:sSub>
      </m:oMath>
      <w:r>
        <w:t xml:space="preserve"> </w:t>
      </w:r>
      <w:r w:rsidR="0011153D">
        <w:t>é</w:t>
      </w:r>
      <w:r>
        <w:t xml:space="preserve"> dado por </w:t>
      </w: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Ω</m:t>
                </m:r>
              </m:e>
            </m:acc>
          </m:e>
          <m:sub>
            <m:r>
              <m:rPr>
                <m:sty m:val="p"/>
              </m:rPr>
              <w:rPr>
                <w:rFonts w:ascii="Cambria Math" w:hAnsi="Cambria Math"/>
              </w:rPr>
              <m:t>ϑ</m:t>
            </m:r>
          </m:sub>
        </m:sSub>
      </m:oMath>
      <w:r w:rsidR="00FE3E73">
        <w:t>.</w:t>
      </w:r>
      <w:r>
        <w:t xml:space="preserve"> </w:t>
      </w:r>
      <w:r w:rsidR="0011153D">
        <w:t>Então</w:t>
      </w:r>
      <w:r w:rsidR="00FE3E73">
        <w:t xml:space="preserve"> </w:t>
      </w:r>
      <m:oMath>
        <m:rad>
          <m:radPr>
            <m:degHide m:val="on"/>
            <m:ctrlPr>
              <w:rPr>
                <w:rFonts w:ascii="Cambria Math" w:hAnsi="Cambria Math"/>
                <w:i/>
              </w:rPr>
            </m:ctrlPr>
          </m:radPr>
          <m:deg/>
          <m:e>
            <m:r>
              <w:rPr>
                <w:rFonts w:ascii="Cambria Math" w:hAnsi="Cambria Math"/>
              </w:rPr>
              <m:t>T</m:t>
            </m:r>
          </m:e>
        </m:rad>
        <m:d>
          <m:dPr>
            <m:ctrlPr>
              <w:rPr>
                <w:rFonts w:ascii="Cambria Math" w:hAnsi="Cambria Math"/>
                <w:i/>
              </w:rPr>
            </m:ctrlPr>
          </m:dPr>
          <m:e>
            <m:acc>
              <m:accPr>
                <m:ctrlPr>
                  <w:rPr>
                    <w:rFonts w:ascii="Cambria Math" w:hAnsi="Cambria Math"/>
                    <w:i/>
                  </w:rPr>
                </m:ctrlPr>
              </m:accPr>
              <m:e>
                <m:r>
                  <w:rPr>
                    <w:rFonts w:ascii="Cambria Math" w:hAnsi="Cambria Math"/>
                  </w:rPr>
                  <m:t>ϑ</m:t>
                </m:r>
              </m:e>
            </m:acc>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0</m:t>
                </m:r>
              </m:sub>
            </m:sSub>
          </m:e>
        </m:d>
        <m:box>
          <m:boxPr>
            <m:opEmu m:val="on"/>
            <m:ctrlPr>
              <w:rPr>
                <w:rFonts w:ascii="Cambria Math" w:hAnsi="Cambria Math" w:cs="Cambria Math"/>
                <w:i/>
              </w:rPr>
            </m:ctrlPr>
          </m:boxPr>
          <m:e>
            <m:box>
              <m:boxPr>
                <m:opEmu m:val="on"/>
                <m:ctrlPr>
                  <w:rPr>
                    <w:rFonts w:ascii="Cambria Math" w:hAnsi="Cambria Math" w:cs="Cambria Math"/>
                    <w:i/>
                  </w:rPr>
                </m:ctrlPr>
              </m:boxPr>
              <m:e>
                <m:groupChr>
                  <m:groupChrPr>
                    <m:chr m:val="→"/>
                    <m:vertJc m:val="bot"/>
                    <m:ctrlPr>
                      <w:rPr>
                        <w:rFonts w:ascii="Cambria Math" w:hAnsi="Cambria Math" w:cs="Cambria Math"/>
                        <w:i/>
                      </w:rPr>
                    </m:ctrlPr>
                  </m:groupChrPr>
                  <m:e>
                    <m:r>
                      <w:rPr>
                        <w:rFonts w:ascii="Cambria Math" w:hAnsi="Cambria Math" w:cs="Cambria Math"/>
                      </w:rPr>
                      <m:t>l</m:t>
                    </m:r>
                  </m:e>
                </m:groupChr>
              </m:e>
            </m:box>
          </m:e>
        </m:box>
        <m:r>
          <w:rPr>
            <w:rFonts w:ascii="Cambria Math" w:hAnsi="Cambria Math"/>
          </w:rPr>
          <m:t>N</m:t>
        </m:r>
        <m:d>
          <m:dPr>
            <m:ctrlPr>
              <w:rPr>
                <w:rFonts w:ascii="Cambria Math" w:hAnsi="Cambria Math"/>
                <w:i/>
              </w:rPr>
            </m:ctrlPr>
          </m:dPr>
          <m:e>
            <m:r>
              <w:rPr>
                <w:rFonts w:ascii="Cambria Math" w:hAnsi="Cambria Math"/>
              </w:rPr>
              <m:t>0,</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υ</m:t>
                </m:r>
              </m:sub>
            </m:sSub>
            <m:ctrlPr>
              <w:rPr>
                <w:rFonts w:ascii="Cambria Math" w:hAnsi="Cambria Math"/>
              </w:rPr>
            </m:ctrlPr>
          </m:e>
        </m:d>
      </m:oMath>
      <w:r>
        <w:t xml:space="preserve"> mant</w:t>
      </w:r>
      <w:r w:rsidR="0011153D">
        <w:t>é</w:t>
      </w:r>
      <w:r>
        <w:t>m em condi</w:t>
      </w:r>
      <w:r w:rsidR="0011153D">
        <w:t>ções</w:t>
      </w:r>
      <w:r>
        <w:t xml:space="preserve"> de regularidade listados por Comte e Lieberman (2003), e </w:t>
      </w: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ϑ</m:t>
            </m:r>
          </m:sub>
        </m:sSub>
      </m:oMath>
      <w:r>
        <w:t xml:space="preserve"> </w:t>
      </w:r>
      <w:r w:rsidR="00FE3E73">
        <w:t>será</w:t>
      </w:r>
      <w:r>
        <w:t xml:space="preserve"> dado por</w:t>
      </w:r>
    </w:p>
    <w:p w:rsidR="00FE3E73" w:rsidRDefault="000E6CF9" w:rsidP="00EC02EE">
      <w:pPr>
        <w:autoSpaceDE w:val="0"/>
        <w:autoSpaceDN w:val="0"/>
        <w:adjustRightInd w:val="0"/>
        <w:spacing w:line="360" w:lineRule="auto"/>
        <w:ind w:firstLine="708"/>
        <w:jc w:val="both"/>
      </w:pPr>
      <m:oMath>
        <m:sSub>
          <m:sSubPr>
            <m:ctrlPr>
              <w:rPr>
                <w:rFonts w:ascii="Cambria Math" w:hAnsi="Cambria Math"/>
              </w:rPr>
            </m:ctrlPr>
          </m:sSubPr>
          <m:e>
            <m:r>
              <m:rPr>
                <m:sty m:val="p"/>
              </m:rPr>
              <w:rPr>
                <w:rFonts w:ascii="Cambria Math" w:hAnsi="Cambria Math"/>
              </w:rPr>
              <m:t xml:space="preserve">                                                             Ω</m:t>
            </m:r>
          </m:e>
          <m:sub>
            <m:r>
              <m:rPr>
                <m:sty m:val="p"/>
              </m:rPr>
              <w:rPr>
                <w:rFonts w:ascii="Cambria Math" w:hAnsi="Cambria Math"/>
              </w:rPr>
              <m:t>ϑ</m:t>
            </m:r>
          </m:sub>
        </m:sSub>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D</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 xml:space="preserve">                                                      (16)</m:t>
        </m:r>
      </m:oMath>
      <w:r w:rsidR="00CC371F">
        <w:t xml:space="preserve"> </w:t>
      </w:r>
    </w:p>
    <w:p w:rsidR="00FE3E73" w:rsidRDefault="00FE3E73" w:rsidP="00EC02EE">
      <w:pPr>
        <w:autoSpaceDE w:val="0"/>
        <w:autoSpaceDN w:val="0"/>
        <w:adjustRightInd w:val="0"/>
        <w:spacing w:line="360" w:lineRule="auto"/>
        <w:ind w:firstLine="708"/>
        <w:jc w:val="both"/>
      </w:pPr>
    </w:p>
    <w:p w:rsidR="00EC02EE" w:rsidRDefault="00EC02EE" w:rsidP="00EC02EE">
      <w:pPr>
        <w:autoSpaceDE w:val="0"/>
        <w:autoSpaceDN w:val="0"/>
        <w:adjustRightInd w:val="0"/>
        <w:spacing w:line="360" w:lineRule="auto"/>
        <w:ind w:firstLine="708"/>
        <w:jc w:val="both"/>
      </w:pPr>
      <w:r w:rsidRPr="00EC02EE">
        <w:t>Onde</w:t>
      </w:r>
    </w:p>
    <w:p w:rsidR="00CC371F" w:rsidRDefault="009970D3" w:rsidP="00EC02EE">
      <w:pPr>
        <w:autoSpaceDE w:val="0"/>
        <w:autoSpaceDN w:val="0"/>
        <w:adjustRightInd w:val="0"/>
        <w:spacing w:line="360" w:lineRule="auto"/>
        <w:ind w:firstLine="708"/>
        <w:jc w:val="both"/>
      </w:pPr>
      <m:oMath>
        <m:r>
          <w:rPr>
            <w:rFonts w:ascii="Cambria Math" w:hAnsi="Cambria Math"/>
          </w:rPr>
          <m:t xml:space="preserve">                                D=E</m:t>
        </m:r>
        <m:d>
          <m:dPr>
            <m:begChr m:val="["/>
            <m:endChr m:val="]"/>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rPr>
                  <m:t>(ϑ)</m:t>
                </m:r>
              </m:num>
              <m:den>
                <m:r>
                  <w:rPr>
                    <w:rFonts w:ascii="Cambria Math" w:hAnsi="Cambria Math"/>
                  </w:rPr>
                  <m:t>∂ϑ</m:t>
                </m:r>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rPr>
                  <m:t>(ϑ)</m:t>
                </m:r>
              </m:num>
              <m:den>
                <m:sSup>
                  <m:sSupPr>
                    <m:ctrlPr>
                      <w:rPr>
                        <w:rFonts w:ascii="Cambria Math" w:hAnsi="Cambria Math"/>
                        <w:i/>
                      </w:rPr>
                    </m:ctrlPr>
                  </m:sSupPr>
                  <m:e>
                    <m:r>
                      <w:rPr>
                        <w:rFonts w:ascii="Cambria Math" w:hAnsi="Cambria Math"/>
                      </w:rPr>
                      <m:t>∂ϑ</m:t>
                    </m:r>
                  </m:e>
                  <m:sup>
                    <m:r>
                      <w:rPr>
                        <w:rFonts w:ascii="Cambria Math" w:hAnsi="Cambria Math"/>
                      </w:rPr>
                      <m:t>'</m:t>
                    </m:r>
                  </m:sup>
                </m:sSup>
              </m:den>
            </m:f>
            <m:sSub>
              <m:sSubPr>
                <m:ctrlPr>
                  <w:rPr>
                    <w:rFonts w:ascii="Cambria Math" w:hAnsi="Cambria Math"/>
                    <w:i/>
                  </w:rPr>
                </m:ctrlPr>
              </m:sSubPr>
              <m:e>
                <m:r>
                  <w:rPr>
                    <w:rFonts w:ascii="Cambria Math" w:hAnsi="Cambria Math"/>
                  </w:rPr>
                  <m:t>|</m:t>
                </m:r>
              </m:e>
              <m:sub>
                <m:sSub>
                  <m:sSubPr>
                    <m:ctrlPr>
                      <w:rPr>
                        <w:rFonts w:ascii="Cambria Math" w:hAnsi="Cambria Math"/>
                        <w:i/>
                      </w:rPr>
                    </m:ctrlPr>
                  </m:sSubPr>
                  <m:e>
                    <m:r>
                      <w:rPr>
                        <w:rFonts w:ascii="Cambria Math" w:hAnsi="Cambria Math"/>
                      </w:rPr>
                      <m:t>ϑ</m:t>
                    </m:r>
                  </m:e>
                  <m:sub>
                    <m:r>
                      <w:rPr>
                        <w:rFonts w:ascii="Cambria Math" w:hAnsi="Cambria Math"/>
                      </w:rPr>
                      <m:t>0</m:t>
                    </m:r>
                  </m:sub>
                </m:sSub>
              </m:sub>
            </m:sSub>
          </m:e>
        </m:d>
        <m:r>
          <w:rPr>
            <w:rFonts w:ascii="Cambria Math" w:hAnsi="Cambria Math"/>
          </w:rPr>
          <m:t>,    S=-E</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rPr>
                  <m:t>(ϑ)</m:t>
                </m:r>
              </m:num>
              <m:den>
                <m:r>
                  <w:rPr>
                    <w:rFonts w:ascii="Cambria Math" w:hAnsi="Cambria Math"/>
                  </w:rPr>
                  <m:t>∂ϑ</m:t>
                </m:r>
                <m:sSup>
                  <m:sSupPr>
                    <m:ctrlPr>
                      <w:rPr>
                        <w:rFonts w:ascii="Cambria Math" w:hAnsi="Cambria Math"/>
                        <w:i/>
                      </w:rPr>
                    </m:ctrlPr>
                  </m:sSupPr>
                  <m:e>
                    <m:r>
                      <w:rPr>
                        <w:rFonts w:ascii="Cambria Math" w:hAnsi="Cambria Math"/>
                      </w:rPr>
                      <m:t>∂ϑ</m:t>
                    </m:r>
                  </m:e>
                  <m:sup>
                    <m:r>
                      <w:rPr>
                        <w:rFonts w:ascii="Cambria Math" w:hAnsi="Cambria Math"/>
                      </w:rPr>
                      <m:t>'</m:t>
                    </m:r>
                  </m:sup>
                </m:sSup>
              </m:den>
            </m:f>
            <m:sSub>
              <m:sSubPr>
                <m:ctrlPr>
                  <w:rPr>
                    <w:rFonts w:ascii="Cambria Math" w:hAnsi="Cambria Math"/>
                    <w:i/>
                  </w:rPr>
                </m:ctrlPr>
              </m:sSubPr>
              <m:e>
                <m:r>
                  <w:rPr>
                    <w:rFonts w:ascii="Cambria Math" w:hAnsi="Cambria Math"/>
                  </w:rPr>
                  <m:t>|</m:t>
                </m:r>
              </m:e>
              <m:sub>
                <m:sSub>
                  <m:sSubPr>
                    <m:ctrlPr>
                      <w:rPr>
                        <w:rFonts w:ascii="Cambria Math" w:hAnsi="Cambria Math"/>
                        <w:i/>
                      </w:rPr>
                    </m:ctrlPr>
                  </m:sSubPr>
                  <m:e>
                    <m:r>
                      <w:rPr>
                        <w:rFonts w:ascii="Cambria Math" w:hAnsi="Cambria Math"/>
                      </w:rPr>
                      <m:t>ϑ</m:t>
                    </m:r>
                  </m:e>
                  <m:sub>
                    <m:r>
                      <w:rPr>
                        <w:rFonts w:ascii="Cambria Math" w:hAnsi="Cambria Math"/>
                      </w:rPr>
                      <m:t>0</m:t>
                    </m:r>
                  </m:sub>
                </m:sSub>
              </m:sub>
            </m:sSub>
          </m:e>
        </m:d>
      </m:oMath>
      <w:r>
        <w:t xml:space="preserve">                          (17)</w:t>
      </w:r>
    </w:p>
    <w:p w:rsidR="00EC02EE" w:rsidRDefault="00EC02EE" w:rsidP="00EC02EE">
      <w:pPr>
        <w:autoSpaceDE w:val="0"/>
        <w:autoSpaceDN w:val="0"/>
        <w:adjustRightInd w:val="0"/>
        <w:spacing w:line="360" w:lineRule="auto"/>
        <w:ind w:firstLine="708"/>
        <w:jc w:val="both"/>
      </w:pPr>
      <w:r w:rsidRPr="00EC02EE">
        <w:t>Com</w:t>
      </w:r>
    </w:p>
    <w:p w:rsidR="009970D3" w:rsidRDefault="000E6CF9" w:rsidP="00EC02EE">
      <w:pPr>
        <w:autoSpaceDE w:val="0"/>
        <w:autoSpaceDN w:val="0"/>
        <w:adjustRightInd w:val="0"/>
        <w:spacing w:line="360" w:lineRule="auto"/>
        <w:ind w:firstLine="708"/>
        <w:jc w:val="both"/>
      </w:pPr>
      <m:oMathPara>
        <m:oMath>
          <m:sSub>
            <m:sSubPr>
              <m:ctrlPr>
                <w:rPr>
                  <w:rFonts w:ascii="Cambria Math" w:hAnsi="Cambria Math"/>
                  <w:i/>
                </w:rPr>
              </m:ctrlPr>
            </m:sSubPr>
            <m:e>
              <m:r>
                <w:rPr>
                  <w:rFonts w:ascii="Cambria Math" w:hAnsi="Cambria Math"/>
                </w:rPr>
                <m:t xml:space="preserve">              l</m:t>
              </m:r>
            </m:e>
            <m:sub>
              <m:r>
                <w:rPr>
                  <w:rFonts w:ascii="Cambria Math" w:hAnsi="Cambria Math"/>
                </w:rPr>
                <m:t>t</m:t>
              </m:r>
            </m:sub>
          </m:sSub>
          <m:d>
            <m:dPr>
              <m:ctrlPr>
                <w:rPr>
                  <w:rFonts w:ascii="Cambria Math" w:hAnsi="Cambria Math"/>
                  <w:i/>
                </w:rPr>
              </m:ctrlPr>
            </m:dPr>
            <m:e>
              <m:r>
                <w:rPr>
                  <w:rFonts w:ascii="Cambria Math" w:hAnsi="Cambria Math"/>
                </w:rPr>
                <m:t>ϑ</m:t>
              </m:r>
            </m:e>
          </m:d>
          <m:r>
            <w:rPr>
              <w:rFonts w:ascii="Cambria Math" w:hAnsi="Cambria Math"/>
            </w:rPr>
            <m:t>=-</m:t>
          </m:r>
          <m:f>
            <m:fPr>
              <m:ctrlPr>
                <w:rPr>
                  <w:rFonts w:ascii="Cambria Math" w:hAnsi="Cambria Math"/>
                  <w:i/>
                </w:rPr>
              </m:ctrlPr>
            </m:fPr>
            <m:num>
              <m:r>
                <w:rPr>
                  <w:rFonts w:ascii="Cambria Math" w:hAnsi="Cambria Math"/>
                </w:rPr>
                <m:t>K</m:t>
              </m:r>
            </m:num>
            <m:den>
              <m: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2</m:t>
                  </m:r>
                  <m:r>
                    <m:rPr>
                      <m:sty m:val="p"/>
                    </m:rPr>
                    <w:rPr>
                      <w:rFonts w:ascii="Cambria Math" w:hAnsi="Cambria Math"/>
                    </w:rPr>
                    <m:t>π</m:t>
                  </m:r>
                  <m:ctrlPr>
                    <w:rPr>
                      <w:rFonts w:ascii="Cambria Math" w:hAnsi="Cambria Math"/>
                    </w:rPr>
                  </m:ctrlPr>
                </m:e>
              </m:d>
            </m:e>
          </m:func>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ln</m:t>
          </m:r>
          <m:d>
            <m:dPr>
              <m:begChr m:val="|"/>
              <m:endChr m:val="|"/>
              <m:ctrlPr>
                <w:rPr>
                  <w:rFonts w:ascii="Cambria Math" w:hAnsi="Cambria Math"/>
                  <w:i/>
                </w:rPr>
              </m:ctrlPr>
            </m:dPr>
            <m:e>
              <m:sSub>
                <m:sSubPr>
                  <m:ctrlPr>
                    <w:rPr>
                      <w:rFonts w:ascii="Cambria Math" w:hAnsi="Cambria Math"/>
                    </w:rPr>
                  </m:ctrlPr>
                </m:sSubPr>
                <m:e>
                  <m:r>
                    <m:rPr>
                      <m:sty m:val="p"/>
                    </m:rPr>
                    <w:rPr>
                      <w:rFonts w:ascii="Cambria Math" w:hAnsi="Cambria Math"/>
                    </w:rPr>
                    <m:t>Σ</m:t>
                  </m:r>
                </m:e>
                <m:sub>
                  <m:r>
                    <w:rPr>
                      <w:rFonts w:ascii="Cambria Math" w:hAnsi="Cambria Math"/>
                    </w:rPr>
                    <m:t>t|t-1</m:t>
                  </m:r>
                </m:sub>
              </m:sSub>
              <m:d>
                <m:dPr>
                  <m:ctrlPr>
                    <w:rPr>
                      <w:rFonts w:ascii="Cambria Math" w:hAnsi="Cambria Math"/>
                      <w:i/>
                    </w:rPr>
                  </m:ctrlPr>
                </m:dPr>
                <m:e>
                  <m:r>
                    <w:rPr>
                      <w:rFonts w:ascii="Cambria Math" w:hAnsi="Cambria Math"/>
                    </w:rPr>
                    <m:t>ϑ</m:t>
                  </m:r>
                </m:e>
              </m:d>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Sup>
            <m:sSubSupPr>
              <m:ctrlPr>
                <w:rPr>
                  <w:rFonts w:ascii="Cambria Math" w:hAnsi="Cambria Math"/>
                  <w:i/>
                </w:rPr>
              </m:ctrlPr>
            </m:sSubSupPr>
            <m:e>
              <m:r>
                <w:rPr>
                  <w:rFonts w:ascii="Cambria Math" w:hAnsi="Cambria Math"/>
                </w:rPr>
                <m:t>υ</m:t>
              </m:r>
            </m:e>
            <m:sub>
              <m:r>
                <w:rPr>
                  <w:rFonts w:ascii="Cambria Math" w:hAnsi="Cambria Math"/>
                </w:rPr>
                <m:t>t</m:t>
              </m:r>
            </m:sub>
            <m:sup>
              <m:r>
                <w:rPr>
                  <w:rFonts w:ascii="Cambria Math" w:hAnsi="Cambria Math"/>
                </w:rPr>
                <m:t>'</m:t>
              </m:r>
            </m:sup>
          </m:sSubSup>
          <m:sSubSup>
            <m:sSubSupPr>
              <m:ctrlPr>
                <w:rPr>
                  <w:rFonts w:ascii="Cambria Math" w:hAnsi="Cambria Math"/>
                </w:rPr>
              </m:ctrlPr>
            </m:sSubSupPr>
            <m:e>
              <m:r>
                <m:rPr>
                  <m:sty m:val="p"/>
                </m:rPr>
                <w:rPr>
                  <w:rFonts w:ascii="Cambria Math" w:hAnsi="Cambria Math"/>
                </w:rPr>
                <m:t>Σ</m:t>
              </m:r>
            </m:e>
            <m:sub>
              <m:r>
                <w:rPr>
                  <w:rFonts w:ascii="Cambria Math" w:hAnsi="Cambria Math"/>
                </w:rPr>
                <m:t>t|t-1</m:t>
              </m:r>
            </m:sub>
            <m:sup>
              <m:r>
                <w:rPr>
                  <w:rFonts w:ascii="Cambria Math" w:hAnsi="Cambria Math"/>
                </w:rPr>
                <m:t>-1</m:t>
              </m:r>
            </m:sup>
          </m:sSubSup>
          <m:d>
            <m:dPr>
              <m:ctrlPr>
                <w:rPr>
                  <w:rFonts w:ascii="Cambria Math" w:hAnsi="Cambria Math"/>
                  <w:i/>
                </w:rPr>
              </m:ctrlPr>
            </m:dPr>
            <m:e>
              <m:r>
                <w:rPr>
                  <w:rFonts w:ascii="Cambria Math" w:hAnsi="Cambria Math"/>
                </w:rPr>
                <m:t>ϑ</m:t>
              </m:r>
            </m:e>
          </m:d>
          <m:sSub>
            <m:sSubPr>
              <m:ctrlPr>
                <w:rPr>
                  <w:rFonts w:ascii="Cambria Math" w:hAnsi="Cambria Math"/>
                  <w:i/>
                </w:rPr>
              </m:ctrlPr>
            </m:sSubPr>
            <m:e>
              <m:r>
                <w:rPr>
                  <w:rFonts w:ascii="Cambria Math" w:hAnsi="Cambria Math"/>
                </w:rPr>
                <m:t>υ</m:t>
              </m:r>
            </m:e>
            <m:sub>
              <m:r>
                <w:rPr>
                  <w:rFonts w:ascii="Cambria Math" w:hAnsi="Cambria Math"/>
                </w:rPr>
                <m:t>t</m:t>
              </m:r>
            </m:sub>
          </m:sSub>
          <m:r>
            <w:rPr>
              <w:rFonts w:ascii="Cambria Math" w:hAnsi="Cambria Math"/>
            </w:rPr>
            <m:t xml:space="preserve">                          (18)</m:t>
          </m:r>
        </m:oMath>
      </m:oMathPara>
    </w:p>
    <w:p w:rsidR="00EC02EE" w:rsidRDefault="00EC02EE" w:rsidP="00EC02EE">
      <w:pPr>
        <w:autoSpaceDE w:val="0"/>
        <w:autoSpaceDN w:val="0"/>
        <w:adjustRightInd w:val="0"/>
        <w:spacing w:line="360" w:lineRule="auto"/>
        <w:ind w:firstLine="708"/>
        <w:jc w:val="both"/>
      </w:pPr>
      <w:r>
        <w:t>Hafner e Herwartz (2008) forneceram express</w:t>
      </w:r>
      <w:r w:rsidR="0011153D">
        <w:t>õ</w:t>
      </w:r>
      <w:r>
        <w:t>es para D e S e de suas estimativas. Para os testes de signi</w:t>
      </w:r>
      <w:r w:rsidR="0011153D">
        <w:t>fi</w:t>
      </w:r>
      <w:r>
        <w:t>c</w:t>
      </w:r>
      <w:r w:rsidR="0011153D">
        <w:t>â</w:t>
      </w:r>
      <w:r>
        <w:t>ncia Hafner e Herwartz (2008) mostram que a utiliza</w:t>
      </w:r>
      <w:r w:rsidR="0011153D">
        <w:t>ção</w:t>
      </w:r>
      <w:r>
        <w:t xml:space="preserve"> de t</w:t>
      </w:r>
      <w:r w:rsidR="0011153D">
        <w:t>é</w:t>
      </w:r>
      <w:r>
        <w:t>cnicas anal</w:t>
      </w:r>
      <w:r w:rsidR="0011153D">
        <w:t>í</w:t>
      </w:r>
      <w:r>
        <w:t>ticas para</w:t>
      </w:r>
      <w:r w:rsidR="00B90C56">
        <w:t xml:space="preserve"> </w:t>
      </w:r>
      <m:oMath>
        <m:sSub>
          <m:sSubPr>
            <m:ctrlPr>
              <w:rPr>
                <w:rFonts w:ascii="Cambria Math" w:hAnsi="Cambria Math"/>
              </w:rPr>
            </m:ctrlPr>
          </m:sSubPr>
          <m:e>
            <m:r>
              <m:rPr>
                <m:sty m:val="p"/>
              </m:rPr>
              <w:rPr>
                <w:rFonts w:ascii="Cambria Math" w:hAnsi="Cambria Math"/>
              </w:rPr>
              <m:t>Ω</m:t>
            </m:r>
          </m:e>
          <m:sub>
            <m:r>
              <m:rPr>
                <m:sty m:val="p"/>
              </m:rPr>
              <w:rPr>
                <w:rFonts w:ascii="Cambria Math" w:hAnsi="Cambria Math"/>
              </w:rPr>
              <m:t>ϑ</m:t>
            </m:r>
          </m:sub>
        </m:sSub>
      </m:oMath>
      <w:r>
        <w:t xml:space="preserve"> </w:t>
      </w:r>
      <w:r w:rsidR="0011153D">
        <w:t>é</w:t>
      </w:r>
      <w:r>
        <w:t xml:space="preserve"> de longe superior ao uso de deriva</w:t>
      </w:r>
      <w:r w:rsidR="0011153D">
        <w:t>ção</w:t>
      </w:r>
      <w:r>
        <w:t xml:space="preserve"> num</w:t>
      </w:r>
      <w:r w:rsidR="0011153D">
        <w:t>é</w:t>
      </w:r>
      <w:r>
        <w:t>rica em termos do poder do teste.</w:t>
      </w:r>
    </w:p>
    <w:p w:rsidR="00EC02EE" w:rsidRDefault="00EC02EE" w:rsidP="00EC02EE">
      <w:pPr>
        <w:autoSpaceDE w:val="0"/>
        <w:autoSpaceDN w:val="0"/>
        <w:adjustRightInd w:val="0"/>
        <w:spacing w:line="360" w:lineRule="auto"/>
        <w:ind w:firstLine="708"/>
        <w:jc w:val="both"/>
      </w:pPr>
      <w:r w:rsidRPr="00EC02EE">
        <w:t>Os autores prop</w:t>
      </w:r>
      <w:r w:rsidR="0011153D">
        <w:t>õ</w:t>
      </w:r>
      <w:r w:rsidRPr="00EC02EE">
        <w:t>em a seguinte estat</w:t>
      </w:r>
      <w:r w:rsidR="0011153D">
        <w:t>í</w:t>
      </w:r>
      <w:r w:rsidRPr="00EC02EE">
        <w:t>stica Wald padr</w:t>
      </w:r>
      <w:r w:rsidR="0011153D">
        <w:t>ã</w:t>
      </w:r>
      <w:r w:rsidRPr="00EC02EE">
        <w:t>o para testar as hip</w:t>
      </w:r>
      <w:r w:rsidR="0011153D">
        <w:t>ó</w:t>
      </w:r>
      <w:r w:rsidRPr="00EC02EE">
        <w:t>teses</w:t>
      </w:r>
      <w:r w:rsidR="00B90C56">
        <w:t xml:space="preserve"> </w:t>
      </w: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:Qυ=0</m:t>
        </m:r>
      </m:oMath>
      <w:r w:rsidRPr="00EC02EE">
        <w:t>,</w:t>
      </w:r>
    </w:p>
    <w:p w:rsidR="00B90C56" w:rsidRDefault="000E6CF9" w:rsidP="00EC02EE">
      <w:pPr>
        <w:autoSpaceDE w:val="0"/>
        <w:autoSpaceDN w:val="0"/>
        <w:adjustRightInd w:val="0"/>
        <w:spacing w:line="360" w:lineRule="auto"/>
        <w:ind w:firstLine="708"/>
        <w:jc w:val="both"/>
      </w:pPr>
      <m:oMathPara>
        <m:oMath>
          <m:sSub>
            <m:sSubPr>
              <m:ctrlPr>
                <w:rPr>
                  <w:rFonts w:ascii="Cambria Math" w:hAnsi="Cambria Math"/>
                  <w:i/>
                </w:rPr>
              </m:ctrlPr>
            </m:sSubPr>
            <m:e>
              <m:r>
                <w:rPr>
                  <w:rFonts w:ascii="Cambria Math" w:hAnsi="Cambria Math"/>
                </w:rPr>
                <m:t xml:space="preserve">                                              W</m:t>
              </m:r>
            </m:e>
            <m:sub>
              <m:r>
                <w:rPr>
                  <w:rFonts w:ascii="Cambria Math" w:hAnsi="Cambria Math"/>
                </w:rPr>
                <m:t>T</m:t>
              </m:r>
            </m:sub>
          </m:sSub>
          <m:r>
            <w:rPr>
              <w:rFonts w:ascii="Cambria Math" w:hAnsi="Cambria Math"/>
            </w:rPr>
            <m:t>=T</m:t>
          </m:r>
          <m:sSup>
            <m:sSupPr>
              <m:ctrlPr>
                <w:rPr>
                  <w:rFonts w:ascii="Cambria Math" w:hAnsi="Cambria Math"/>
                  <w:i/>
                </w:rPr>
              </m:ctrlPr>
            </m:sSupPr>
            <m:e>
              <m:d>
                <m:dPr>
                  <m:ctrlPr>
                    <w:rPr>
                      <w:rFonts w:ascii="Cambria Math" w:hAnsi="Cambria Math"/>
                      <w:i/>
                    </w:rPr>
                  </m:ctrlPr>
                </m:dPr>
                <m:e>
                  <m:r>
                    <w:rPr>
                      <w:rFonts w:ascii="Cambria Math" w:hAnsi="Cambria Math"/>
                    </w:rPr>
                    <m:t>Q</m:t>
                  </m:r>
                  <m:acc>
                    <m:accPr>
                      <m:ctrlPr>
                        <w:rPr>
                          <w:rFonts w:ascii="Cambria Math" w:hAnsi="Cambria Math"/>
                          <w:i/>
                        </w:rPr>
                      </m:ctrlPr>
                    </m:accPr>
                    <m:e>
                      <m:r>
                        <w:rPr>
                          <w:rFonts w:ascii="Cambria Math" w:hAnsi="Cambria Math"/>
                        </w:rPr>
                        <m:t>ϑ</m:t>
                      </m:r>
                    </m:e>
                  </m:acc>
                </m:e>
              </m:d>
            </m:e>
            <m:sup>
              <m:r>
                <w:rPr>
                  <w:rFonts w:ascii="Cambria Math" w:hAnsi="Cambria Math"/>
                </w:rPr>
                <m:t>'</m:t>
              </m:r>
            </m:sup>
          </m:sSup>
          <m:sSup>
            <m:sSupPr>
              <m:ctrlPr>
                <w:rPr>
                  <w:rFonts w:ascii="Cambria Math" w:hAnsi="Cambria Math"/>
                  <w:i/>
                </w:rPr>
              </m:ctrlPr>
            </m:sSupPr>
            <m:e>
              <m:d>
                <m:dPr>
                  <m:ctrlPr>
                    <w:rPr>
                      <w:rFonts w:ascii="Cambria Math" w:hAnsi="Cambria Math"/>
                      <w:i/>
                    </w:rPr>
                  </m:ctrlPr>
                </m:dPr>
                <m:e>
                  <m:r>
                    <w:rPr>
                      <w:rFonts w:ascii="Cambria Math" w:hAnsi="Cambria Math"/>
                    </w:rPr>
                    <m:t>Q</m:t>
                  </m:r>
                  <m:sSub>
                    <m:sSubPr>
                      <m:ctrlPr>
                        <w:rPr>
                          <w:rFonts w:ascii="Cambria Math" w:hAnsi="Cambria Math"/>
                          <w:i/>
                        </w:rPr>
                      </m:ctrlPr>
                    </m:sSubPr>
                    <m:e>
                      <m:acc>
                        <m:accPr>
                          <m:ctrlPr>
                            <w:rPr>
                              <w:rFonts w:ascii="Cambria Math" w:hAnsi="Cambria Math"/>
                              <w:i/>
                            </w:rPr>
                          </m:ctrlPr>
                        </m:accPr>
                        <m:e>
                          <m:r>
                            <m:rPr>
                              <m:sty m:val="p"/>
                            </m:rPr>
                            <w:rPr>
                              <w:rFonts w:ascii="Cambria Math" w:hAnsi="Cambria Math"/>
                            </w:rPr>
                            <m:t>Σ</m:t>
                          </m:r>
                        </m:e>
                      </m:acc>
                    </m:e>
                    <m:sub>
                      <m:r>
                        <w:rPr>
                          <w:rFonts w:ascii="Cambria Math" w:hAnsi="Cambria Math"/>
                        </w:rPr>
                        <m:t>ϑ</m:t>
                      </m:r>
                    </m:sub>
                  </m:sSub>
                  <m:sSup>
                    <m:sSupPr>
                      <m:ctrlPr>
                        <w:rPr>
                          <w:rFonts w:ascii="Cambria Math" w:hAnsi="Cambria Math"/>
                          <w:i/>
                        </w:rPr>
                      </m:ctrlPr>
                    </m:sSupPr>
                    <m:e>
                      <m:r>
                        <w:rPr>
                          <w:rFonts w:ascii="Cambria Math" w:hAnsi="Cambria Math"/>
                        </w:rPr>
                        <m:t>Q</m:t>
                      </m:r>
                    </m:e>
                    <m:sup>
                      <m:r>
                        <w:rPr>
                          <w:rFonts w:ascii="Cambria Math" w:hAnsi="Cambria Math"/>
                        </w:rPr>
                        <m:t>'</m:t>
                      </m:r>
                    </m:sup>
                  </m:sSup>
                </m:e>
              </m:d>
            </m:e>
            <m:sup>
              <m:r>
                <w:rPr>
                  <w:rFonts w:ascii="Cambria Math" w:hAnsi="Cambria Math"/>
                </w:rPr>
                <m:t>-1</m:t>
              </m:r>
            </m:sup>
          </m:sSup>
          <m:d>
            <m:dPr>
              <m:ctrlPr>
                <w:rPr>
                  <w:rFonts w:ascii="Cambria Math" w:hAnsi="Cambria Math"/>
                  <w:i/>
                </w:rPr>
              </m:ctrlPr>
            </m:dPr>
            <m:e>
              <m:r>
                <w:rPr>
                  <w:rFonts w:ascii="Cambria Math" w:hAnsi="Cambria Math"/>
                </w:rPr>
                <m:t>Q</m:t>
              </m:r>
              <m:acc>
                <m:accPr>
                  <m:ctrlPr>
                    <w:rPr>
                      <w:rFonts w:ascii="Cambria Math" w:hAnsi="Cambria Math"/>
                      <w:i/>
                    </w:rPr>
                  </m:ctrlPr>
                </m:accPr>
                <m:e>
                  <m:r>
                    <w:rPr>
                      <w:rFonts w:ascii="Cambria Math" w:hAnsi="Cambria Math"/>
                    </w:rPr>
                    <m:t>ϑ</m:t>
                  </m:r>
                </m:e>
              </m:acc>
            </m:e>
          </m:d>
          <m:r>
            <w:rPr>
              <w:rFonts w:ascii="Cambria Math" w:hAnsi="Cambria Math"/>
            </w:rPr>
            <m:t xml:space="preserve">                                         (19)</m:t>
          </m:r>
        </m:oMath>
      </m:oMathPara>
    </w:p>
    <w:p w:rsidR="00B90C56" w:rsidRDefault="00B90C56" w:rsidP="00EC02EE">
      <w:pPr>
        <w:autoSpaceDE w:val="0"/>
        <w:autoSpaceDN w:val="0"/>
        <w:adjustRightInd w:val="0"/>
        <w:spacing w:line="360" w:lineRule="auto"/>
        <w:ind w:firstLine="708"/>
        <w:jc w:val="both"/>
      </w:pPr>
    </w:p>
    <w:p w:rsidR="00EC02EE" w:rsidRDefault="00EC02EE" w:rsidP="00EC02EE">
      <w:pPr>
        <w:autoSpaceDE w:val="0"/>
        <w:autoSpaceDN w:val="0"/>
        <w:adjustRightInd w:val="0"/>
        <w:spacing w:line="360" w:lineRule="auto"/>
        <w:ind w:firstLine="708"/>
        <w:jc w:val="both"/>
      </w:pPr>
      <w:r>
        <w:t xml:space="preserve">Usando </w:t>
      </w:r>
      <m:oMath>
        <m:rad>
          <m:radPr>
            <m:degHide m:val="on"/>
            <m:ctrlPr>
              <w:rPr>
                <w:rFonts w:ascii="Cambria Math" w:hAnsi="Cambria Math"/>
                <w:i/>
              </w:rPr>
            </m:ctrlPr>
          </m:radPr>
          <m:deg/>
          <m:e>
            <m:r>
              <w:rPr>
                <w:rFonts w:ascii="Cambria Math" w:hAnsi="Cambria Math"/>
              </w:rPr>
              <m:t>T</m:t>
            </m:r>
          </m:e>
        </m:rad>
        <m:d>
          <m:dPr>
            <m:ctrlPr>
              <w:rPr>
                <w:rFonts w:ascii="Cambria Math" w:hAnsi="Cambria Math"/>
                <w:i/>
              </w:rPr>
            </m:ctrlPr>
          </m:dPr>
          <m:e>
            <m:acc>
              <m:accPr>
                <m:ctrlPr>
                  <w:rPr>
                    <w:rFonts w:ascii="Cambria Math" w:hAnsi="Cambria Math"/>
                    <w:i/>
                  </w:rPr>
                </m:ctrlPr>
              </m:accPr>
              <m:e>
                <m:r>
                  <w:rPr>
                    <w:rFonts w:ascii="Cambria Math" w:hAnsi="Cambria Math"/>
                  </w:rPr>
                  <m:t>ϑ</m:t>
                </m:r>
              </m:e>
            </m:acc>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0</m:t>
                </m:r>
              </m:sub>
            </m:sSub>
          </m:e>
        </m:d>
        <m:box>
          <m:boxPr>
            <m:opEmu m:val="on"/>
            <m:ctrlPr>
              <w:rPr>
                <w:rFonts w:ascii="Cambria Math" w:hAnsi="Cambria Math" w:cs="Cambria Math"/>
                <w:i/>
              </w:rPr>
            </m:ctrlPr>
          </m:boxPr>
          <m:e>
            <m:box>
              <m:boxPr>
                <m:opEmu m:val="on"/>
                <m:ctrlPr>
                  <w:rPr>
                    <w:rFonts w:ascii="Cambria Math" w:hAnsi="Cambria Math" w:cs="Cambria Math"/>
                    <w:i/>
                  </w:rPr>
                </m:ctrlPr>
              </m:boxPr>
              <m:e>
                <m:groupChr>
                  <m:groupChrPr>
                    <m:chr m:val="→"/>
                    <m:vertJc m:val="bot"/>
                    <m:ctrlPr>
                      <w:rPr>
                        <w:rFonts w:ascii="Cambria Math" w:hAnsi="Cambria Math" w:cs="Cambria Math"/>
                        <w:i/>
                      </w:rPr>
                    </m:ctrlPr>
                  </m:groupChrPr>
                  <m:e>
                    <m:r>
                      <w:rPr>
                        <w:rFonts w:ascii="Cambria Math" w:hAnsi="Cambria Math" w:cs="Cambria Math"/>
                      </w:rPr>
                      <m:t>ass</m:t>
                    </m:r>
                  </m:e>
                </m:groupChr>
              </m:e>
            </m:box>
          </m:e>
        </m:box>
        <m:r>
          <w:rPr>
            <w:rFonts w:ascii="Cambria Math" w:hAnsi="Cambria Math"/>
          </w:rPr>
          <m:t>N</m:t>
        </m:r>
        <m:d>
          <m:dPr>
            <m:ctrlPr>
              <w:rPr>
                <w:rFonts w:ascii="Cambria Math" w:hAnsi="Cambria Math"/>
                <w:i/>
              </w:rPr>
            </m:ctrlPr>
          </m:dPr>
          <m:e>
            <m:r>
              <w:rPr>
                <w:rFonts w:ascii="Cambria Math" w:hAnsi="Cambria Math"/>
              </w:rPr>
              <m:t>0,</m:t>
            </m:r>
            <m:sSub>
              <m:sSubPr>
                <m:ctrlPr>
                  <w:rPr>
                    <w:rFonts w:ascii="Cambria Math" w:hAnsi="Cambria Math"/>
                  </w:rPr>
                </m:ctrlPr>
              </m:sSubPr>
              <m:e>
                <m:r>
                  <m:rPr>
                    <m:sty m:val="p"/>
                  </m:rPr>
                  <w:rPr>
                    <w:rFonts w:ascii="Cambria Math" w:hAnsi="Cambria Math"/>
                  </w:rPr>
                  <m:t>Ω</m:t>
                </m:r>
              </m:e>
              <m:sub>
                <m:r>
                  <m:rPr>
                    <m:sty m:val="p"/>
                  </m:rPr>
                  <w:rPr>
                    <w:rFonts w:ascii="Cambria Math" w:hAnsi="Cambria Math"/>
                  </w:rPr>
                  <m:t>ϑ</m:t>
                </m:r>
              </m:sub>
            </m:sSub>
            <m:ctrlPr>
              <w:rPr>
                <w:rFonts w:ascii="Cambria Math" w:hAnsi="Cambria Math"/>
              </w:rPr>
            </m:ctrlPr>
          </m:e>
        </m:d>
      </m:oMath>
      <w:r w:rsidR="00661100">
        <w:t xml:space="preserve"> </w:t>
      </w:r>
      <w:r>
        <w:t>e a proposi</w:t>
      </w:r>
      <w:r w:rsidR="0011153D">
        <w:t>ção</w:t>
      </w:r>
      <w:r>
        <w:t xml:space="preserve"> de Lutkepohl (1993), a distribui</w:t>
      </w:r>
      <w:r w:rsidR="0011153D">
        <w:t>ção</w:t>
      </w:r>
      <w:r>
        <w:t xml:space="preserve"> assintótica da estat</w:t>
      </w:r>
      <w:r w:rsidR="0011153D">
        <w:t>í</w:t>
      </w:r>
      <w:r>
        <w:t>stica Wald e dada por</w:t>
      </w:r>
    </w:p>
    <w:p w:rsidR="00661100" w:rsidRDefault="000E6CF9" w:rsidP="00EC02EE">
      <w:pPr>
        <w:autoSpaceDE w:val="0"/>
        <w:autoSpaceDN w:val="0"/>
        <w:adjustRightInd w:val="0"/>
        <w:spacing w:line="360" w:lineRule="auto"/>
        <w:ind w:firstLine="708"/>
        <w:jc w:val="both"/>
      </w:pPr>
      <m:oMath>
        <m:sSub>
          <m:sSubPr>
            <m:ctrlPr>
              <w:rPr>
                <w:rFonts w:ascii="Cambria Math" w:hAnsi="Cambria Math" w:cs="Cambria Math"/>
                <w:i/>
              </w:rPr>
            </m:ctrlPr>
          </m:sSubPr>
          <m:e>
            <m:r>
              <w:rPr>
                <w:rFonts w:ascii="Cambria Math" w:hAnsi="Cambria Math" w:cs="Cambria Math"/>
              </w:rPr>
              <m:t xml:space="preserve">                                                            W</m:t>
            </m:r>
          </m:e>
          <m:sub>
            <m:r>
              <w:rPr>
                <w:rFonts w:ascii="Cambria Math" w:hAnsi="Cambria Math" w:cs="Cambria Math"/>
              </w:rPr>
              <m:t>T</m:t>
            </m:r>
          </m:sub>
        </m:sSub>
        <m:box>
          <m:boxPr>
            <m:opEmu m:val="on"/>
            <m:ctrlPr>
              <w:rPr>
                <w:rFonts w:ascii="Cambria Math" w:hAnsi="Cambria Math" w:cs="Cambria Math"/>
                <w:i/>
              </w:rPr>
            </m:ctrlPr>
          </m:boxPr>
          <m:e>
            <m:box>
              <m:boxPr>
                <m:opEmu m:val="on"/>
                <m:ctrlPr>
                  <w:rPr>
                    <w:rFonts w:ascii="Cambria Math" w:hAnsi="Cambria Math" w:cs="Cambria Math"/>
                    <w:i/>
                  </w:rPr>
                </m:ctrlPr>
              </m:boxPr>
              <m:e>
                <m:groupChr>
                  <m:groupChrPr>
                    <m:chr m:val="→"/>
                    <m:vertJc m:val="bot"/>
                    <m:ctrlPr>
                      <w:rPr>
                        <w:rFonts w:ascii="Cambria Math" w:hAnsi="Cambria Math" w:cs="Cambria Math"/>
                        <w:i/>
                      </w:rPr>
                    </m:ctrlPr>
                  </m:groupChrPr>
                  <m:e>
                    <m:r>
                      <w:rPr>
                        <w:rFonts w:ascii="Cambria Math" w:hAnsi="Cambria Math" w:cs="Cambria Math"/>
                      </w:rPr>
                      <m:t>ass</m:t>
                    </m:r>
                  </m:e>
                </m:groupChr>
              </m:e>
            </m:box>
          </m:e>
        </m:box>
        <m:sSubSup>
          <m:sSubSupPr>
            <m:ctrlPr>
              <w:rPr>
                <w:rFonts w:ascii="Cambria Math" w:hAnsi="Cambria Math" w:cs="Cambria Math"/>
                <w:i/>
              </w:rPr>
            </m:ctrlPr>
          </m:sSubSupPr>
          <m:e>
            <m:r>
              <w:rPr>
                <w:rFonts w:ascii="Cambria Math" w:hAnsi="Cambria Math" w:cs="Cambria Math"/>
              </w:rPr>
              <m:t>χ</m:t>
            </m:r>
          </m:e>
          <m:sub>
            <m:r>
              <w:rPr>
                <w:rFonts w:ascii="Cambria Math" w:hAnsi="Cambria Math" w:cs="Cambria Math"/>
              </w:rPr>
              <m:t>k(K-k)</m:t>
            </m:r>
          </m:sub>
          <m:sup>
            <m:r>
              <w:rPr>
                <w:rFonts w:ascii="Cambria Math" w:hAnsi="Cambria Math" w:cs="Cambria Math"/>
              </w:rPr>
              <m:t>2</m:t>
            </m:r>
          </m:sup>
        </m:sSubSup>
      </m:oMath>
      <w:r w:rsidR="00610FA3">
        <w:t xml:space="preserve">                                               (20)</w:t>
      </w:r>
    </w:p>
    <w:p w:rsidR="00EC02EE" w:rsidRDefault="00EC02EE" w:rsidP="00EC02EE">
      <w:pPr>
        <w:autoSpaceDE w:val="0"/>
        <w:autoSpaceDN w:val="0"/>
        <w:adjustRightInd w:val="0"/>
        <w:spacing w:line="360" w:lineRule="auto"/>
        <w:ind w:firstLine="708"/>
        <w:jc w:val="both"/>
      </w:pPr>
      <w:r>
        <w:lastRenderedPageBreak/>
        <w:t>Uma estat</w:t>
      </w:r>
      <w:r w:rsidR="0011153D">
        <w:t>í</w:t>
      </w:r>
      <w:r>
        <w:t>stica an</w:t>
      </w:r>
      <w:r w:rsidR="0011153D">
        <w:t>á</w:t>
      </w:r>
      <w:r>
        <w:t>loga pode ser de</w:t>
      </w:r>
      <w:r w:rsidR="0011153D">
        <w:t>fi</w:t>
      </w:r>
      <w:r>
        <w:t>nida para o modelo Diagonal VEC com base na hip</w:t>
      </w:r>
      <w:r w:rsidR="0011153D">
        <w:t>ó</w:t>
      </w:r>
      <w:r>
        <w:t>tese nula</w:t>
      </w:r>
      <m:oMath>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:Qυ=0</m:t>
        </m:r>
      </m:oMath>
      <w:r>
        <w:t>, desde que as condi</w:t>
      </w:r>
      <w:r w:rsidR="0011153D">
        <w:t>ções</w:t>
      </w:r>
      <w:r>
        <w:t xml:space="preserve"> de normalidade assint</w:t>
      </w:r>
      <w:r w:rsidR="0011153D">
        <w:t>ó</w:t>
      </w:r>
      <w:r>
        <w:t>tica dos estimadores forem atendidas. Note-se que os graus de liberdade da estat</w:t>
      </w:r>
      <w:r w:rsidR="0011153D">
        <w:t>í</w:t>
      </w:r>
      <w:r>
        <w:t>stica de Wald para o modelo Diagonal VEC seria</w:t>
      </w:r>
      <m:oMath>
        <m:r>
          <w:rPr>
            <w:rFonts w:ascii="Cambria Math" w:hAnsi="Cambria Math"/>
          </w:rPr>
          <m:t xml:space="preserve"> </m:t>
        </m:r>
        <m:sSup>
          <m:sSupPr>
            <m:ctrlPr>
              <w:rPr>
                <w:rFonts w:ascii="Cambria Math" w:hAnsi="Cambria Math"/>
                <w:i/>
              </w:rPr>
            </m:ctrlPr>
          </m:sSupPr>
          <m:e>
            <m:r>
              <w:rPr>
                <w:rFonts w:ascii="Cambria Math" w:hAnsi="Cambria Math"/>
              </w:rPr>
              <m:t>k</m:t>
            </m:r>
          </m:e>
          <m:sup>
            <m:r>
              <w:rPr>
                <w:rFonts w:ascii="Cambria Math" w:hAnsi="Cambria Math"/>
              </w:rPr>
              <m:t>*</m:t>
            </m:r>
          </m:sup>
        </m:sSup>
        <m:d>
          <m:dPr>
            <m:ctrlPr>
              <w:rPr>
                <w:rFonts w:ascii="Cambria Math" w:hAnsi="Cambria Math"/>
                <w:i/>
              </w:rPr>
            </m:ctrlPr>
          </m:dPr>
          <m:e>
            <m:sSup>
              <m:sSupPr>
                <m:ctrlPr>
                  <w:rPr>
                    <w:rFonts w:ascii="Cambria Math" w:hAnsi="Cambria Math"/>
                    <w:i/>
                  </w:rPr>
                </m:ctrlPr>
              </m:sSupPr>
              <m:e>
                <m:r>
                  <w:rPr>
                    <w:rFonts w:ascii="Cambria Math" w:hAnsi="Cambria Math"/>
                  </w:rPr>
                  <m:t>K</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m:t>
                </m:r>
              </m:sup>
            </m:sSup>
          </m:e>
        </m:d>
        <m:r>
          <w:rPr>
            <w:rFonts w:ascii="Cambria Math" w:hAnsi="Cambria Math"/>
          </w:rPr>
          <m:t>.</m:t>
        </m:r>
      </m:oMath>
    </w:p>
    <w:p w:rsidR="006A3CC1" w:rsidRDefault="006A3CC1" w:rsidP="00EC02EE">
      <w:pPr>
        <w:autoSpaceDE w:val="0"/>
        <w:autoSpaceDN w:val="0"/>
        <w:adjustRightInd w:val="0"/>
        <w:spacing w:line="360" w:lineRule="auto"/>
        <w:ind w:firstLine="708"/>
        <w:jc w:val="both"/>
      </w:pPr>
    </w:p>
    <w:p w:rsidR="00185CB0" w:rsidRPr="00F9511F" w:rsidRDefault="00185CB0" w:rsidP="00185CB0">
      <w:pPr>
        <w:numPr>
          <w:ilvl w:val="0"/>
          <w:numId w:val="5"/>
        </w:numPr>
        <w:autoSpaceDE w:val="0"/>
        <w:autoSpaceDN w:val="0"/>
        <w:adjustRightInd w:val="0"/>
        <w:rPr>
          <w:rFonts w:eastAsia="Calibri"/>
          <w:b/>
          <w:bCs/>
        </w:rPr>
      </w:pPr>
      <w:r w:rsidRPr="00F9511F">
        <w:rPr>
          <w:rFonts w:eastAsia="Calibri"/>
          <w:b/>
          <w:bCs/>
        </w:rPr>
        <w:t>Descrição dos modelos</w:t>
      </w:r>
      <w:r w:rsidR="000734EE" w:rsidRPr="00F9511F">
        <w:rPr>
          <w:rFonts w:eastAsia="Calibri"/>
          <w:b/>
          <w:bCs/>
        </w:rPr>
        <w:t>, análise de componentes principais e testes utilizados</w:t>
      </w:r>
    </w:p>
    <w:p w:rsidR="005325DA" w:rsidRDefault="005325DA" w:rsidP="00185CB0">
      <w:pPr>
        <w:autoSpaceDE w:val="0"/>
        <w:autoSpaceDN w:val="0"/>
        <w:adjustRightInd w:val="0"/>
        <w:spacing w:line="360" w:lineRule="auto"/>
        <w:ind w:firstLine="708"/>
        <w:jc w:val="both"/>
      </w:pPr>
    </w:p>
    <w:p w:rsidR="007B03FC" w:rsidRDefault="006909DF" w:rsidP="006909DF">
      <w:pPr>
        <w:autoSpaceDE w:val="0"/>
        <w:autoSpaceDN w:val="0"/>
        <w:adjustRightInd w:val="0"/>
        <w:spacing w:line="360" w:lineRule="auto"/>
        <w:ind w:firstLine="708"/>
        <w:jc w:val="both"/>
      </w:pPr>
      <w:r>
        <w:t>Uma relevante questão é a definição de choques de volatilidades cambiais e de mercados financeiros internacionais. Muito embora muitas definições possam ser adaptadas para capturar tais volatilidades, o presente estudo contou com a série temporal</w:t>
      </w:r>
      <w:r w:rsidR="00727022">
        <w:rPr>
          <w:rStyle w:val="Refdenotaderodap"/>
        </w:rPr>
        <w:footnoteReference w:id="5"/>
      </w:r>
      <w:r>
        <w:t xml:space="preserve"> de 48 taxas cambias al</w:t>
      </w:r>
      <w:r w:rsidR="00727022">
        <w:t>é</w:t>
      </w:r>
      <w:r>
        <w:t>m do Ibovespa, no per</w:t>
      </w:r>
      <w:r w:rsidR="00727022">
        <w:t>í</w:t>
      </w:r>
      <w:r>
        <w:t>odo amostral de 02/01/2007 a 31/03/2016, diariamente</w:t>
      </w:r>
      <w:r w:rsidR="00727022">
        <w:rPr>
          <w:rStyle w:val="Refdenotaderodap"/>
        </w:rPr>
        <w:footnoteReference w:id="6"/>
      </w:r>
      <w:r>
        <w:t>. A proposta para tais choques cambiais, visa construir um retorno representativo a partir dos conjuntos de informa</w:t>
      </w:r>
      <w:r w:rsidR="006F6453">
        <w:t>ção</w:t>
      </w:r>
      <w:r>
        <w:t>:</w:t>
      </w:r>
    </w:p>
    <w:p w:rsidR="006909DF" w:rsidRDefault="006909DF" w:rsidP="006F6453">
      <w:pPr>
        <w:pStyle w:val="PargrafodaLista"/>
        <w:numPr>
          <w:ilvl w:val="0"/>
          <w:numId w:val="43"/>
        </w:numPr>
        <w:autoSpaceDE w:val="0"/>
        <w:autoSpaceDN w:val="0"/>
        <w:adjustRightInd w:val="0"/>
        <w:spacing w:line="360" w:lineRule="auto"/>
        <w:jc w:val="both"/>
      </w:pPr>
      <w:r>
        <w:t>IND1 - volatilidades de 48 c</w:t>
      </w:r>
      <w:r w:rsidR="006F6453">
        <w:t>â</w:t>
      </w:r>
      <w:r>
        <w:t>mbios: foram utilizados 48 c</w:t>
      </w:r>
      <w:r w:rsidR="006F6453">
        <w:t>â</w:t>
      </w:r>
      <w:r>
        <w:t>mbios com o intuito de capturar um efeito generalizado de choques cambiais.</w:t>
      </w:r>
    </w:p>
    <w:p w:rsidR="006909DF" w:rsidRDefault="006909DF" w:rsidP="006F6453">
      <w:pPr>
        <w:pStyle w:val="PargrafodaLista"/>
        <w:numPr>
          <w:ilvl w:val="0"/>
          <w:numId w:val="43"/>
        </w:numPr>
        <w:autoSpaceDE w:val="0"/>
        <w:autoSpaceDN w:val="0"/>
        <w:adjustRightInd w:val="0"/>
        <w:spacing w:line="360" w:lineRule="auto"/>
        <w:jc w:val="both"/>
      </w:pPr>
      <w:r>
        <w:t>IND2 - volatilidades de 47 c</w:t>
      </w:r>
      <w:r w:rsidR="006F6453">
        <w:t>â</w:t>
      </w:r>
      <w:r>
        <w:t>mbios (excluindo-se o D</w:t>
      </w:r>
      <w:r w:rsidR="006F6453">
        <w:t>ó</w:t>
      </w:r>
      <w:r>
        <w:t>lar/Real): nesse conjunto de dados, com a exclus</w:t>
      </w:r>
      <w:r w:rsidR="006F6453">
        <w:t>ã</w:t>
      </w:r>
      <w:r>
        <w:t>o do d</w:t>
      </w:r>
      <w:r w:rsidR="006F6453">
        <w:t>ó</w:t>
      </w:r>
      <w:r>
        <w:t>lar, buscamos estimar um efeito contrafactual de todas as demais taxas de c</w:t>
      </w:r>
      <w:r w:rsidR="006F6453">
        <w:t>â</w:t>
      </w:r>
      <w:r>
        <w:t>mbio.</w:t>
      </w:r>
    </w:p>
    <w:p w:rsidR="006909DF" w:rsidRDefault="006909DF" w:rsidP="006F6453">
      <w:pPr>
        <w:pStyle w:val="PargrafodaLista"/>
        <w:numPr>
          <w:ilvl w:val="0"/>
          <w:numId w:val="43"/>
        </w:numPr>
        <w:autoSpaceDE w:val="0"/>
        <w:autoSpaceDN w:val="0"/>
        <w:adjustRightInd w:val="0"/>
        <w:spacing w:line="360" w:lineRule="auto"/>
        <w:jc w:val="both"/>
      </w:pPr>
      <w:r>
        <w:t>D</w:t>
      </w:r>
      <w:r w:rsidR="006F6453">
        <w:t>ó</w:t>
      </w:r>
      <w:r>
        <w:t>lar - volatilidade do D</w:t>
      </w:r>
      <w:r w:rsidR="006F6453">
        <w:t>ó</w:t>
      </w:r>
      <w:r>
        <w:t xml:space="preserve">lar: objetivando capturar os efeitos </w:t>
      </w:r>
      <w:r w:rsidR="006F6453">
        <w:t>ú</w:t>
      </w:r>
      <w:r>
        <w:t>nicos do d</w:t>
      </w:r>
      <w:r w:rsidR="006F6453">
        <w:t>ó</w:t>
      </w:r>
      <w:r>
        <w:t>lar dado sua import</w:t>
      </w:r>
      <w:r w:rsidR="006F6453">
        <w:t>â</w:t>
      </w:r>
      <w:r>
        <w:t>ncia como principal moeda que comp</w:t>
      </w:r>
      <w:r w:rsidR="006F6453">
        <w:t>õe</w:t>
      </w:r>
      <w:r>
        <w:t xml:space="preserve"> as reservas internacionais brasileiras.</w:t>
      </w:r>
    </w:p>
    <w:p w:rsidR="006909DF" w:rsidRDefault="006909DF" w:rsidP="006909DF">
      <w:pPr>
        <w:autoSpaceDE w:val="0"/>
        <w:autoSpaceDN w:val="0"/>
        <w:adjustRightInd w:val="0"/>
        <w:spacing w:line="360" w:lineRule="auto"/>
        <w:ind w:firstLine="708"/>
        <w:jc w:val="both"/>
      </w:pPr>
      <w:r>
        <w:t>Os retornos foram calculados para cada s</w:t>
      </w:r>
      <w:r w:rsidR="006F6453">
        <w:t>é</w:t>
      </w:r>
      <w:r>
        <w:t>rie de dados de cada um dos conjuntos de informa</w:t>
      </w:r>
      <w:r w:rsidR="006F6453">
        <w:t>ção</w:t>
      </w:r>
      <w:r>
        <w:t>.</w:t>
      </w:r>
    </w:p>
    <w:p w:rsidR="006909DF" w:rsidRDefault="006909DF" w:rsidP="006909DF">
      <w:pPr>
        <w:autoSpaceDE w:val="0"/>
        <w:autoSpaceDN w:val="0"/>
        <w:adjustRightInd w:val="0"/>
        <w:spacing w:line="360" w:lineRule="auto"/>
        <w:ind w:firstLine="708"/>
        <w:jc w:val="both"/>
      </w:pPr>
      <w:r>
        <w:t>A partir dos retornos calculados foi utilizada a metodologia de an</w:t>
      </w:r>
      <w:r w:rsidR="006F6453">
        <w:t>á</w:t>
      </w:r>
      <w:r>
        <w:t>lise de componentes principais (ACP), para cada conjunto, a m de obter um retorno que fosse representativo da variabilidade do conjunto de informa</w:t>
      </w:r>
      <w:r w:rsidR="006F6453">
        <w:t>ção</w:t>
      </w:r>
      <w:r>
        <w:t>. Claramente, a exce</w:t>
      </w:r>
      <w:r w:rsidR="006F6453">
        <w:t>ção</w:t>
      </w:r>
      <w:r>
        <w:t xml:space="preserve"> desse tratamento com ACP </w:t>
      </w:r>
      <w:r w:rsidR="006F6453">
        <w:t>é</w:t>
      </w:r>
      <w:r>
        <w:t xml:space="preserve"> o conjunto de dados do d</w:t>
      </w:r>
      <w:r w:rsidR="006F6453">
        <w:t>ó</w:t>
      </w:r>
      <w:r>
        <w:t>lar, o qual foi calculado apenas o retorno do D</w:t>
      </w:r>
      <w:r w:rsidR="006F6453">
        <w:t>ó</w:t>
      </w:r>
      <w:r>
        <w:t>lar/Real. A utiliza</w:t>
      </w:r>
      <w:r w:rsidR="006F6453">
        <w:t>ção</w:t>
      </w:r>
      <w:r>
        <w:t xml:space="preserve"> de ACP no contexto de </w:t>
      </w:r>
      <w:r w:rsidR="006F6453">
        <w:t>fi</w:t>
      </w:r>
      <w:r>
        <w:t>nan</w:t>
      </w:r>
      <w:r w:rsidR="006F6453">
        <w:t>ç</w:t>
      </w:r>
      <w:r>
        <w:t>as</w:t>
      </w:r>
      <w:proofErr w:type="gramStart"/>
      <w:r>
        <w:t>, tem</w:t>
      </w:r>
      <w:proofErr w:type="gramEnd"/>
      <w:r>
        <w:t xml:space="preserve"> resultados positivos j</w:t>
      </w:r>
      <w:r w:rsidR="006F6453">
        <w:t>á</w:t>
      </w:r>
      <w:r>
        <w:t xml:space="preserve"> veri</w:t>
      </w:r>
      <w:r w:rsidR="006F6453">
        <w:t>fi</w:t>
      </w:r>
      <w:r>
        <w:t xml:space="preserve">cados, como por exemplo, no estudo de Meric et al. (2008), que estudou co-movimentos e causalidade entre mercados </w:t>
      </w:r>
      <w:r w:rsidR="006F6453">
        <w:t>fi</w:t>
      </w:r>
      <w:r>
        <w:t xml:space="preserve">nanceiros dos EUA, UK, Australia, China, </w:t>
      </w:r>
      <w:proofErr w:type="spellStart"/>
      <w:r>
        <w:t>Russia</w:t>
      </w:r>
      <w:proofErr w:type="spellEnd"/>
      <w:r>
        <w:t xml:space="preserve">, </w:t>
      </w:r>
      <w:proofErr w:type="spellStart"/>
      <w:r>
        <w:t>India</w:t>
      </w:r>
      <w:proofErr w:type="spellEnd"/>
      <w:r>
        <w:t>, Jap</w:t>
      </w:r>
      <w:r w:rsidR="003930DC">
        <w:t>ã</w:t>
      </w:r>
      <w:r>
        <w:t>o e Coreia do Sul.</w:t>
      </w:r>
    </w:p>
    <w:p w:rsidR="006909DF" w:rsidRDefault="006909DF" w:rsidP="006909DF">
      <w:pPr>
        <w:autoSpaceDE w:val="0"/>
        <w:autoSpaceDN w:val="0"/>
        <w:adjustRightInd w:val="0"/>
        <w:spacing w:line="360" w:lineRule="auto"/>
        <w:ind w:firstLine="708"/>
        <w:jc w:val="both"/>
      </w:pPr>
      <w:r>
        <w:lastRenderedPageBreak/>
        <w:t>Os 3 modelos estimados seguiram a l</w:t>
      </w:r>
      <w:r w:rsidR="006F6453">
        <w:t>ó</w:t>
      </w:r>
      <w:r>
        <w:t>gica de combinar o Ibovespa com os diferentes tipos de choques cambiais considerados (IND1, IND2 e Retorno do D</w:t>
      </w:r>
      <w:r w:rsidR="006F6453">
        <w:t>ó</w:t>
      </w:r>
      <w:r>
        <w:t>lar). Conforme apresentamos a seguir:</w:t>
      </w:r>
    </w:p>
    <w:p w:rsidR="006909DF" w:rsidRDefault="006909DF" w:rsidP="006F6453">
      <w:pPr>
        <w:pStyle w:val="PargrafodaLista"/>
        <w:numPr>
          <w:ilvl w:val="0"/>
          <w:numId w:val="44"/>
        </w:numPr>
        <w:autoSpaceDE w:val="0"/>
        <w:autoSpaceDN w:val="0"/>
        <w:adjustRightInd w:val="0"/>
        <w:spacing w:line="360" w:lineRule="auto"/>
        <w:jc w:val="both"/>
      </w:pPr>
      <w:r w:rsidRPr="006909DF">
        <w:t>Modelo 1: Retorno do Ibovespa e retorno do IND1;</w:t>
      </w:r>
    </w:p>
    <w:p w:rsidR="006909DF" w:rsidRDefault="006909DF" w:rsidP="006F6453">
      <w:pPr>
        <w:pStyle w:val="PargrafodaLista"/>
        <w:numPr>
          <w:ilvl w:val="0"/>
          <w:numId w:val="44"/>
        </w:numPr>
        <w:autoSpaceDE w:val="0"/>
        <w:autoSpaceDN w:val="0"/>
        <w:adjustRightInd w:val="0"/>
        <w:spacing w:line="360" w:lineRule="auto"/>
        <w:jc w:val="both"/>
      </w:pPr>
      <w:r w:rsidRPr="006909DF">
        <w:t>Modelo 2: Retorno do Ibovespa, retorno do IND2 e retorno do D</w:t>
      </w:r>
      <w:r w:rsidR="006F6453">
        <w:t>ó</w:t>
      </w:r>
      <w:r w:rsidRPr="006909DF">
        <w:t>lar;</w:t>
      </w:r>
    </w:p>
    <w:p w:rsidR="006909DF" w:rsidRDefault="006909DF" w:rsidP="006F6453">
      <w:pPr>
        <w:pStyle w:val="PargrafodaLista"/>
        <w:numPr>
          <w:ilvl w:val="0"/>
          <w:numId w:val="44"/>
        </w:numPr>
        <w:autoSpaceDE w:val="0"/>
        <w:autoSpaceDN w:val="0"/>
        <w:adjustRightInd w:val="0"/>
        <w:spacing w:line="360" w:lineRule="auto"/>
        <w:jc w:val="both"/>
      </w:pPr>
      <w:r w:rsidRPr="006909DF">
        <w:t>Modelo 3: Retorno do Ibovespa, retorno do D</w:t>
      </w:r>
      <w:r w:rsidR="006F6453">
        <w:t>ó</w:t>
      </w:r>
      <w:r w:rsidRPr="006909DF">
        <w:t>lar.</w:t>
      </w:r>
    </w:p>
    <w:p w:rsidR="006909DF" w:rsidRDefault="006909DF" w:rsidP="006F6453">
      <w:pPr>
        <w:autoSpaceDE w:val="0"/>
        <w:autoSpaceDN w:val="0"/>
        <w:adjustRightInd w:val="0"/>
        <w:spacing w:line="360" w:lineRule="auto"/>
        <w:ind w:firstLine="708"/>
        <w:jc w:val="both"/>
      </w:pPr>
      <w:r>
        <w:t>Para cada modelo foram estimadas as correla</w:t>
      </w:r>
      <w:r w:rsidR="006F6453">
        <w:t>ções</w:t>
      </w:r>
      <w:r>
        <w:t xml:space="preserve"> condicionais com o modelo MGARCH BEKK, essa escolha se deve ao fato de que o teste HH est</w:t>
      </w:r>
      <w:r w:rsidR="006F6453">
        <w:t>á</w:t>
      </w:r>
      <w:r>
        <w:t xml:space="preserve"> implementado para a utiliza</w:t>
      </w:r>
      <w:r w:rsidR="006F6453">
        <w:t>ção</w:t>
      </w:r>
      <w:r>
        <w:t xml:space="preserve"> dos resultados desses modelos. Utilizamos testes de auto-correla</w:t>
      </w:r>
      <w:r w:rsidR="006F6453">
        <w:t>ção</w:t>
      </w:r>
      <w:r>
        <w:t xml:space="preserve"> para os res</w:t>
      </w:r>
      <w:r w:rsidR="006F6453">
        <w:t>í</w:t>
      </w:r>
      <w:r>
        <w:t>duos obtidos desses modelos para veri</w:t>
      </w:r>
      <w:r w:rsidR="006F6453">
        <w:t>fi</w:t>
      </w:r>
      <w:r>
        <w:t>car sua adequa</w:t>
      </w:r>
      <w:r w:rsidR="006F6453">
        <w:t>ção</w:t>
      </w:r>
      <w:r>
        <w:t>. Esses testes foram aplicados para os res</w:t>
      </w:r>
      <w:r w:rsidR="006F6453">
        <w:t>í</w:t>
      </w:r>
      <w:r>
        <w:t>duos padronizados e para o quadrado dos res</w:t>
      </w:r>
      <w:r w:rsidR="006F6453">
        <w:t>í</w:t>
      </w:r>
      <w:r>
        <w:t>duos padronizados. Foram feitos os testes de causalidade de Granger de segunda ordem (Teste HH) para identi</w:t>
      </w:r>
      <w:r w:rsidR="006F6453">
        <w:t>fi</w:t>
      </w:r>
      <w:r>
        <w:t>car a dire</w:t>
      </w:r>
      <w:r w:rsidR="006F6453">
        <w:t>ção</w:t>
      </w:r>
      <w:r>
        <w:t xml:space="preserve"> da causalidade, no sentido de Granger, das correla</w:t>
      </w:r>
      <w:r w:rsidR="006F6453">
        <w:t>ções</w:t>
      </w:r>
      <w:r>
        <w:t xml:space="preserve"> condicionais estimadas.</w:t>
      </w:r>
    </w:p>
    <w:p w:rsidR="00052D6E" w:rsidRDefault="00052D6E" w:rsidP="006F6453">
      <w:pPr>
        <w:autoSpaceDE w:val="0"/>
        <w:autoSpaceDN w:val="0"/>
        <w:adjustRightInd w:val="0"/>
        <w:spacing w:line="360" w:lineRule="auto"/>
        <w:ind w:firstLine="708"/>
        <w:jc w:val="both"/>
      </w:pPr>
    </w:p>
    <w:p w:rsidR="00052D6E" w:rsidRPr="00FF3324" w:rsidRDefault="00052D6E" w:rsidP="00052D6E">
      <w:pPr>
        <w:numPr>
          <w:ilvl w:val="0"/>
          <w:numId w:val="5"/>
        </w:numPr>
        <w:autoSpaceDE w:val="0"/>
        <w:autoSpaceDN w:val="0"/>
        <w:adjustRightInd w:val="0"/>
        <w:rPr>
          <w:rFonts w:eastAsia="Calibri"/>
          <w:b/>
          <w:bCs/>
        </w:rPr>
      </w:pPr>
      <w:r w:rsidRPr="00FF3324">
        <w:rPr>
          <w:rFonts w:eastAsia="Calibri"/>
          <w:b/>
          <w:bCs/>
        </w:rPr>
        <w:t>Resultados</w:t>
      </w:r>
    </w:p>
    <w:p w:rsidR="007B03FC" w:rsidRDefault="007B03FC" w:rsidP="005325DA">
      <w:pPr>
        <w:autoSpaceDE w:val="0"/>
        <w:autoSpaceDN w:val="0"/>
        <w:adjustRightInd w:val="0"/>
        <w:spacing w:line="360" w:lineRule="auto"/>
        <w:ind w:firstLine="708"/>
        <w:jc w:val="both"/>
      </w:pPr>
    </w:p>
    <w:p w:rsidR="00052D6E" w:rsidRDefault="00B42B91" w:rsidP="00B42B91">
      <w:pPr>
        <w:autoSpaceDE w:val="0"/>
        <w:autoSpaceDN w:val="0"/>
        <w:adjustRightInd w:val="0"/>
        <w:spacing w:line="360" w:lineRule="auto"/>
        <w:ind w:firstLine="708"/>
        <w:jc w:val="both"/>
      </w:pPr>
      <w:r>
        <w:t>Inicialmente observamos se os conjuntos de dados poderiam ser tratados por meio de ACP. Para tanto, em termos exploratórios, observamos como adequado o uso de ACP por meio da estatística KMO com valores acima de 0,9. Em termos inferenciais o teste de Bartlet indicou adequada utilização do ACP, com a rejeição da hipótese nula.</w:t>
      </w:r>
    </w:p>
    <w:p w:rsidR="005B14E7" w:rsidRPr="00EC02EE" w:rsidRDefault="005B14E7" w:rsidP="005B14E7">
      <w:pPr>
        <w:autoSpaceDE w:val="0"/>
        <w:autoSpaceDN w:val="0"/>
        <w:adjustRightInd w:val="0"/>
        <w:jc w:val="center"/>
        <w:rPr>
          <w:b/>
        </w:rPr>
      </w:pPr>
    </w:p>
    <w:p w:rsidR="005B14E7" w:rsidRPr="00EC02EE" w:rsidRDefault="009E75FB" w:rsidP="009E75FB">
      <w:pPr>
        <w:autoSpaceDE w:val="0"/>
        <w:autoSpaceDN w:val="0"/>
        <w:adjustRightInd w:val="0"/>
        <w:spacing w:line="360" w:lineRule="auto"/>
        <w:rPr>
          <w:b/>
        </w:rPr>
      </w:pPr>
      <w:r>
        <w:rPr>
          <w:b/>
        </w:rPr>
        <w:t>Tabela 1.</w:t>
      </w:r>
      <w:r w:rsidRPr="009E75FB">
        <w:t xml:space="preserve"> </w:t>
      </w:r>
      <w:r w:rsidRPr="009E75FB">
        <w:rPr>
          <w:b/>
        </w:rPr>
        <w:t xml:space="preserve">Resultados do </w:t>
      </w:r>
      <w:r>
        <w:rPr>
          <w:b/>
        </w:rPr>
        <w:t>t</w:t>
      </w:r>
      <w:r w:rsidRPr="009E75FB">
        <w:rPr>
          <w:b/>
        </w:rPr>
        <w:t xml:space="preserve">este de Bartlet e </w:t>
      </w:r>
      <w:r>
        <w:rPr>
          <w:b/>
        </w:rPr>
        <w:t>t</w:t>
      </w:r>
      <w:r w:rsidRPr="009E75FB">
        <w:rPr>
          <w:b/>
        </w:rPr>
        <w:t>stat</w:t>
      </w:r>
      <w:r>
        <w:rPr>
          <w:b/>
        </w:rPr>
        <w:t>í</w:t>
      </w:r>
      <w:r w:rsidRPr="009E75FB">
        <w:rPr>
          <w:b/>
        </w:rPr>
        <w:t xml:space="preserve">stica KMO </w:t>
      </w:r>
    </w:p>
    <w:tbl>
      <w:tblPr>
        <w:tblStyle w:val="Tabelacomgrade"/>
        <w:tblW w:w="9781" w:type="dxa"/>
        <w:jc w:val="center"/>
        <w:tblBorders>
          <w:top w:val="double" w:sz="4" w:space="0" w:color="auto"/>
          <w:left w:val="none" w:sz="0" w:space="0" w:color="auto"/>
          <w:bottom w:val="double" w:sz="4" w:space="0" w:color="auto"/>
          <w:right w:val="none" w:sz="0" w:space="0" w:color="auto"/>
        </w:tblBorders>
        <w:tblLook w:val="04A0"/>
      </w:tblPr>
      <w:tblGrid>
        <w:gridCol w:w="794"/>
        <w:gridCol w:w="4593"/>
        <w:gridCol w:w="1310"/>
        <w:gridCol w:w="708"/>
        <w:gridCol w:w="2376"/>
      </w:tblGrid>
      <w:tr w:rsidR="008E05B1" w:rsidRPr="00884BFC" w:rsidTr="006D1714">
        <w:trPr>
          <w:trHeight w:val="353"/>
          <w:jc w:val="center"/>
        </w:trPr>
        <w:tc>
          <w:tcPr>
            <w:tcW w:w="794" w:type="dxa"/>
          </w:tcPr>
          <w:p w:rsidR="00BA493E" w:rsidRPr="00D31CE5" w:rsidRDefault="00BA493E" w:rsidP="00177521">
            <w:pPr>
              <w:autoSpaceDE w:val="0"/>
              <w:autoSpaceDN w:val="0"/>
              <w:adjustRightInd w:val="0"/>
              <w:spacing w:line="360" w:lineRule="auto"/>
              <w:jc w:val="center"/>
              <w:rPr>
                <w:sz w:val="16"/>
                <w:szCs w:val="16"/>
              </w:rPr>
            </w:pPr>
            <w:r w:rsidRPr="00D31CE5">
              <w:rPr>
                <w:sz w:val="16"/>
                <w:szCs w:val="16"/>
              </w:rPr>
              <w:t>Índices</w:t>
            </w:r>
          </w:p>
        </w:tc>
        <w:tc>
          <w:tcPr>
            <w:tcW w:w="4593" w:type="dxa"/>
          </w:tcPr>
          <w:p w:rsidR="00BA493E" w:rsidRPr="00D31CE5" w:rsidRDefault="00BA493E" w:rsidP="00177521">
            <w:pPr>
              <w:autoSpaceDE w:val="0"/>
              <w:autoSpaceDN w:val="0"/>
              <w:adjustRightInd w:val="0"/>
              <w:spacing w:line="360" w:lineRule="auto"/>
              <w:jc w:val="center"/>
              <w:rPr>
                <w:sz w:val="16"/>
                <w:szCs w:val="16"/>
              </w:rPr>
            </w:pPr>
            <w:r w:rsidRPr="00D31CE5">
              <w:rPr>
                <w:sz w:val="16"/>
                <w:szCs w:val="16"/>
              </w:rPr>
              <w:t>Descrição</w:t>
            </w:r>
          </w:p>
        </w:tc>
        <w:tc>
          <w:tcPr>
            <w:tcW w:w="1310" w:type="dxa"/>
          </w:tcPr>
          <w:p w:rsidR="00BA493E" w:rsidRPr="00D31CE5" w:rsidRDefault="009E75FB" w:rsidP="009E75FB">
            <w:pPr>
              <w:autoSpaceDE w:val="0"/>
              <w:autoSpaceDN w:val="0"/>
              <w:adjustRightInd w:val="0"/>
              <w:spacing w:line="360" w:lineRule="auto"/>
              <w:jc w:val="center"/>
              <w:rPr>
                <w:sz w:val="16"/>
                <w:szCs w:val="16"/>
              </w:rPr>
            </w:pPr>
            <w:r w:rsidRPr="00D31CE5">
              <w:rPr>
                <w:sz w:val="16"/>
                <w:szCs w:val="16"/>
              </w:rPr>
              <w:t>BARTS P-valor</w:t>
            </w:r>
          </w:p>
        </w:tc>
        <w:tc>
          <w:tcPr>
            <w:tcW w:w="708" w:type="dxa"/>
          </w:tcPr>
          <w:p w:rsidR="00BA493E" w:rsidRPr="00D31CE5" w:rsidRDefault="009E75FB" w:rsidP="00177521">
            <w:pPr>
              <w:autoSpaceDE w:val="0"/>
              <w:autoSpaceDN w:val="0"/>
              <w:adjustRightInd w:val="0"/>
              <w:spacing w:line="360" w:lineRule="auto"/>
              <w:jc w:val="center"/>
              <w:rPr>
                <w:sz w:val="16"/>
                <w:szCs w:val="16"/>
              </w:rPr>
            </w:pPr>
            <w:r w:rsidRPr="00D31CE5">
              <w:rPr>
                <w:sz w:val="16"/>
                <w:szCs w:val="16"/>
              </w:rPr>
              <w:t>KMO</w:t>
            </w:r>
          </w:p>
        </w:tc>
        <w:tc>
          <w:tcPr>
            <w:tcW w:w="2376" w:type="dxa"/>
          </w:tcPr>
          <w:p w:rsidR="00BA493E" w:rsidRPr="00D31CE5" w:rsidRDefault="009E75FB" w:rsidP="00177521">
            <w:pPr>
              <w:autoSpaceDE w:val="0"/>
              <w:autoSpaceDN w:val="0"/>
              <w:adjustRightInd w:val="0"/>
              <w:spacing w:line="360" w:lineRule="auto"/>
              <w:jc w:val="center"/>
              <w:rPr>
                <w:sz w:val="16"/>
                <w:szCs w:val="16"/>
              </w:rPr>
            </w:pPr>
            <w:r w:rsidRPr="00D31CE5">
              <w:rPr>
                <w:sz w:val="16"/>
                <w:szCs w:val="16"/>
              </w:rPr>
              <w:t>Variância Explicada pelo 1º Componente Principal</w:t>
            </w:r>
          </w:p>
        </w:tc>
      </w:tr>
      <w:tr w:rsidR="008E05B1" w:rsidRPr="00884BFC" w:rsidTr="006D1714">
        <w:trPr>
          <w:jc w:val="center"/>
        </w:trPr>
        <w:tc>
          <w:tcPr>
            <w:tcW w:w="794" w:type="dxa"/>
            <w:tcBorders>
              <w:bottom w:val="nil"/>
            </w:tcBorders>
          </w:tcPr>
          <w:p w:rsidR="00BA493E" w:rsidRPr="00D31CE5" w:rsidRDefault="00BA493E" w:rsidP="00177521">
            <w:pPr>
              <w:autoSpaceDE w:val="0"/>
              <w:autoSpaceDN w:val="0"/>
              <w:adjustRightInd w:val="0"/>
              <w:spacing w:line="360" w:lineRule="auto"/>
              <w:rPr>
                <w:rStyle w:val="hps"/>
                <w:color w:val="333333"/>
                <w:sz w:val="16"/>
                <w:szCs w:val="16"/>
                <w:lang w:val="pt-PT"/>
              </w:rPr>
            </w:pPr>
            <w:r w:rsidRPr="00D31CE5">
              <w:rPr>
                <w:rStyle w:val="hps"/>
                <w:color w:val="333333"/>
                <w:sz w:val="16"/>
                <w:szCs w:val="16"/>
                <w:lang w:val="pt-PT"/>
              </w:rPr>
              <w:t>IND1</w:t>
            </w:r>
          </w:p>
        </w:tc>
        <w:tc>
          <w:tcPr>
            <w:tcW w:w="4593" w:type="dxa"/>
            <w:tcBorders>
              <w:bottom w:val="nil"/>
            </w:tcBorders>
          </w:tcPr>
          <w:p w:rsidR="00BA493E" w:rsidRPr="00D31CE5" w:rsidRDefault="009E75FB" w:rsidP="009E75FB">
            <w:pPr>
              <w:autoSpaceDE w:val="0"/>
              <w:autoSpaceDN w:val="0"/>
              <w:adjustRightInd w:val="0"/>
              <w:spacing w:line="360" w:lineRule="auto"/>
              <w:jc w:val="center"/>
              <w:rPr>
                <w:sz w:val="16"/>
                <w:szCs w:val="16"/>
                <w:lang w:val="en-US"/>
              </w:rPr>
            </w:pPr>
            <w:r w:rsidRPr="00D31CE5">
              <w:rPr>
                <w:rStyle w:val="hps"/>
                <w:color w:val="333333"/>
                <w:sz w:val="16"/>
                <w:szCs w:val="16"/>
              </w:rPr>
              <w:t>CAMBIOS - RETORNOS</w:t>
            </w:r>
          </w:p>
        </w:tc>
        <w:tc>
          <w:tcPr>
            <w:tcW w:w="1310" w:type="dxa"/>
            <w:tcBorders>
              <w:bottom w:val="nil"/>
            </w:tcBorders>
          </w:tcPr>
          <w:p w:rsidR="00BA493E" w:rsidRPr="00D31CE5" w:rsidRDefault="00BA493E" w:rsidP="00177521">
            <w:pPr>
              <w:autoSpaceDE w:val="0"/>
              <w:autoSpaceDN w:val="0"/>
              <w:adjustRightInd w:val="0"/>
              <w:spacing w:line="360" w:lineRule="auto"/>
              <w:jc w:val="center"/>
              <w:rPr>
                <w:sz w:val="16"/>
                <w:szCs w:val="16"/>
              </w:rPr>
            </w:pPr>
            <w:r w:rsidRPr="00D31CE5">
              <w:rPr>
                <w:sz w:val="16"/>
                <w:szCs w:val="16"/>
              </w:rPr>
              <w:t>0</w:t>
            </w:r>
            <w:r w:rsidR="00D31CE5">
              <w:rPr>
                <w:sz w:val="16"/>
                <w:szCs w:val="16"/>
              </w:rPr>
              <w:t>,00</w:t>
            </w:r>
          </w:p>
        </w:tc>
        <w:tc>
          <w:tcPr>
            <w:tcW w:w="708" w:type="dxa"/>
            <w:tcBorders>
              <w:bottom w:val="nil"/>
            </w:tcBorders>
          </w:tcPr>
          <w:p w:rsidR="00BA493E" w:rsidRPr="00D31CE5" w:rsidRDefault="00D31CE5" w:rsidP="00177521">
            <w:pPr>
              <w:autoSpaceDE w:val="0"/>
              <w:autoSpaceDN w:val="0"/>
              <w:adjustRightInd w:val="0"/>
              <w:spacing w:line="360" w:lineRule="auto"/>
              <w:jc w:val="center"/>
              <w:rPr>
                <w:sz w:val="16"/>
                <w:szCs w:val="16"/>
              </w:rPr>
            </w:pPr>
            <w:r>
              <w:rPr>
                <w:sz w:val="16"/>
                <w:szCs w:val="16"/>
              </w:rPr>
              <w:t>0,95</w:t>
            </w:r>
          </w:p>
        </w:tc>
        <w:tc>
          <w:tcPr>
            <w:tcW w:w="2376" w:type="dxa"/>
            <w:tcBorders>
              <w:bottom w:val="nil"/>
            </w:tcBorders>
          </w:tcPr>
          <w:p w:rsidR="00BA493E" w:rsidRPr="00D31CE5" w:rsidRDefault="00D31CE5" w:rsidP="00177521">
            <w:pPr>
              <w:autoSpaceDE w:val="0"/>
              <w:autoSpaceDN w:val="0"/>
              <w:adjustRightInd w:val="0"/>
              <w:spacing w:line="360" w:lineRule="auto"/>
              <w:jc w:val="center"/>
              <w:rPr>
                <w:sz w:val="16"/>
                <w:szCs w:val="16"/>
              </w:rPr>
            </w:pPr>
            <w:r>
              <w:rPr>
                <w:sz w:val="16"/>
                <w:szCs w:val="16"/>
              </w:rPr>
              <w:t>0,864</w:t>
            </w:r>
          </w:p>
        </w:tc>
      </w:tr>
      <w:tr w:rsidR="008E05B1" w:rsidRPr="00884BFC" w:rsidTr="006D1714">
        <w:trPr>
          <w:jc w:val="center"/>
        </w:trPr>
        <w:tc>
          <w:tcPr>
            <w:tcW w:w="794" w:type="dxa"/>
            <w:tcBorders>
              <w:top w:val="nil"/>
              <w:bottom w:val="single" w:sz="4" w:space="0" w:color="auto"/>
            </w:tcBorders>
          </w:tcPr>
          <w:p w:rsidR="00BA493E" w:rsidRPr="00D31CE5" w:rsidRDefault="00BA493E" w:rsidP="00177521">
            <w:pPr>
              <w:autoSpaceDE w:val="0"/>
              <w:autoSpaceDN w:val="0"/>
              <w:adjustRightInd w:val="0"/>
              <w:spacing w:line="360" w:lineRule="auto"/>
              <w:rPr>
                <w:rStyle w:val="hps"/>
                <w:color w:val="333333"/>
                <w:sz w:val="16"/>
                <w:szCs w:val="16"/>
                <w:lang w:val="pt-PT"/>
              </w:rPr>
            </w:pPr>
            <w:r w:rsidRPr="00D31CE5">
              <w:rPr>
                <w:rStyle w:val="hps"/>
                <w:color w:val="333333"/>
                <w:sz w:val="16"/>
                <w:szCs w:val="16"/>
                <w:lang w:val="pt-PT"/>
              </w:rPr>
              <w:t>IND2</w:t>
            </w:r>
          </w:p>
        </w:tc>
        <w:tc>
          <w:tcPr>
            <w:tcW w:w="4593" w:type="dxa"/>
            <w:tcBorders>
              <w:top w:val="nil"/>
              <w:bottom w:val="single" w:sz="4" w:space="0" w:color="auto"/>
            </w:tcBorders>
          </w:tcPr>
          <w:p w:rsidR="00BA493E" w:rsidRPr="00D31CE5" w:rsidRDefault="009E75FB" w:rsidP="009E75FB">
            <w:pPr>
              <w:autoSpaceDE w:val="0"/>
              <w:autoSpaceDN w:val="0"/>
              <w:adjustRightInd w:val="0"/>
              <w:spacing w:line="360" w:lineRule="auto"/>
              <w:jc w:val="center"/>
              <w:rPr>
                <w:rStyle w:val="hps"/>
                <w:color w:val="333333"/>
                <w:sz w:val="16"/>
                <w:szCs w:val="16"/>
                <w:lang w:val="en-US"/>
              </w:rPr>
            </w:pPr>
            <w:r w:rsidRPr="00D31CE5">
              <w:rPr>
                <w:rStyle w:val="hps"/>
                <w:color w:val="333333"/>
                <w:sz w:val="16"/>
                <w:szCs w:val="16"/>
              </w:rPr>
              <w:t>CAMBIOS – RETORNOS (SEM DÓLAR)</w:t>
            </w:r>
          </w:p>
        </w:tc>
        <w:tc>
          <w:tcPr>
            <w:tcW w:w="1310" w:type="dxa"/>
            <w:tcBorders>
              <w:top w:val="nil"/>
              <w:bottom w:val="single" w:sz="4" w:space="0" w:color="auto"/>
            </w:tcBorders>
          </w:tcPr>
          <w:p w:rsidR="00BA493E" w:rsidRPr="00D31CE5" w:rsidRDefault="00BA493E" w:rsidP="00177521">
            <w:pPr>
              <w:autoSpaceDE w:val="0"/>
              <w:autoSpaceDN w:val="0"/>
              <w:adjustRightInd w:val="0"/>
              <w:spacing w:line="360" w:lineRule="auto"/>
              <w:jc w:val="center"/>
              <w:rPr>
                <w:sz w:val="16"/>
                <w:szCs w:val="16"/>
                <w:lang w:val="en-US"/>
              </w:rPr>
            </w:pPr>
            <w:r w:rsidRPr="00D31CE5">
              <w:rPr>
                <w:sz w:val="16"/>
                <w:szCs w:val="16"/>
                <w:lang w:val="en-US"/>
              </w:rPr>
              <w:t>0</w:t>
            </w:r>
            <w:r w:rsidR="00D31CE5">
              <w:rPr>
                <w:sz w:val="16"/>
                <w:szCs w:val="16"/>
                <w:lang w:val="en-US"/>
              </w:rPr>
              <w:t>,00</w:t>
            </w:r>
          </w:p>
        </w:tc>
        <w:tc>
          <w:tcPr>
            <w:tcW w:w="708" w:type="dxa"/>
            <w:tcBorders>
              <w:top w:val="nil"/>
              <w:bottom w:val="single" w:sz="4" w:space="0" w:color="auto"/>
            </w:tcBorders>
          </w:tcPr>
          <w:p w:rsidR="00BA493E" w:rsidRPr="00D31CE5" w:rsidRDefault="00D31CE5" w:rsidP="00177521">
            <w:pPr>
              <w:autoSpaceDE w:val="0"/>
              <w:autoSpaceDN w:val="0"/>
              <w:adjustRightInd w:val="0"/>
              <w:spacing w:line="360" w:lineRule="auto"/>
              <w:jc w:val="center"/>
              <w:rPr>
                <w:sz w:val="16"/>
                <w:szCs w:val="16"/>
                <w:lang w:val="en-US"/>
              </w:rPr>
            </w:pPr>
            <w:r>
              <w:rPr>
                <w:sz w:val="16"/>
                <w:szCs w:val="16"/>
                <w:lang w:val="en-US"/>
              </w:rPr>
              <w:t>0,98</w:t>
            </w:r>
          </w:p>
        </w:tc>
        <w:tc>
          <w:tcPr>
            <w:tcW w:w="2376" w:type="dxa"/>
            <w:tcBorders>
              <w:top w:val="nil"/>
              <w:bottom w:val="single" w:sz="4" w:space="0" w:color="auto"/>
            </w:tcBorders>
          </w:tcPr>
          <w:p w:rsidR="00BA493E" w:rsidRPr="00D31CE5" w:rsidRDefault="00D31CE5" w:rsidP="00177521">
            <w:pPr>
              <w:autoSpaceDE w:val="0"/>
              <w:autoSpaceDN w:val="0"/>
              <w:adjustRightInd w:val="0"/>
              <w:spacing w:line="360" w:lineRule="auto"/>
              <w:jc w:val="center"/>
              <w:rPr>
                <w:sz w:val="16"/>
                <w:szCs w:val="16"/>
                <w:lang w:val="en-US"/>
              </w:rPr>
            </w:pPr>
            <w:r>
              <w:rPr>
                <w:sz w:val="16"/>
                <w:szCs w:val="16"/>
                <w:lang w:val="en-US"/>
              </w:rPr>
              <w:t>0,895</w:t>
            </w:r>
          </w:p>
        </w:tc>
      </w:tr>
    </w:tbl>
    <w:p w:rsidR="009C392D" w:rsidRPr="009C392D" w:rsidRDefault="000E6CF9" w:rsidP="009E75FB">
      <w:pPr>
        <w:autoSpaceDE w:val="0"/>
        <w:autoSpaceDN w:val="0"/>
        <w:adjustRightInd w:val="0"/>
        <w:spacing w:line="360" w:lineRule="auto"/>
        <w:rPr>
          <w:rStyle w:val="hps"/>
          <w:color w:val="333333"/>
          <w:sz w:val="16"/>
          <w:szCs w:val="16"/>
        </w:rPr>
      </w:pP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r>
          <w:rPr>
            <w:rStyle w:val="hps"/>
            <w:rFonts w:ascii="Cambria Math" w:hAnsi="Cambria Math"/>
            <w:color w:val="333333"/>
            <w:sz w:val="16"/>
            <w:szCs w:val="16"/>
          </w:rPr>
          <m:t xml:space="preserve">: </m:t>
        </m:r>
      </m:oMath>
      <w:r w:rsidR="009C392D" w:rsidRPr="009C392D">
        <w:rPr>
          <w:rStyle w:val="hps"/>
          <w:color w:val="333333"/>
          <w:sz w:val="16"/>
          <w:szCs w:val="16"/>
        </w:rPr>
        <w:t>Não é adequado o uso da Análise de Componentes Principais ou Análise Fatorial.</w:t>
      </w:r>
    </w:p>
    <w:p w:rsidR="009C392D" w:rsidRPr="009C392D" w:rsidRDefault="009C392D" w:rsidP="009E75FB">
      <w:pPr>
        <w:autoSpaceDE w:val="0"/>
        <w:autoSpaceDN w:val="0"/>
        <w:adjustRightInd w:val="0"/>
        <w:spacing w:line="360" w:lineRule="auto"/>
        <w:rPr>
          <w:rStyle w:val="hps"/>
          <w:color w:val="333333"/>
          <w:sz w:val="16"/>
          <w:szCs w:val="16"/>
        </w:rPr>
      </w:pPr>
      <w:r w:rsidRPr="009C392D">
        <w:rPr>
          <w:rStyle w:val="hps"/>
          <w:color w:val="333333"/>
          <w:sz w:val="16"/>
          <w:szCs w:val="16"/>
        </w:rPr>
        <w:t>Valores de KMO entre (0,5 e 1,0) indicam que a análise fatorial ou análise de Componentes Principais é apropriada.</w:t>
      </w:r>
    </w:p>
    <w:p w:rsidR="005B14E7" w:rsidRPr="00E56F36" w:rsidRDefault="00D31CE5" w:rsidP="009E75FB">
      <w:pPr>
        <w:autoSpaceDE w:val="0"/>
        <w:autoSpaceDN w:val="0"/>
        <w:adjustRightInd w:val="0"/>
        <w:spacing w:line="360" w:lineRule="auto"/>
        <w:rPr>
          <w:rStyle w:val="hps"/>
          <w:color w:val="333333"/>
        </w:rPr>
      </w:pPr>
      <w:r w:rsidRPr="00E56F36">
        <w:rPr>
          <w:rStyle w:val="hps"/>
          <w:color w:val="333333"/>
        </w:rPr>
        <w:t>Fonte</w:t>
      </w:r>
      <w:r w:rsidR="005B14E7" w:rsidRPr="00E56F36">
        <w:rPr>
          <w:rStyle w:val="hps"/>
          <w:color w:val="333333"/>
        </w:rPr>
        <w:t xml:space="preserve">: </w:t>
      </w:r>
      <w:r w:rsidRPr="00E56F36">
        <w:rPr>
          <w:rStyle w:val="hps"/>
          <w:i/>
          <w:color w:val="333333"/>
        </w:rPr>
        <w:t>Elaboração própria.</w:t>
      </w:r>
    </w:p>
    <w:p w:rsidR="00B42B91" w:rsidRDefault="00B42B91" w:rsidP="00B42B91">
      <w:pPr>
        <w:autoSpaceDE w:val="0"/>
        <w:autoSpaceDN w:val="0"/>
        <w:adjustRightInd w:val="0"/>
        <w:spacing w:line="360" w:lineRule="auto"/>
        <w:ind w:firstLine="708"/>
        <w:jc w:val="both"/>
      </w:pPr>
      <w:r>
        <w:t>Conforme observamos a primeira componente, em todos os casos, tem alta representatividade em termos da variância total dos retornos e, portanto, utilizamos a primeira componente para construção do retorno representativo. Na sequência apresentamos os resultados das estatísticas exploratórias.</w:t>
      </w:r>
    </w:p>
    <w:p w:rsidR="0028731F" w:rsidRDefault="0028731F" w:rsidP="00B42B91">
      <w:pPr>
        <w:autoSpaceDE w:val="0"/>
        <w:autoSpaceDN w:val="0"/>
        <w:adjustRightInd w:val="0"/>
        <w:spacing w:line="360" w:lineRule="auto"/>
        <w:ind w:firstLine="708"/>
        <w:jc w:val="both"/>
      </w:pPr>
    </w:p>
    <w:p w:rsidR="00D17A1A" w:rsidRDefault="00D17A1A" w:rsidP="00B42B91">
      <w:pPr>
        <w:autoSpaceDE w:val="0"/>
        <w:autoSpaceDN w:val="0"/>
        <w:adjustRightInd w:val="0"/>
        <w:spacing w:line="360" w:lineRule="auto"/>
        <w:ind w:firstLine="708"/>
        <w:jc w:val="both"/>
      </w:pPr>
    </w:p>
    <w:p w:rsidR="00D17A1A" w:rsidRDefault="00D17A1A" w:rsidP="00B42B91">
      <w:pPr>
        <w:autoSpaceDE w:val="0"/>
        <w:autoSpaceDN w:val="0"/>
        <w:adjustRightInd w:val="0"/>
        <w:spacing w:line="360" w:lineRule="auto"/>
        <w:ind w:firstLine="708"/>
        <w:jc w:val="both"/>
      </w:pPr>
    </w:p>
    <w:p w:rsidR="00E56F36" w:rsidRPr="00EC02EE" w:rsidRDefault="00E56F36" w:rsidP="00500A98">
      <w:pPr>
        <w:autoSpaceDE w:val="0"/>
        <w:autoSpaceDN w:val="0"/>
        <w:adjustRightInd w:val="0"/>
        <w:spacing w:line="360" w:lineRule="auto"/>
        <w:rPr>
          <w:b/>
        </w:rPr>
      </w:pPr>
      <w:r>
        <w:rPr>
          <w:b/>
        </w:rPr>
        <w:lastRenderedPageBreak/>
        <w:t>Tabela 2.</w:t>
      </w:r>
      <w:r w:rsidRPr="009E75FB">
        <w:t xml:space="preserve"> </w:t>
      </w:r>
      <w:r>
        <w:rPr>
          <w:b/>
        </w:rPr>
        <w:t>Estatísticas exploratórias e t</w:t>
      </w:r>
      <w:r w:rsidRPr="009E75FB">
        <w:rPr>
          <w:b/>
        </w:rPr>
        <w:t>este</w:t>
      </w:r>
      <w:r>
        <w:rPr>
          <w:b/>
        </w:rPr>
        <w:t>s</w:t>
      </w:r>
      <w:r w:rsidRPr="009E75FB">
        <w:rPr>
          <w:b/>
        </w:rPr>
        <w:t xml:space="preserve"> </w:t>
      </w:r>
      <w:r>
        <w:rPr>
          <w:b/>
        </w:rPr>
        <w:t>sobre retornos</w:t>
      </w:r>
    </w:p>
    <w:tbl>
      <w:tblPr>
        <w:tblStyle w:val="Tabelacomgrade"/>
        <w:tblW w:w="4848" w:type="dxa"/>
        <w:tblBorders>
          <w:top w:val="double" w:sz="4" w:space="0" w:color="auto"/>
          <w:left w:val="none" w:sz="0" w:space="0" w:color="auto"/>
          <w:bottom w:val="double" w:sz="4" w:space="0" w:color="auto"/>
          <w:right w:val="none" w:sz="0" w:space="0" w:color="auto"/>
        </w:tblBorders>
        <w:tblLook w:val="04A0"/>
      </w:tblPr>
      <w:tblGrid>
        <w:gridCol w:w="1933"/>
        <w:gridCol w:w="1141"/>
        <w:gridCol w:w="612"/>
        <w:gridCol w:w="581"/>
        <w:gridCol w:w="581"/>
      </w:tblGrid>
      <w:tr w:rsidR="00E62A60" w:rsidRPr="00884BFC" w:rsidTr="00A80A68">
        <w:tc>
          <w:tcPr>
            <w:tcW w:w="1390" w:type="dxa"/>
            <w:tcBorders>
              <w:top w:val="double" w:sz="4" w:space="0" w:color="auto"/>
              <w:bottom w:val="single" w:sz="4" w:space="0" w:color="auto"/>
              <w:right w:val="nil"/>
            </w:tcBorders>
          </w:tcPr>
          <w:p w:rsidR="00E56F36" w:rsidRPr="00D31CE5" w:rsidRDefault="0084208F" w:rsidP="00E62A60">
            <w:pPr>
              <w:autoSpaceDE w:val="0"/>
              <w:autoSpaceDN w:val="0"/>
              <w:adjustRightInd w:val="0"/>
              <w:spacing w:line="360" w:lineRule="auto"/>
              <w:jc w:val="center"/>
              <w:rPr>
                <w:sz w:val="16"/>
                <w:szCs w:val="16"/>
              </w:rPr>
            </w:pPr>
            <w:r>
              <w:rPr>
                <w:sz w:val="16"/>
                <w:szCs w:val="16"/>
              </w:rPr>
              <w:t>T</w:t>
            </w:r>
            <w:r w:rsidR="00E62A60">
              <w:rPr>
                <w:sz w:val="16"/>
                <w:szCs w:val="16"/>
              </w:rPr>
              <w:t>ESTES</w:t>
            </w:r>
            <w:r>
              <w:rPr>
                <w:sz w:val="16"/>
                <w:szCs w:val="16"/>
              </w:rPr>
              <w:t>/E</w:t>
            </w:r>
            <w:r w:rsidR="00E62A60">
              <w:rPr>
                <w:sz w:val="16"/>
                <w:szCs w:val="16"/>
              </w:rPr>
              <w:t>STATÍSTICAS</w:t>
            </w:r>
          </w:p>
        </w:tc>
        <w:tc>
          <w:tcPr>
            <w:tcW w:w="1585" w:type="dxa"/>
            <w:tcBorders>
              <w:top w:val="double" w:sz="4" w:space="0" w:color="auto"/>
              <w:left w:val="nil"/>
              <w:bottom w:val="single" w:sz="4" w:space="0" w:color="auto"/>
              <w:right w:val="single" w:sz="4" w:space="0" w:color="auto"/>
            </w:tcBorders>
          </w:tcPr>
          <w:p w:rsidR="00E56F36" w:rsidRPr="00D31CE5" w:rsidRDefault="0084208F" w:rsidP="00500A98">
            <w:pPr>
              <w:autoSpaceDE w:val="0"/>
              <w:autoSpaceDN w:val="0"/>
              <w:adjustRightInd w:val="0"/>
              <w:spacing w:line="360" w:lineRule="auto"/>
              <w:jc w:val="center"/>
              <w:rPr>
                <w:sz w:val="16"/>
                <w:szCs w:val="16"/>
              </w:rPr>
            </w:pPr>
            <w:r>
              <w:rPr>
                <w:sz w:val="16"/>
                <w:szCs w:val="16"/>
              </w:rPr>
              <w:t>IBOVESPA</w:t>
            </w:r>
          </w:p>
        </w:tc>
        <w:tc>
          <w:tcPr>
            <w:tcW w:w="709" w:type="dxa"/>
            <w:tcBorders>
              <w:top w:val="double" w:sz="4" w:space="0" w:color="auto"/>
              <w:left w:val="single" w:sz="4" w:space="0" w:color="auto"/>
              <w:bottom w:val="single" w:sz="4" w:space="0" w:color="auto"/>
              <w:right w:val="nil"/>
            </w:tcBorders>
          </w:tcPr>
          <w:p w:rsidR="00E56F36" w:rsidRPr="00D31CE5" w:rsidRDefault="0084208F" w:rsidP="00500A98">
            <w:pPr>
              <w:autoSpaceDE w:val="0"/>
              <w:autoSpaceDN w:val="0"/>
              <w:adjustRightInd w:val="0"/>
              <w:spacing w:line="360" w:lineRule="auto"/>
              <w:jc w:val="center"/>
              <w:rPr>
                <w:sz w:val="16"/>
                <w:szCs w:val="16"/>
              </w:rPr>
            </w:pPr>
            <w:r>
              <w:rPr>
                <w:sz w:val="16"/>
                <w:szCs w:val="16"/>
              </w:rPr>
              <w:t>IND1</w:t>
            </w:r>
          </w:p>
        </w:tc>
        <w:tc>
          <w:tcPr>
            <w:tcW w:w="581" w:type="dxa"/>
            <w:tcBorders>
              <w:top w:val="double" w:sz="4" w:space="0" w:color="auto"/>
              <w:left w:val="nil"/>
              <w:bottom w:val="single" w:sz="4" w:space="0" w:color="auto"/>
              <w:right w:val="nil"/>
            </w:tcBorders>
          </w:tcPr>
          <w:p w:rsidR="00E56F36" w:rsidRPr="00D31CE5" w:rsidRDefault="0084208F" w:rsidP="00500A98">
            <w:pPr>
              <w:autoSpaceDE w:val="0"/>
              <w:autoSpaceDN w:val="0"/>
              <w:adjustRightInd w:val="0"/>
              <w:spacing w:line="360" w:lineRule="auto"/>
              <w:jc w:val="center"/>
              <w:rPr>
                <w:sz w:val="16"/>
                <w:szCs w:val="16"/>
              </w:rPr>
            </w:pPr>
            <w:r>
              <w:rPr>
                <w:sz w:val="16"/>
                <w:szCs w:val="16"/>
              </w:rPr>
              <w:t>IND2</w:t>
            </w:r>
          </w:p>
        </w:tc>
        <w:tc>
          <w:tcPr>
            <w:tcW w:w="583" w:type="dxa"/>
            <w:tcBorders>
              <w:top w:val="double" w:sz="4" w:space="0" w:color="auto"/>
              <w:left w:val="nil"/>
              <w:bottom w:val="single" w:sz="4" w:space="0" w:color="auto"/>
            </w:tcBorders>
          </w:tcPr>
          <w:p w:rsidR="00E56F36" w:rsidRPr="00D31CE5" w:rsidRDefault="0084208F" w:rsidP="00500A98">
            <w:pPr>
              <w:autoSpaceDE w:val="0"/>
              <w:autoSpaceDN w:val="0"/>
              <w:adjustRightInd w:val="0"/>
              <w:spacing w:line="360" w:lineRule="auto"/>
              <w:jc w:val="center"/>
              <w:rPr>
                <w:sz w:val="16"/>
                <w:szCs w:val="16"/>
              </w:rPr>
            </w:pPr>
            <w:r>
              <w:rPr>
                <w:sz w:val="16"/>
                <w:szCs w:val="16"/>
              </w:rPr>
              <w:t>Dólar</w:t>
            </w:r>
          </w:p>
        </w:tc>
      </w:tr>
      <w:tr w:rsidR="00E62A60" w:rsidRPr="00884BFC" w:rsidTr="00A80A68">
        <w:tc>
          <w:tcPr>
            <w:tcW w:w="1390" w:type="dxa"/>
            <w:tcBorders>
              <w:top w:val="single" w:sz="4" w:space="0" w:color="auto"/>
              <w:bottom w:val="nil"/>
              <w:right w:val="nil"/>
            </w:tcBorders>
          </w:tcPr>
          <w:p w:rsidR="00E56F36" w:rsidRPr="00D31CE5" w:rsidRDefault="00142C13"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n</w:t>
            </w:r>
          </w:p>
        </w:tc>
        <w:tc>
          <w:tcPr>
            <w:tcW w:w="1585" w:type="dxa"/>
            <w:tcBorders>
              <w:top w:val="single" w:sz="4" w:space="0" w:color="auto"/>
              <w:left w:val="nil"/>
              <w:bottom w:val="nil"/>
              <w:right w:val="single" w:sz="4" w:space="0" w:color="auto"/>
            </w:tcBorders>
          </w:tcPr>
          <w:p w:rsidR="00E56F36" w:rsidRPr="00D31CE5" w:rsidRDefault="00177521" w:rsidP="00177521">
            <w:pPr>
              <w:autoSpaceDE w:val="0"/>
              <w:autoSpaceDN w:val="0"/>
              <w:adjustRightInd w:val="0"/>
              <w:spacing w:line="360" w:lineRule="auto"/>
              <w:jc w:val="center"/>
              <w:rPr>
                <w:sz w:val="16"/>
                <w:szCs w:val="16"/>
                <w:lang w:val="en-US"/>
              </w:rPr>
            </w:pPr>
            <w:r>
              <w:rPr>
                <w:sz w:val="16"/>
                <w:szCs w:val="16"/>
                <w:lang w:val="en-US"/>
              </w:rPr>
              <w:t>2284</w:t>
            </w:r>
          </w:p>
        </w:tc>
        <w:tc>
          <w:tcPr>
            <w:tcW w:w="709" w:type="dxa"/>
            <w:tcBorders>
              <w:top w:val="single" w:sz="4" w:space="0" w:color="auto"/>
              <w:left w:val="single" w:sz="4" w:space="0" w:color="auto"/>
              <w:bottom w:val="nil"/>
              <w:right w:val="nil"/>
            </w:tcBorders>
          </w:tcPr>
          <w:p w:rsidR="00E56F36" w:rsidRPr="00D31CE5" w:rsidRDefault="00177521" w:rsidP="00177521">
            <w:pPr>
              <w:autoSpaceDE w:val="0"/>
              <w:autoSpaceDN w:val="0"/>
              <w:adjustRightInd w:val="0"/>
              <w:spacing w:line="360" w:lineRule="auto"/>
              <w:jc w:val="center"/>
              <w:rPr>
                <w:sz w:val="16"/>
                <w:szCs w:val="16"/>
              </w:rPr>
            </w:pPr>
            <w:r>
              <w:rPr>
                <w:sz w:val="16"/>
                <w:szCs w:val="16"/>
              </w:rPr>
              <w:t>2284</w:t>
            </w:r>
          </w:p>
        </w:tc>
        <w:tc>
          <w:tcPr>
            <w:tcW w:w="581" w:type="dxa"/>
            <w:tcBorders>
              <w:top w:val="single" w:sz="4" w:space="0" w:color="auto"/>
              <w:left w:val="nil"/>
              <w:bottom w:val="nil"/>
              <w:right w:val="nil"/>
            </w:tcBorders>
          </w:tcPr>
          <w:p w:rsidR="00E56F36" w:rsidRPr="00D31CE5" w:rsidRDefault="00177521" w:rsidP="00177521">
            <w:pPr>
              <w:autoSpaceDE w:val="0"/>
              <w:autoSpaceDN w:val="0"/>
              <w:adjustRightInd w:val="0"/>
              <w:spacing w:line="360" w:lineRule="auto"/>
              <w:jc w:val="center"/>
              <w:rPr>
                <w:sz w:val="16"/>
                <w:szCs w:val="16"/>
              </w:rPr>
            </w:pPr>
            <w:r>
              <w:rPr>
                <w:sz w:val="16"/>
                <w:szCs w:val="16"/>
              </w:rPr>
              <w:t>2284</w:t>
            </w:r>
          </w:p>
        </w:tc>
        <w:tc>
          <w:tcPr>
            <w:tcW w:w="583" w:type="dxa"/>
            <w:tcBorders>
              <w:top w:val="single" w:sz="4" w:space="0" w:color="auto"/>
              <w:left w:val="nil"/>
              <w:bottom w:val="nil"/>
            </w:tcBorders>
          </w:tcPr>
          <w:p w:rsidR="00E56F36" w:rsidRPr="00D31CE5" w:rsidRDefault="00177521" w:rsidP="00177521">
            <w:pPr>
              <w:autoSpaceDE w:val="0"/>
              <w:autoSpaceDN w:val="0"/>
              <w:adjustRightInd w:val="0"/>
              <w:spacing w:line="360" w:lineRule="auto"/>
              <w:jc w:val="center"/>
              <w:rPr>
                <w:sz w:val="16"/>
                <w:szCs w:val="16"/>
              </w:rPr>
            </w:pPr>
            <w:r>
              <w:rPr>
                <w:sz w:val="16"/>
                <w:szCs w:val="16"/>
              </w:rPr>
              <w:t>2284</w:t>
            </w:r>
          </w:p>
        </w:tc>
      </w:tr>
      <w:tr w:rsidR="00E62A60" w:rsidRPr="00884BFC" w:rsidTr="006D1714">
        <w:tc>
          <w:tcPr>
            <w:tcW w:w="1390" w:type="dxa"/>
            <w:tcBorders>
              <w:top w:val="nil"/>
              <w:bottom w:val="nil"/>
              <w:right w:val="nil"/>
            </w:tcBorders>
          </w:tcPr>
          <w:p w:rsidR="00E56F36" w:rsidRPr="00D31CE5" w:rsidRDefault="00142C13"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Média</w:t>
            </w:r>
          </w:p>
        </w:tc>
        <w:tc>
          <w:tcPr>
            <w:tcW w:w="1585" w:type="dxa"/>
            <w:tcBorders>
              <w:top w:val="nil"/>
              <w:left w:val="nil"/>
              <w:bottom w:val="nil"/>
              <w:right w:val="single" w:sz="4" w:space="0" w:color="auto"/>
            </w:tcBorders>
          </w:tcPr>
          <w:p w:rsidR="00E56F36" w:rsidRPr="00D31CE5" w:rsidRDefault="00177521" w:rsidP="00177521">
            <w:pPr>
              <w:autoSpaceDE w:val="0"/>
              <w:autoSpaceDN w:val="0"/>
              <w:adjustRightInd w:val="0"/>
              <w:spacing w:line="360" w:lineRule="auto"/>
              <w:jc w:val="center"/>
              <w:rPr>
                <w:rStyle w:val="hps"/>
                <w:color w:val="333333"/>
                <w:sz w:val="16"/>
                <w:szCs w:val="16"/>
              </w:rPr>
            </w:pPr>
            <w:r>
              <w:rPr>
                <w:rStyle w:val="hps"/>
                <w:color w:val="333333"/>
                <w:sz w:val="16"/>
                <w:szCs w:val="16"/>
              </w:rPr>
              <w:t>0,02</w:t>
            </w:r>
          </w:p>
        </w:tc>
        <w:tc>
          <w:tcPr>
            <w:tcW w:w="709" w:type="dxa"/>
            <w:tcBorders>
              <w:top w:val="nil"/>
              <w:left w:val="single" w:sz="4" w:space="0" w:color="auto"/>
              <w:bottom w:val="nil"/>
              <w:right w:val="nil"/>
            </w:tcBorders>
          </w:tcPr>
          <w:p w:rsidR="00E56F36" w:rsidRPr="00D31CE5" w:rsidRDefault="00177521" w:rsidP="00177521">
            <w:pPr>
              <w:autoSpaceDE w:val="0"/>
              <w:autoSpaceDN w:val="0"/>
              <w:adjustRightInd w:val="0"/>
              <w:spacing w:line="360" w:lineRule="auto"/>
              <w:jc w:val="center"/>
              <w:rPr>
                <w:sz w:val="16"/>
                <w:szCs w:val="16"/>
              </w:rPr>
            </w:pPr>
            <w:r>
              <w:rPr>
                <w:sz w:val="16"/>
                <w:szCs w:val="16"/>
              </w:rPr>
              <w:t>-0,01</w:t>
            </w:r>
          </w:p>
        </w:tc>
        <w:tc>
          <w:tcPr>
            <w:tcW w:w="581" w:type="dxa"/>
            <w:tcBorders>
              <w:top w:val="nil"/>
              <w:left w:val="nil"/>
              <w:bottom w:val="nil"/>
              <w:right w:val="nil"/>
            </w:tcBorders>
          </w:tcPr>
          <w:p w:rsidR="00E56F36" w:rsidRDefault="00177521" w:rsidP="00177521">
            <w:pPr>
              <w:autoSpaceDE w:val="0"/>
              <w:autoSpaceDN w:val="0"/>
              <w:adjustRightInd w:val="0"/>
              <w:spacing w:line="360" w:lineRule="auto"/>
              <w:jc w:val="center"/>
              <w:rPr>
                <w:sz w:val="16"/>
                <w:szCs w:val="16"/>
              </w:rPr>
            </w:pPr>
            <w:r>
              <w:rPr>
                <w:sz w:val="16"/>
                <w:szCs w:val="16"/>
              </w:rPr>
              <w:t>0,02</w:t>
            </w:r>
          </w:p>
        </w:tc>
        <w:tc>
          <w:tcPr>
            <w:tcW w:w="583" w:type="dxa"/>
            <w:tcBorders>
              <w:top w:val="nil"/>
              <w:left w:val="nil"/>
              <w:bottom w:val="nil"/>
            </w:tcBorders>
          </w:tcPr>
          <w:p w:rsidR="00E56F36" w:rsidRDefault="00177521" w:rsidP="00177521">
            <w:pPr>
              <w:autoSpaceDE w:val="0"/>
              <w:autoSpaceDN w:val="0"/>
              <w:adjustRightInd w:val="0"/>
              <w:spacing w:line="360" w:lineRule="auto"/>
              <w:jc w:val="center"/>
              <w:rPr>
                <w:sz w:val="16"/>
                <w:szCs w:val="16"/>
              </w:rPr>
            </w:pPr>
            <w:r>
              <w:rPr>
                <w:sz w:val="16"/>
                <w:szCs w:val="16"/>
              </w:rPr>
              <w:t>0,02</w:t>
            </w:r>
          </w:p>
        </w:tc>
      </w:tr>
      <w:tr w:rsidR="00E62A60" w:rsidRPr="00884BFC" w:rsidTr="006D1714">
        <w:tc>
          <w:tcPr>
            <w:tcW w:w="1390" w:type="dxa"/>
            <w:tcBorders>
              <w:top w:val="nil"/>
              <w:bottom w:val="nil"/>
              <w:right w:val="nil"/>
            </w:tcBorders>
          </w:tcPr>
          <w:p w:rsidR="0084208F" w:rsidRPr="00D31CE5" w:rsidRDefault="00142C13"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Mediana</w:t>
            </w:r>
          </w:p>
        </w:tc>
        <w:tc>
          <w:tcPr>
            <w:tcW w:w="1585" w:type="dxa"/>
            <w:tcBorders>
              <w:top w:val="nil"/>
              <w:left w:val="nil"/>
              <w:bottom w:val="nil"/>
              <w:right w:val="single" w:sz="4" w:space="0" w:color="auto"/>
            </w:tcBorders>
          </w:tcPr>
          <w:p w:rsidR="0084208F" w:rsidRPr="00D31CE5" w:rsidRDefault="00177521" w:rsidP="00177521">
            <w:pPr>
              <w:autoSpaceDE w:val="0"/>
              <w:autoSpaceDN w:val="0"/>
              <w:adjustRightInd w:val="0"/>
              <w:spacing w:line="360" w:lineRule="auto"/>
              <w:jc w:val="center"/>
              <w:rPr>
                <w:rStyle w:val="hps"/>
                <w:color w:val="333333"/>
                <w:sz w:val="16"/>
                <w:szCs w:val="16"/>
              </w:rPr>
            </w:pPr>
            <w:r>
              <w:rPr>
                <w:rStyle w:val="hps"/>
                <w:color w:val="333333"/>
                <w:sz w:val="16"/>
                <w:szCs w:val="16"/>
              </w:rPr>
              <w:t>0,02</w:t>
            </w:r>
          </w:p>
        </w:tc>
        <w:tc>
          <w:tcPr>
            <w:tcW w:w="709" w:type="dxa"/>
            <w:tcBorders>
              <w:top w:val="nil"/>
              <w:left w:val="single" w:sz="4" w:space="0" w:color="auto"/>
              <w:bottom w:val="nil"/>
              <w:right w:val="nil"/>
            </w:tcBorders>
          </w:tcPr>
          <w:p w:rsidR="0084208F" w:rsidRPr="00D31CE5" w:rsidRDefault="00177521" w:rsidP="00177521">
            <w:pPr>
              <w:autoSpaceDE w:val="0"/>
              <w:autoSpaceDN w:val="0"/>
              <w:adjustRightInd w:val="0"/>
              <w:spacing w:line="360" w:lineRule="auto"/>
              <w:jc w:val="center"/>
              <w:rPr>
                <w:sz w:val="16"/>
                <w:szCs w:val="16"/>
              </w:rPr>
            </w:pPr>
            <w:r>
              <w:rPr>
                <w:sz w:val="16"/>
                <w:szCs w:val="16"/>
              </w:rPr>
              <w:t>-0,01</w:t>
            </w:r>
          </w:p>
        </w:tc>
        <w:tc>
          <w:tcPr>
            <w:tcW w:w="581" w:type="dxa"/>
            <w:tcBorders>
              <w:top w:val="nil"/>
              <w:left w:val="nil"/>
              <w:bottom w:val="nil"/>
              <w:right w:val="nil"/>
            </w:tcBorders>
          </w:tcPr>
          <w:p w:rsidR="0084208F" w:rsidRDefault="00177521" w:rsidP="00177521">
            <w:pPr>
              <w:autoSpaceDE w:val="0"/>
              <w:autoSpaceDN w:val="0"/>
              <w:adjustRightInd w:val="0"/>
              <w:spacing w:line="360" w:lineRule="auto"/>
              <w:jc w:val="center"/>
              <w:rPr>
                <w:sz w:val="16"/>
                <w:szCs w:val="16"/>
              </w:rPr>
            </w:pPr>
            <w:r>
              <w:rPr>
                <w:sz w:val="16"/>
                <w:szCs w:val="16"/>
              </w:rPr>
              <w:t>0,01</w:t>
            </w:r>
          </w:p>
        </w:tc>
        <w:tc>
          <w:tcPr>
            <w:tcW w:w="583" w:type="dxa"/>
            <w:tcBorders>
              <w:top w:val="nil"/>
              <w:left w:val="nil"/>
              <w:bottom w:val="nil"/>
            </w:tcBorders>
          </w:tcPr>
          <w:p w:rsidR="0084208F" w:rsidRDefault="00177521" w:rsidP="00177521">
            <w:pPr>
              <w:autoSpaceDE w:val="0"/>
              <w:autoSpaceDN w:val="0"/>
              <w:adjustRightInd w:val="0"/>
              <w:spacing w:line="360" w:lineRule="auto"/>
              <w:jc w:val="center"/>
              <w:rPr>
                <w:sz w:val="16"/>
                <w:szCs w:val="16"/>
              </w:rPr>
            </w:pPr>
            <w:r>
              <w:rPr>
                <w:sz w:val="16"/>
                <w:szCs w:val="16"/>
              </w:rPr>
              <w:t>0,008</w:t>
            </w:r>
          </w:p>
        </w:tc>
      </w:tr>
      <w:tr w:rsidR="00E62A60" w:rsidRPr="00884BFC" w:rsidTr="006D1714">
        <w:tc>
          <w:tcPr>
            <w:tcW w:w="1390" w:type="dxa"/>
            <w:tcBorders>
              <w:top w:val="nil"/>
              <w:bottom w:val="nil"/>
              <w:right w:val="nil"/>
            </w:tcBorders>
          </w:tcPr>
          <w:p w:rsidR="0084208F" w:rsidRPr="00D31CE5" w:rsidRDefault="00142C13"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Máximo</w:t>
            </w:r>
          </w:p>
        </w:tc>
        <w:tc>
          <w:tcPr>
            <w:tcW w:w="1585" w:type="dxa"/>
            <w:tcBorders>
              <w:top w:val="nil"/>
              <w:left w:val="nil"/>
              <w:bottom w:val="nil"/>
              <w:right w:val="single" w:sz="4" w:space="0" w:color="auto"/>
            </w:tcBorders>
          </w:tcPr>
          <w:p w:rsidR="0084208F" w:rsidRPr="00D31CE5" w:rsidRDefault="00177521" w:rsidP="00177521">
            <w:pPr>
              <w:autoSpaceDE w:val="0"/>
              <w:autoSpaceDN w:val="0"/>
              <w:adjustRightInd w:val="0"/>
              <w:spacing w:line="360" w:lineRule="auto"/>
              <w:jc w:val="center"/>
              <w:rPr>
                <w:rStyle w:val="hps"/>
                <w:color w:val="333333"/>
                <w:sz w:val="16"/>
                <w:szCs w:val="16"/>
              </w:rPr>
            </w:pPr>
            <w:r>
              <w:rPr>
                <w:rStyle w:val="hps"/>
                <w:color w:val="333333"/>
                <w:sz w:val="16"/>
                <w:szCs w:val="16"/>
              </w:rPr>
              <w:t>14,65</w:t>
            </w:r>
          </w:p>
        </w:tc>
        <w:tc>
          <w:tcPr>
            <w:tcW w:w="709" w:type="dxa"/>
            <w:tcBorders>
              <w:top w:val="nil"/>
              <w:left w:val="single" w:sz="4" w:space="0" w:color="auto"/>
              <w:bottom w:val="nil"/>
              <w:right w:val="nil"/>
            </w:tcBorders>
          </w:tcPr>
          <w:p w:rsidR="0084208F" w:rsidRPr="00D31CE5" w:rsidRDefault="00177521" w:rsidP="00177521">
            <w:pPr>
              <w:autoSpaceDE w:val="0"/>
              <w:autoSpaceDN w:val="0"/>
              <w:adjustRightInd w:val="0"/>
              <w:spacing w:line="360" w:lineRule="auto"/>
              <w:jc w:val="center"/>
              <w:rPr>
                <w:sz w:val="16"/>
                <w:szCs w:val="16"/>
              </w:rPr>
            </w:pPr>
            <w:r>
              <w:rPr>
                <w:sz w:val="16"/>
                <w:szCs w:val="16"/>
              </w:rPr>
              <w:t>3,30</w:t>
            </w:r>
          </w:p>
        </w:tc>
        <w:tc>
          <w:tcPr>
            <w:tcW w:w="581" w:type="dxa"/>
            <w:tcBorders>
              <w:top w:val="nil"/>
              <w:left w:val="nil"/>
              <w:bottom w:val="nil"/>
              <w:right w:val="nil"/>
            </w:tcBorders>
          </w:tcPr>
          <w:p w:rsidR="0084208F" w:rsidRDefault="00177521" w:rsidP="00177521">
            <w:pPr>
              <w:autoSpaceDE w:val="0"/>
              <w:autoSpaceDN w:val="0"/>
              <w:adjustRightInd w:val="0"/>
              <w:spacing w:line="360" w:lineRule="auto"/>
              <w:jc w:val="center"/>
              <w:rPr>
                <w:sz w:val="16"/>
                <w:szCs w:val="16"/>
              </w:rPr>
            </w:pPr>
            <w:r>
              <w:rPr>
                <w:sz w:val="16"/>
                <w:szCs w:val="16"/>
              </w:rPr>
              <w:t>8,32</w:t>
            </w:r>
          </w:p>
        </w:tc>
        <w:tc>
          <w:tcPr>
            <w:tcW w:w="583" w:type="dxa"/>
            <w:tcBorders>
              <w:top w:val="nil"/>
              <w:left w:val="nil"/>
              <w:bottom w:val="nil"/>
            </w:tcBorders>
          </w:tcPr>
          <w:p w:rsidR="0084208F" w:rsidRDefault="00177521" w:rsidP="00177521">
            <w:pPr>
              <w:autoSpaceDE w:val="0"/>
              <w:autoSpaceDN w:val="0"/>
              <w:adjustRightInd w:val="0"/>
              <w:spacing w:line="360" w:lineRule="auto"/>
              <w:jc w:val="center"/>
              <w:rPr>
                <w:sz w:val="16"/>
                <w:szCs w:val="16"/>
              </w:rPr>
            </w:pPr>
            <w:r>
              <w:rPr>
                <w:sz w:val="16"/>
                <w:szCs w:val="16"/>
              </w:rPr>
              <w:t>6,60</w:t>
            </w:r>
          </w:p>
        </w:tc>
      </w:tr>
      <w:tr w:rsidR="00E62A60" w:rsidRPr="00884BFC" w:rsidTr="006D1714">
        <w:tc>
          <w:tcPr>
            <w:tcW w:w="1390" w:type="dxa"/>
            <w:tcBorders>
              <w:top w:val="nil"/>
              <w:bottom w:val="nil"/>
              <w:right w:val="nil"/>
            </w:tcBorders>
          </w:tcPr>
          <w:p w:rsidR="0084208F" w:rsidRPr="00D31CE5" w:rsidRDefault="00142C13"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Minimo</w:t>
            </w:r>
          </w:p>
        </w:tc>
        <w:tc>
          <w:tcPr>
            <w:tcW w:w="1585" w:type="dxa"/>
            <w:tcBorders>
              <w:top w:val="nil"/>
              <w:left w:val="nil"/>
              <w:bottom w:val="nil"/>
              <w:right w:val="single" w:sz="4" w:space="0" w:color="auto"/>
            </w:tcBorders>
          </w:tcPr>
          <w:p w:rsidR="0084208F" w:rsidRPr="00D31CE5" w:rsidRDefault="00177521" w:rsidP="00177521">
            <w:pPr>
              <w:autoSpaceDE w:val="0"/>
              <w:autoSpaceDN w:val="0"/>
              <w:adjustRightInd w:val="0"/>
              <w:spacing w:line="360" w:lineRule="auto"/>
              <w:jc w:val="center"/>
              <w:rPr>
                <w:rStyle w:val="hps"/>
                <w:color w:val="333333"/>
                <w:sz w:val="16"/>
                <w:szCs w:val="16"/>
              </w:rPr>
            </w:pPr>
            <w:r>
              <w:rPr>
                <w:rStyle w:val="hps"/>
                <w:color w:val="333333"/>
                <w:sz w:val="16"/>
                <w:szCs w:val="16"/>
              </w:rPr>
              <w:t>-11,39</w:t>
            </w:r>
          </w:p>
        </w:tc>
        <w:tc>
          <w:tcPr>
            <w:tcW w:w="709" w:type="dxa"/>
            <w:tcBorders>
              <w:top w:val="nil"/>
              <w:left w:val="single" w:sz="4" w:space="0" w:color="auto"/>
              <w:bottom w:val="nil"/>
              <w:right w:val="nil"/>
            </w:tcBorders>
          </w:tcPr>
          <w:p w:rsidR="0084208F" w:rsidRPr="00D31CE5" w:rsidRDefault="00177521" w:rsidP="00177521">
            <w:pPr>
              <w:autoSpaceDE w:val="0"/>
              <w:autoSpaceDN w:val="0"/>
              <w:adjustRightInd w:val="0"/>
              <w:spacing w:line="360" w:lineRule="auto"/>
              <w:jc w:val="center"/>
              <w:rPr>
                <w:sz w:val="16"/>
                <w:szCs w:val="16"/>
              </w:rPr>
            </w:pPr>
            <w:r>
              <w:rPr>
                <w:sz w:val="16"/>
                <w:szCs w:val="16"/>
              </w:rPr>
              <w:t>-9,71</w:t>
            </w:r>
          </w:p>
        </w:tc>
        <w:tc>
          <w:tcPr>
            <w:tcW w:w="581" w:type="dxa"/>
            <w:tcBorders>
              <w:top w:val="nil"/>
              <w:left w:val="nil"/>
              <w:bottom w:val="nil"/>
              <w:right w:val="nil"/>
            </w:tcBorders>
          </w:tcPr>
          <w:p w:rsidR="0084208F" w:rsidRDefault="00177521" w:rsidP="00177521">
            <w:pPr>
              <w:autoSpaceDE w:val="0"/>
              <w:autoSpaceDN w:val="0"/>
              <w:adjustRightInd w:val="0"/>
              <w:spacing w:line="360" w:lineRule="auto"/>
              <w:jc w:val="center"/>
              <w:rPr>
                <w:sz w:val="16"/>
                <w:szCs w:val="16"/>
              </w:rPr>
            </w:pPr>
            <w:r>
              <w:rPr>
                <w:sz w:val="16"/>
                <w:szCs w:val="16"/>
              </w:rPr>
              <w:t>-4,47</w:t>
            </w:r>
          </w:p>
        </w:tc>
        <w:tc>
          <w:tcPr>
            <w:tcW w:w="583" w:type="dxa"/>
            <w:tcBorders>
              <w:top w:val="nil"/>
              <w:left w:val="nil"/>
              <w:bottom w:val="nil"/>
            </w:tcBorders>
          </w:tcPr>
          <w:p w:rsidR="0084208F" w:rsidRDefault="00177521" w:rsidP="00177521">
            <w:pPr>
              <w:autoSpaceDE w:val="0"/>
              <w:autoSpaceDN w:val="0"/>
              <w:adjustRightInd w:val="0"/>
              <w:spacing w:line="360" w:lineRule="auto"/>
              <w:jc w:val="center"/>
              <w:rPr>
                <w:sz w:val="16"/>
                <w:szCs w:val="16"/>
              </w:rPr>
            </w:pPr>
            <w:r>
              <w:rPr>
                <w:sz w:val="16"/>
                <w:szCs w:val="16"/>
              </w:rPr>
              <w:t>-7,30</w:t>
            </w:r>
          </w:p>
        </w:tc>
      </w:tr>
      <w:tr w:rsidR="00E62A60" w:rsidRPr="00884BFC" w:rsidTr="006D1714">
        <w:tc>
          <w:tcPr>
            <w:tcW w:w="1390" w:type="dxa"/>
            <w:tcBorders>
              <w:top w:val="nil"/>
              <w:bottom w:val="nil"/>
              <w:right w:val="nil"/>
            </w:tcBorders>
          </w:tcPr>
          <w:p w:rsidR="0084208F" w:rsidRPr="00D31CE5" w:rsidRDefault="00142C13"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Variância</w:t>
            </w:r>
          </w:p>
        </w:tc>
        <w:tc>
          <w:tcPr>
            <w:tcW w:w="1585" w:type="dxa"/>
            <w:tcBorders>
              <w:top w:val="nil"/>
              <w:left w:val="nil"/>
              <w:bottom w:val="nil"/>
              <w:right w:val="single" w:sz="4" w:space="0" w:color="auto"/>
            </w:tcBorders>
          </w:tcPr>
          <w:p w:rsidR="0084208F" w:rsidRPr="00D31CE5" w:rsidRDefault="00177521" w:rsidP="00177521">
            <w:pPr>
              <w:autoSpaceDE w:val="0"/>
              <w:autoSpaceDN w:val="0"/>
              <w:adjustRightInd w:val="0"/>
              <w:spacing w:line="360" w:lineRule="auto"/>
              <w:jc w:val="center"/>
              <w:rPr>
                <w:rStyle w:val="hps"/>
                <w:color w:val="333333"/>
                <w:sz w:val="16"/>
                <w:szCs w:val="16"/>
              </w:rPr>
            </w:pPr>
            <w:r>
              <w:rPr>
                <w:rStyle w:val="hps"/>
                <w:color w:val="333333"/>
                <w:sz w:val="16"/>
                <w:szCs w:val="16"/>
              </w:rPr>
              <w:t>3,47</w:t>
            </w:r>
          </w:p>
        </w:tc>
        <w:tc>
          <w:tcPr>
            <w:tcW w:w="709" w:type="dxa"/>
            <w:tcBorders>
              <w:top w:val="nil"/>
              <w:left w:val="single" w:sz="4" w:space="0" w:color="auto"/>
              <w:bottom w:val="nil"/>
              <w:right w:val="nil"/>
            </w:tcBorders>
          </w:tcPr>
          <w:p w:rsidR="0084208F" w:rsidRPr="00D31CE5" w:rsidRDefault="00177521" w:rsidP="00177521">
            <w:pPr>
              <w:autoSpaceDE w:val="0"/>
              <w:autoSpaceDN w:val="0"/>
              <w:adjustRightInd w:val="0"/>
              <w:spacing w:line="360" w:lineRule="auto"/>
              <w:jc w:val="center"/>
              <w:rPr>
                <w:sz w:val="16"/>
                <w:szCs w:val="16"/>
              </w:rPr>
            </w:pPr>
            <w:r>
              <w:rPr>
                <w:sz w:val="16"/>
                <w:szCs w:val="16"/>
              </w:rPr>
              <w:t>0,34</w:t>
            </w:r>
          </w:p>
        </w:tc>
        <w:tc>
          <w:tcPr>
            <w:tcW w:w="581" w:type="dxa"/>
            <w:tcBorders>
              <w:top w:val="nil"/>
              <w:left w:val="nil"/>
              <w:bottom w:val="nil"/>
              <w:right w:val="nil"/>
            </w:tcBorders>
          </w:tcPr>
          <w:p w:rsidR="0084208F" w:rsidRDefault="00177521" w:rsidP="00177521">
            <w:pPr>
              <w:autoSpaceDE w:val="0"/>
              <w:autoSpaceDN w:val="0"/>
              <w:adjustRightInd w:val="0"/>
              <w:spacing w:line="360" w:lineRule="auto"/>
              <w:jc w:val="center"/>
              <w:rPr>
                <w:sz w:val="16"/>
                <w:szCs w:val="16"/>
              </w:rPr>
            </w:pPr>
            <w:r>
              <w:rPr>
                <w:sz w:val="16"/>
                <w:szCs w:val="16"/>
              </w:rPr>
              <w:t>0,47</w:t>
            </w:r>
          </w:p>
        </w:tc>
        <w:tc>
          <w:tcPr>
            <w:tcW w:w="583" w:type="dxa"/>
            <w:tcBorders>
              <w:top w:val="nil"/>
              <w:left w:val="nil"/>
              <w:bottom w:val="nil"/>
            </w:tcBorders>
          </w:tcPr>
          <w:p w:rsidR="0084208F" w:rsidRDefault="00177521" w:rsidP="00177521">
            <w:pPr>
              <w:autoSpaceDE w:val="0"/>
              <w:autoSpaceDN w:val="0"/>
              <w:adjustRightInd w:val="0"/>
              <w:spacing w:line="360" w:lineRule="auto"/>
              <w:jc w:val="center"/>
              <w:rPr>
                <w:sz w:val="16"/>
                <w:szCs w:val="16"/>
              </w:rPr>
            </w:pPr>
            <w:r>
              <w:rPr>
                <w:sz w:val="16"/>
                <w:szCs w:val="16"/>
              </w:rPr>
              <w:t>1,26</w:t>
            </w:r>
          </w:p>
        </w:tc>
      </w:tr>
      <w:tr w:rsidR="00E62A60" w:rsidRPr="00884BFC" w:rsidTr="006D1714">
        <w:tc>
          <w:tcPr>
            <w:tcW w:w="1390" w:type="dxa"/>
            <w:tcBorders>
              <w:top w:val="nil"/>
              <w:bottom w:val="nil"/>
              <w:right w:val="nil"/>
            </w:tcBorders>
          </w:tcPr>
          <w:p w:rsidR="0084208F" w:rsidRPr="00D31CE5" w:rsidRDefault="00142C13"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Desvio-Padrão</w:t>
            </w:r>
          </w:p>
        </w:tc>
        <w:tc>
          <w:tcPr>
            <w:tcW w:w="1585" w:type="dxa"/>
            <w:tcBorders>
              <w:top w:val="nil"/>
              <w:left w:val="nil"/>
              <w:bottom w:val="nil"/>
              <w:right w:val="single" w:sz="4" w:space="0" w:color="auto"/>
            </w:tcBorders>
          </w:tcPr>
          <w:p w:rsidR="0084208F" w:rsidRPr="00D31CE5" w:rsidRDefault="00177521" w:rsidP="00177521">
            <w:pPr>
              <w:autoSpaceDE w:val="0"/>
              <w:autoSpaceDN w:val="0"/>
              <w:adjustRightInd w:val="0"/>
              <w:spacing w:line="360" w:lineRule="auto"/>
              <w:jc w:val="center"/>
              <w:rPr>
                <w:rStyle w:val="hps"/>
                <w:color w:val="333333"/>
                <w:sz w:val="16"/>
                <w:szCs w:val="16"/>
              </w:rPr>
            </w:pPr>
            <w:r>
              <w:rPr>
                <w:rStyle w:val="hps"/>
                <w:color w:val="333333"/>
                <w:sz w:val="16"/>
                <w:szCs w:val="16"/>
              </w:rPr>
              <w:t>1,86</w:t>
            </w:r>
          </w:p>
        </w:tc>
        <w:tc>
          <w:tcPr>
            <w:tcW w:w="709" w:type="dxa"/>
            <w:tcBorders>
              <w:top w:val="nil"/>
              <w:left w:val="single" w:sz="4" w:space="0" w:color="auto"/>
              <w:bottom w:val="nil"/>
              <w:right w:val="nil"/>
            </w:tcBorders>
          </w:tcPr>
          <w:p w:rsidR="0084208F" w:rsidRPr="00D31CE5" w:rsidRDefault="00177521" w:rsidP="00177521">
            <w:pPr>
              <w:autoSpaceDE w:val="0"/>
              <w:autoSpaceDN w:val="0"/>
              <w:adjustRightInd w:val="0"/>
              <w:spacing w:line="360" w:lineRule="auto"/>
              <w:jc w:val="center"/>
              <w:rPr>
                <w:sz w:val="16"/>
                <w:szCs w:val="16"/>
              </w:rPr>
            </w:pPr>
            <w:r>
              <w:rPr>
                <w:sz w:val="16"/>
                <w:szCs w:val="16"/>
              </w:rPr>
              <w:t>0,58</w:t>
            </w:r>
          </w:p>
        </w:tc>
        <w:tc>
          <w:tcPr>
            <w:tcW w:w="581" w:type="dxa"/>
            <w:tcBorders>
              <w:top w:val="nil"/>
              <w:left w:val="nil"/>
              <w:bottom w:val="nil"/>
              <w:right w:val="nil"/>
            </w:tcBorders>
          </w:tcPr>
          <w:p w:rsidR="0084208F" w:rsidRDefault="00177521" w:rsidP="00177521">
            <w:pPr>
              <w:autoSpaceDE w:val="0"/>
              <w:autoSpaceDN w:val="0"/>
              <w:adjustRightInd w:val="0"/>
              <w:spacing w:line="360" w:lineRule="auto"/>
              <w:jc w:val="center"/>
              <w:rPr>
                <w:sz w:val="16"/>
                <w:szCs w:val="16"/>
              </w:rPr>
            </w:pPr>
            <w:r>
              <w:rPr>
                <w:sz w:val="16"/>
                <w:szCs w:val="16"/>
              </w:rPr>
              <w:t>0,69</w:t>
            </w:r>
          </w:p>
        </w:tc>
        <w:tc>
          <w:tcPr>
            <w:tcW w:w="583" w:type="dxa"/>
            <w:tcBorders>
              <w:top w:val="nil"/>
              <w:left w:val="nil"/>
              <w:bottom w:val="nil"/>
            </w:tcBorders>
          </w:tcPr>
          <w:p w:rsidR="0084208F" w:rsidRDefault="00177521" w:rsidP="00177521">
            <w:pPr>
              <w:autoSpaceDE w:val="0"/>
              <w:autoSpaceDN w:val="0"/>
              <w:adjustRightInd w:val="0"/>
              <w:spacing w:line="360" w:lineRule="auto"/>
              <w:jc w:val="center"/>
              <w:rPr>
                <w:sz w:val="16"/>
                <w:szCs w:val="16"/>
              </w:rPr>
            </w:pPr>
            <w:r>
              <w:rPr>
                <w:sz w:val="16"/>
                <w:szCs w:val="16"/>
              </w:rPr>
              <w:t>1,12</w:t>
            </w:r>
          </w:p>
        </w:tc>
      </w:tr>
      <w:tr w:rsidR="00E62A60" w:rsidRPr="00884BFC" w:rsidTr="006D1714">
        <w:tc>
          <w:tcPr>
            <w:tcW w:w="1390" w:type="dxa"/>
            <w:tcBorders>
              <w:top w:val="nil"/>
              <w:bottom w:val="nil"/>
              <w:right w:val="nil"/>
            </w:tcBorders>
          </w:tcPr>
          <w:p w:rsidR="0084208F" w:rsidRPr="00D31CE5" w:rsidRDefault="00A06F71"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Assimetria</w:t>
            </w:r>
          </w:p>
        </w:tc>
        <w:tc>
          <w:tcPr>
            <w:tcW w:w="1585" w:type="dxa"/>
            <w:tcBorders>
              <w:top w:val="nil"/>
              <w:left w:val="nil"/>
              <w:bottom w:val="nil"/>
              <w:right w:val="single" w:sz="4" w:space="0" w:color="auto"/>
            </w:tcBorders>
          </w:tcPr>
          <w:p w:rsidR="0084208F" w:rsidRPr="00D31CE5" w:rsidRDefault="00177521" w:rsidP="00177521">
            <w:pPr>
              <w:autoSpaceDE w:val="0"/>
              <w:autoSpaceDN w:val="0"/>
              <w:adjustRightInd w:val="0"/>
              <w:spacing w:line="360" w:lineRule="auto"/>
              <w:jc w:val="center"/>
              <w:rPr>
                <w:rStyle w:val="hps"/>
                <w:color w:val="333333"/>
                <w:sz w:val="16"/>
                <w:szCs w:val="16"/>
              </w:rPr>
            </w:pPr>
            <w:r>
              <w:rPr>
                <w:rStyle w:val="hps"/>
                <w:color w:val="333333"/>
                <w:sz w:val="16"/>
                <w:szCs w:val="16"/>
              </w:rPr>
              <w:t>0,20</w:t>
            </w:r>
          </w:p>
        </w:tc>
        <w:tc>
          <w:tcPr>
            <w:tcW w:w="709" w:type="dxa"/>
            <w:tcBorders>
              <w:top w:val="nil"/>
              <w:left w:val="single" w:sz="4" w:space="0" w:color="auto"/>
              <w:bottom w:val="nil"/>
              <w:right w:val="nil"/>
            </w:tcBorders>
          </w:tcPr>
          <w:p w:rsidR="0084208F" w:rsidRPr="00D31CE5" w:rsidRDefault="00177521" w:rsidP="00177521">
            <w:pPr>
              <w:autoSpaceDE w:val="0"/>
              <w:autoSpaceDN w:val="0"/>
              <w:adjustRightInd w:val="0"/>
              <w:spacing w:line="360" w:lineRule="auto"/>
              <w:jc w:val="center"/>
              <w:rPr>
                <w:sz w:val="16"/>
                <w:szCs w:val="16"/>
              </w:rPr>
            </w:pPr>
            <w:r>
              <w:rPr>
                <w:sz w:val="16"/>
                <w:szCs w:val="16"/>
              </w:rPr>
              <w:t>-2,46</w:t>
            </w:r>
          </w:p>
        </w:tc>
        <w:tc>
          <w:tcPr>
            <w:tcW w:w="581" w:type="dxa"/>
            <w:tcBorders>
              <w:top w:val="nil"/>
              <w:left w:val="nil"/>
              <w:bottom w:val="nil"/>
              <w:right w:val="nil"/>
            </w:tcBorders>
          </w:tcPr>
          <w:p w:rsidR="0084208F" w:rsidRDefault="00177521" w:rsidP="00177521">
            <w:pPr>
              <w:autoSpaceDE w:val="0"/>
              <w:autoSpaceDN w:val="0"/>
              <w:adjustRightInd w:val="0"/>
              <w:spacing w:line="360" w:lineRule="auto"/>
              <w:jc w:val="center"/>
              <w:rPr>
                <w:sz w:val="16"/>
                <w:szCs w:val="16"/>
              </w:rPr>
            </w:pPr>
            <w:r>
              <w:rPr>
                <w:sz w:val="16"/>
                <w:szCs w:val="16"/>
              </w:rPr>
              <w:t>1,56</w:t>
            </w:r>
          </w:p>
        </w:tc>
        <w:tc>
          <w:tcPr>
            <w:tcW w:w="583" w:type="dxa"/>
            <w:tcBorders>
              <w:top w:val="nil"/>
              <w:left w:val="nil"/>
              <w:bottom w:val="nil"/>
            </w:tcBorders>
          </w:tcPr>
          <w:p w:rsidR="0084208F" w:rsidRDefault="00177521" w:rsidP="00177521">
            <w:pPr>
              <w:autoSpaceDE w:val="0"/>
              <w:autoSpaceDN w:val="0"/>
              <w:adjustRightInd w:val="0"/>
              <w:spacing w:line="360" w:lineRule="auto"/>
              <w:jc w:val="center"/>
              <w:rPr>
                <w:sz w:val="16"/>
                <w:szCs w:val="16"/>
              </w:rPr>
            </w:pPr>
            <w:r>
              <w:rPr>
                <w:sz w:val="16"/>
                <w:szCs w:val="16"/>
              </w:rPr>
              <w:t>0,30</w:t>
            </w:r>
          </w:p>
        </w:tc>
      </w:tr>
      <w:tr w:rsidR="00E62A60" w:rsidRPr="00884BFC" w:rsidTr="006D1714">
        <w:tc>
          <w:tcPr>
            <w:tcW w:w="1390" w:type="dxa"/>
            <w:tcBorders>
              <w:top w:val="nil"/>
              <w:bottom w:val="nil"/>
              <w:right w:val="nil"/>
            </w:tcBorders>
          </w:tcPr>
          <w:p w:rsidR="00E56F36" w:rsidRPr="00D31CE5" w:rsidRDefault="00A06F71"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Curtose</w:t>
            </w:r>
          </w:p>
        </w:tc>
        <w:tc>
          <w:tcPr>
            <w:tcW w:w="1585" w:type="dxa"/>
            <w:tcBorders>
              <w:top w:val="nil"/>
              <w:left w:val="nil"/>
              <w:bottom w:val="nil"/>
              <w:right w:val="single" w:sz="4" w:space="0" w:color="auto"/>
            </w:tcBorders>
          </w:tcPr>
          <w:p w:rsidR="00E56F36" w:rsidRPr="00D31CE5" w:rsidRDefault="00684858" w:rsidP="00177521">
            <w:pPr>
              <w:autoSpaceDE w:val="0"/>
              <w:autoSpaceDN w:val="0"/>
              <w:adjustRightInd w:val="0"/>
              <w:spacing w:line="360" w:lineRule="auto"/>
              <w:jc w:val="center"/>
              <w:rPr>
                <w:rStyle w:val="hps"/>
                <w:color w:val="333333"/>
                <w:sz w:val="16"/>
                <w:szCs w:val="16"/>
              </w:rPr>
            </w:pPr>
            <w:r>
              <w:rPr>
                <w:rStyle w:val="hps"/>
                <w:color w:val="333333"/>
                <w:sz w:val="16"/>
                <w:szCs w:val="16"/>
              </w:rPr>
              <w:t>9,34</w:t>
            </w:r>
          </w:p>
        </w:tc>
        <w:tc>
          <w:tcPr>
            <w:tcW w:w="709" w:type="dxa"/>
            <w:tcBorders>
              <w:top w:val="nil"/>
              <w:left w:val="single" w:sz="4" w:space="0" w:color="auto"/>
              <w:bottom w:val="nil"/>
              <w:right w:val="nil"/>
            </w:tcBorders>
          </w:tcPr>
          <w:p w:rsidR="00E56F36" w:rsidRPr="00D31CE5" w:rsidRDefault="00684858" w:rsidP="00177521">
            <w:pPr>
              <w:autoSpaceDE w:val="0"/>
              <w:autoSpaceDN w:val="0"/>
              <w:adjustRightInd w:val="0"/>
              <w:spacing w:line="360" w:lineRule="auto"/>
              <w:jc w:val="center"/>
              <w:rPr>
                <w:sz w:val="16"/>
                <w:szCs w:val="16"/>
              </w:rPr>
            </w:pPr>
            <w:r>
              <w:rPr>
                <w:sz w:val="16"/>
                <w:szCs w:val="16"/>
              </w:rPr>
              <w:t>42,99</w:t>
            </w:r>
          </w:p>
        </w:tc>
        <w:tc>
          <w:tcPr>
            <w:tcW w:w="581" w:type="dxa"/>
            <w:tcBorders>
              <w:top w:val="nil"/>
              <w:left w:val="nil"/>
              <w:bottom w:val="nil"/>
              <w:right w:val="nil"/>
            </w:tcBorders>
          </w:tcPr>
          <w:p w:rsidR="00E56F36" w:rsidRDefault="00684858" w:rsidP="00177521">
            <w:pPr>
              <w:autoSpaceDE w:val="0"/>
              <w:autoSpaceDN w:val="0"/>
              <w:adjustRightInd w:val="0"/>
              <w:spacing w:line="360" w:lineRule="auto"/>
              <w:jc w:val="center"/>
              <w:rPr>
                <w:sz w:val="16"/>
                <w:szCs w:val="16"/>
              </w:rPr>
            </w:pPr>
            <w:r>
              <w:rPr>
                <w:sz w:val="16"/>
                <w:szCs w:val="16"/>
              </w:rPr>
              <w:t>24,37</w:t>
            </w:r>
          </w:p>
        </w:tc>
        <w:tc>
          <w:tcPr>
            <w:tcW w:w="583" w:type="dxa"/>
            <w:tcBorders>
              <w:top w:val="nil"/>
              <w:left w:val="nil"/>
              <w:bottom w:val="nil"/>
            </w:tcBorders>
          </w:tcPr>
          <w:p w:rsidR="00E56F36" w:rsidRDefault="00684858" w:rsidP="00177521">
            <w:pPr>
              <w:autoSpaceDE w:val="0"/>
              <w:autoSpaceDN w:val="0"/>
              <w:adjustRightInd w:val="0"/>
              <w:spacing w:line="360" w:lineRule="auto"/>
              <w:jc w:val="center"/>
              <w:rPr>
                <w:sz w:val="16"/>
                <w:szCs w:val="16"/>
              </w:rPr>
            </w:pPr>
            <w:r>
              <w:rPr>
                <w:sz w:val="16"/>
                <w:szCs w:val="16"/>
              </w:rPr>
              <w:t>7,87</w:t>
            </w:r>
          </w:p>
        </w:tc>
      </w:tr>
      <w:tr w:rsidR="00E62A60" w:rsidRPr="00884BFC" w:rsidTr="006D1714">
        <w:tc>
          <w:tcPr>
            <w:tcW w:w="1390" w:type="dxa"/>
            <w:tcBorders>
              <w:top w:val="nil"/>
              <w:bottom w:val="nil"/>
              <w:right w:val="nil"/>
            </w:tcBorders>
          </w:tcPr>
          <w:p w:rsidR="00E56F36" w:rsidRPr="00D31CE5" w:rsidRDefault="00A06F71"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Coef. Variação</w:t>
            </w:r>
          </w:p>
        </w:tc>
        <w:tc>
          <w:tcPr>
            <w:tcW w:w="1585" w:type="dxa"/>
            <w:tcBorders>
              <w:top w:val="nil"/>
              <w:left w:val="nil"/>
              <w:bottom w:val="nil"/>
              <w:right w:val="single" w:sz="4" w:space="0" w:color="auto"/>
            </w:tcBorders>
          </w:tcPr>
          <w:p w:rsidR="00E56F36" w:rsidRPr="00D31CE5" w:rsidRDefault="00684858" w:rsidP="00177521">
            <w:pPr>
              <w:autoSpaceDE w:val="0"/>
              <w:autoSpaceDN w:val="0"/>
              <w:adjustRightInd w:val="0"/>
              <w:spacing w:line="360" w:lineRule="auto"/>
              <w:jc w:val="center"/>
              <w:rPr>
                <w:rStyle w:val="hps"/>
                <w:color w:val="333333"/>
                <w:sz w:val="16"/>
                <w:szCs w:val="16"/>
              </w:rPr>
            </w:pPr>
            <w:r>
              <w:rPr>
                <w:rStyle w:val="hps"/>
                <w:color w:val="333333"/>
                <w:sz w:val="16"/>
                <w:szCs w:val="16"/>
              </w:rPr>
              <w:t>86,17</w:t>
            </w:r>
          </w:p>
        </w:tc>
        <w:tc>
          <w:tcPr>
            <w:tcW w:w="709" w:type="dxa"/>
            <w:tcBorders>
              <w:top w:val="nil"/>
              <w:left w:val="single" w:sz="4" w:space="0" w:color="auto"/>
              <w:bottom w:val="nil"/>
              <w:right w:val="nil"/>
            </w:tcBorders>
          </w:tcPr>
          <w:p w:rsidR="00E56F36" w:rsidRPr="00D31CE5" w:rsidRDefault="00684858" w:rsidP="00177521">
            <w:pPr>
              <w:autoSpaceDE w:val="0"/>
              <w:autoSpaceDN w:val="0"/>
              <w:adjustRightInd w:val="0"/>
              <w:spacing w:line="360" w:lineRule="auto"/>
              <w:jc w:val="center"/>
              <w:rPr>
                <w:sz w:val="16"/>
                <w:szCs w:val="16"/>
              </w:rPr>
            </w:pPr>
            <w:r>
              <w:rPr>
                <w:sz w:val="16"/>
                <w:szCs w:val="16"/>
              </w:rPr>
              <w:t>40,51</w:t>
            </w:r>
          </w:p>
        </w:tc>
        <w:tc>
          <w:tcPr>
            <w:tcW w:w="581" w:type="dxa"/>
            <w:tcBorders>
              <w:top w:val="nil"/>
              <w:left w:val="nil"/>
              <w:bottom w:val="nil"/>
              <w:right w:val="nil"/>
            </w:tcBorders>
          </w:tcPr>
          <w:p w:rsidR="00E56F36" w:rsidRDefault="00684858" w:rsidP="00177521">
            <w:pPr>
              <w:autoSpaceDE w:val="0"/>
              <w:autoSpaceDN w:val="0"/>
              <w:adjustRightInd w:val="0"/>
              <w:spacing w:line="360" w:lineRule="auto"/>
              <w:jc w:val="center"/>
              <w:rPr>
                <w:sz w:val="16"/>
                <w:szCs w:val="16"/>
              </w:rPr>
            </w:pPr>
            <w:r>
              <w:rPr>
                <w:sz w:val="16"/>
                <w:szCs w:val="16"/>
              </w:rPr>
              <w:t>24,90</w:t>
            </w:r>
          </w:p>
        </w:tc>
        <w:tc>
          <w:tcPr>
            <w:tcW w:w="583" w:type="dxa"/>
            <w:tcBorders>
              <w:top w:val="nil"/>
              <w:left w:val="nil"/>
              <w:bottom w:val="nil"/>
            </w:tcBorders>
          </w:tcPr>
          <w:p w:rsidR="00E56F36" w:rsidRDefault="00684858" w:rsidP="00177521">
            <w:pPr>
              <w:autoSpaceDE w:val="0"/>
              <w:autoSpaceDN w:val="0"/>
              <w:adjustRightInd w:val="0"/>
              <w:spacing w:line="360" w:lineRule="auto"/>
              <w:jc w:val="center"/>
              <w:rPr>
                <w:sz w:val="16"/>
                <w:szCs w:val="16"/>
              </w:rPr>
            </w:pPr>
            <w:r>
              <w:rPr>
                <w:sz w:val="16"/>
                <w:szCs w:val="16"/>
              </w:rPr>
              <w:t>38,52</w:t>
            </w:r>
          </w:p>
        </w:tc>
      </w:tr>
      <w:tr w:rsidR="00E62A60" w:rsidRPr="00884BFC" w:rsidTr="006D1714">
        <w:tc>
          <w:tcPr>
            <w:tcW w:w="1390" w:type="dxa"/>
            <w:tcBorders>
              <w:top w:val="nil"/>
              <w:bottom w:val="nil"/>
              <w:right w:val="nil"/>
            </w:tcBorders>
          </w:tcPr>
          <w:p w:rsidR="00E56F36" w:rsidRPr="00D31CE5" w:rsidRDefault="00A06F71"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 xml:space="preserve">Jarque Bera </w:t>
            </w:r>
            <w:r w:rsidRPr="00A06F71">
              <w:rPr>
                <w:rStyle w:val="hps"/>
                <w:color w:val="333333"/>
                <w:sz w:val="16"/>
                <w:szCs w:val="16"/>
                <w:vertAlign w:val="subscript"/>
                <w:lang w:val="pt-PT"/>
              </w:rPr>
              <w:t>(P-Valor)</w:t>
            </w:r>
          </w:p>
        </w:tc>
        <w:tc>
          <w:tcPr>
            <w:tcW w:w="1585" w:type="dxa"/>
            <w:tcBorders>
              <w:top w:val="nil"/>
              <w:left w:val="nil"/>
              <w:bottom w:val="nil"/>
              <w:right w:val="single" w:sz="4" w:space="0" w:color="auto"/>
            </w:tcBorders>
          </w:tcPr>
          <w:p w:rsidR="00E56F36" w:rsidRPr="00D31CE5" w:rsidRDefault="00684858" w:rsidP="00177521">
            <w:pPr>
              <w:autoSpaceDE w:val="0"/>
              <w:autoSpaceDN w:val="0"/>
              <w:adjustRightInd w:val="0"/>
              <w:spacing w:line="360" w:lineRule="auto"/>
              <w:jc w:val="center"/>
              <w:rPr>
                <w:rStyle w:val="hps"/>
                <w:color w:val="333333"/>
                <w:sz w:val="16"/>
                <w:szCs w:val="16"/>
              </w:rPr>
            </w:pPr>
            <w:r>
              <w:rPr>
                <w:rStyle w:val="hps"/>
                <w:color w:val="333333"/>
                <w:sz w:val="16"/>
                <w:szCs w:val="16"/>
              </w:rPr>
              <w:t>0,00</w:t>
            </w:r>
          </w:p>
        </w:tc>
        <w:tc>
          <w:tcPr>
            <w:tcW w:w="709" w:type="dxa"/>
            <w:tcBorders>
              <w:top w:val="nil"/>
              <w:left w:val="single" w:sz="4" w:space="0" w:color="auto"/>
              <w:bottom w:val="nil"/>
              <w:right w:val="nil"/>
            </w:tcBorders>
          </w:tcPr>
          <w:p w:rsidR="00E56F36" w:rsidRPr="00D31CE5" w:rsidRDefault="00684858" w:rsidP="00177521">
            <w:pPr>
              <w:autoSpaceDE w:val="0"/>
              <w:autoSpaceDN w:val="0"/>
              <w:adjustRightInd w:val="0"/>
              <w:spacing w:line="360" w:lineRule="auto"/>
              <w:jc w:val="center"/>
              <w:rPr>
                <w:sz w:val="16"/>
                <w:szCs w:val="16"/>
              </w:rPr>
            </w:pPr>
            <w:r>
              <w:rPr>
                <w:sz w:val="16"/>
                <w:szCs w:val="16"/>
              </w:rPr>
              <w:t>0,00</w:t>
            </w:r>
          </w:p>
        </w:tc>
        <w:tc>
          <w:tcPr>
            <w:tcW w:w="581" w:type="dxa"/>
            <w:tcBorders>
              <w:top w:val="nil"/>
              <w:left w:val="nil"/>
              <w:bottom w:val="nil"/>
              <w:right w:val="nil"/>
            </w:tcBorders>
          </w:tcPr>
          <w:p w:rsidR="00E56F36" w:rsidRDefault="00684858" w:rsidP="00177521">
            <w:pPr>
              <w:autoSpaceDE w:val="0"/>
              <w:autoSpaceDN w:val="0"/>
              <w:adjustRightInd w:val="0"/>
              <w:spacing w:line="360" w:lineRule="auto"/>
              <w:jc w:val="center"/>
              <w:rPr>
                <w:sz w:val="16"/>
                <w:szCs w:val="16"/>
              </w:rPr>
            </w:pPr>
            <w:r>
              <w:rPr>
                <w:sz w:val="16"/>
                <w:szCs w:val="16"/>
              </w:rPr>
              <w:t>0,00</w:t>
            </w:r>
          </w:p>
        </w:tc>
        <w:tc>
          <w:tcPr>
            <w:tcW w:w="583" w:type="dxa"/>
            <w:tcBorders>
              <w:top w:val="nil"/>
              <w:left w:val="nil"/>
              <w:bottom w:val="nil"/>
            </w:tcBorders>
          </w:tcPr>
          <w:p w:rsidR="00E56F36" w:rsidRDefault="00684858" w:rsidP="00177521">
            <w:pPr>
              <w:autoSpaceDE w:val="0"/>
              <w:autoSpaceDN w:val="0"/>
              <w:adjustRightInd w:val="0"/>
              <w:spacing w:line="360" w:lineRule="auto"/>
              <w:jc w:val="center"/>
              <w:rPr>
                <w:sz w:val="16"/>
                <w:szCs w:val="16"/>
              </w:rPr>
            </w:pPr>
            <w:r>
              <w:rPr>
                <w:sz w:val="16"/>
                <w:szCs w:val="16"/>
              </w:rPr>
              <w:t>0,00</w:t>
            </w:r>
          </w:p>
        </w:tc>
      </w:tr>
      <w:tr w:rsidR="00E62A60" w:rsidRPr="00884BFC" w:rsidTr="006D1714">
        <w:trPr>
          <w:trHeight w:val="55"/>
        </w:trPr>
        <w:tc>
          <w:tcPr>
            <w:tcW w:w="1390" w:type="dxa"/>
            <w:tcBorders>
              <w:top w:val="nil"/>
              <w:bottom w:val="single" w:sz="4" w:space="0" w:color="auto"/>
              <w:right w:val="nil"/>
            </w:tcBorders>
          </w:tcPr>
          <w:p w:rsidR="00E56F36" w:rsidRPr="00D31CE5" w:rsidRDefault="00A06F71" w:rsidP="00177521">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 xml:space="preserve">ADF </w:t>
            </w:r>
            <w:r w:rsidRPr="00A06F71">
              <w:rPr>
                <w:rStyle w:val="hps"/>
                <w:color w:val="333333"/>
                <w:sz w:val="16"/>
                <w:szCs w:val="16"/>
                <w:vertAlign w:val="subscript"/>
                <w:lang w:val="pt-PT"/>
              </w:rPr>
              <w:t>(P-Valor)</w:t>
            </w:r>
          </w:p>
        </w:tc>
        <w:tc>
          <w:tcPr>
            <w:tcW w:w="1585" w:type="dxa"/>
            <w:tcBorders>
              <w:top w:val="nil"/>
              <w:left w:val="nil"/>
              <w:bottom w:val="single" w:sz="4" w:space="0" w:color="auto"/>
              <w:right w:val="single" w:sz="4" w:space="0" w:color="auto"/>
            </w:tcBorders>
          </w:tcPr>
          <w:p w:rsidR="00E56F36" w:rsidRPr="00A06F71" w:rsidRDefault="00684858" w:rsidP="00177521">
            <w:pPr>
              <w:autoSpaceDE w:val="0"/>
              <w:autoSpaceDN w:val="0"/>
              <w:adjustRightInd w:val="0"/>
              <w:spacing w:line="360" w:lineRule="auto"/>
              <w:jc w:val="center"/>
              <w:rPr>
                <w:rStyle w:val="hps"/>
                <w:color w:val="333333"/>
                <w:sz w:val="16"/>
                <w:szCs w:val="16"/>
              </w:rPr>
            </w:pPr>
            <w:r>
              <w:rPr>
                <w:rStyle w:val="hps"/>
                <w:color w:val="333333"/>
                <w:sz w:val="16"/>
                <w:szCs w:val="16"/>
              </w:rPr>
              <w:t>0,00</w:t>
            </w:r>
          </w:p>
        </w:tc>
        <w:tc>
          <w:tcPr>
            <w:tcW w:w="709" w:type="dxa"/>
            <w:tcBorders>
              <w:top w:val="nil"/>
              <w:left w:val="single" w:sz="4" w:space="0" w:color="auto"/>
              <w:bottom w:val="single" w:sz="4" w:space="0" w:color="auto"/>
              <w:right w:val="nil"/>
            </w:tcBorders>
          </w:tcPr>
          <w:p w:rsidR="00E56F36" w:rsidRPr="00A06F71" w:rsidRDefault="00684858" w:rsidP="00177521">
            <w:pPr>
              <w:autoSpaceDE w:val="0"/>
              <w:autoSpaceDN w:val="0"/>
              <w:adjustRightInd w:val="0"/>
              <w:spacing w:line="360" w:lineRule="auto"/>
              <w:jc w:val="center"/>
              <w:rPr>
                <w:sz w:val="16"/>
                <w:szCs w:val="16"/>
              </w:rPr>
            </w:pPr>
            <w:r>
              <w:rPr>
                <w:sz w:val="16"/>
                <w:szCs w:val="16"/>
              </w:rPr>
              <w:t>0,00</w:t>
            </w:r>
          </w:p>
        </w:tc>
        <w:tc>
          <w:tcPr>
            <w:tcW w:w="581" w:type="dxa"/>
            <w:tcBorders>
              <w:top w:val="nil"/>
              <w:left w:val="nil"/>
              <w:bottom w:val="single" w:sz="4" w:space="0" w:color="auto"/>
              <w:right w:val="nil"/>
            </w:tcBorders>
          </w:tcPr>
          <w:p w:rsidR="00E56F36" w:rsidRPr="00A06F71" w:rsidRDefault="00684858" w:rsidP="00177521">
            <w:pPr>
              <w:autoSpaceDE w:val="0"/>
              <w:autoSpaceDN w:val="0"/>
              <w:adjustRightInd w:val="0"/>
              <w:spacing w:line="360" w:lineRule="auto"/>
              <w:jc w:val="center"/>
              <w:rPr>
                <w:sz w:val="16"/>
                <w:szCs w:val="16"/>
              </w:rPr>
            </w:pPr>
            <w:r>
              <w:rPr>
                <w:sz w:val="16"/>
                <w:szCs w:val="16"/>
              </w:rPr>
              <w:t>0,00</w:t>
            </w:r>
          </w:p>
        </w:tc>
        <w:tc>
          <w:tcPr>
            <w:tcW w:w="583" w:type="dxa"/>
            <w:tcBorders>
              <w:top w:val="nil"/>
              <w:left w:val="nil"/>
              <w:bottom w:val="single" w:sz="4" w:space="0" w:color="auto"/>
            </w:tcBorders>
          </w:tcPr>
          <w:p w:rsidR="00E56F36" w:rsidRPr="00A06F71" w:rsidRDefault="00684858" w:rsidP="00177521">
            <w:pPr>
              <w:autoSpaceDE w:val="0"/>
              <w:autoSpaceDN w:val="0"/>
              <w:adjustRightInd w:val="0"/>
              <w:spacing w:line="360" w:lineRule="auto"/>
              <w:jc w:val="center"/>
              <w:rPr>
                <w:sz w:val="16"/>
                <w:szCs w:val="16"/>
              </w:rPr>
            </w:pPr>
            <w:r>
              <w:rPr>
                <w:sz w:val="16"/>
                <w:szCs w:val="16"/>
              </w:rPr>
              <w:t>0,00</w:t>
            </w:r>
          </w:p>
        </w:tc>
      </w:tr>
    </w:tbl>
    <w:p w:rsidR="00E56F36" w:rsidRDefault="00684858" w:rsidP="00500A98">
      <w:pPr>
        <w:autoSpaceDE w:val="0"/>
        <w:autoSpaceDN w:val="0"/>
        <w:adjustRightInd w:val="0"/>
        <w:spacing w:line="360" w:lineRule="auto"/>
        <w:rPr>
          <w:rStyle w:val="hps"/>
          <w:color w:val="333333"/>
          <w:sz w:val="16"/>
          <w:szCs w:val="16"/>
        </w:rPr>
      </w:pPr>
      <w:r>
        <w:rPr>
          <w:rStyle w:val="hps"/>
          <w:color w:val="333333"/>
          <w:sz w:val="16"/>
          <w:szCs w:val="16"/>
        </w:rPr>
        <w:t xml:space="preserve">Jarque Bera - </w:t>
      </w:r>
      <w:r w:rsidR="00E56F36" w:rsidRPr="009C392D">
        <w:rPr>
          <w:rStyle w:val="hps"/>
          <w:color w:val="333333"/>
          <w:sz w:val="16"/>
          <w:szCs w:val="16"/>
        </w:rPr>
        <w:t xml:space="preserve">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r>
          <w:rPr>
            <w:rStyle w:val="hps"/>
            <w:rFonts w:ascii="Cambria Math" w:hAnsi="Cambria Math"/>
            <w:color w:val="333333"/>
            <w:sz w:val="16"/>
            <w:szCs w:val="16"/>
          </w:rPr>
          <m:t xml:space="preserve">: </m:t>
        </m:r>
      </m:oMath>
      <w:r>
        <w:rPr>
          <w:rStyle w:val="hps"/>
          <w:color w:val="333333"/>
          <w:sz w:val="16"/>
          <w:szCs w:val="16"/>
        </w:rPr>
        <w:t>Os dados possuem distribuição normal</w:t>
      </w:r>
      <w:r w:rsidR="00E56F36" w:rsidRPr="009C392D">
        <w:rPr>
          <w:rStyle w:val="hps"/>
          <w:color w:val="333333"/>
          <w:sz w:val="16"/>
          <w:szCs w:val="16"/>
        </w:rPr>
        <w:t>.</w:t>
      </w:r>
    </w:p>
    <w:p w:rsidR="00684858" w:rsidRPr="009C392D" w:rsidRDefault="00684858" w:rsidP="00500A98">
      <w:pPr>
        <w:autoSpaceDE w:val="0"/>
        <w:autoSpaceDN w:val="0"/>
        <w:adjustRightInd w:val="0"/>
        <w:spacing w:line="360" w:lineRule="auto"/>
        <w:rPr>
          <w:rStyle w:val="hps"/>
          <w:color w:val="333333"/>
          <w:sz w:val="16"/>
          <w:szCs w:val="16"/>
        </w:rPr>
      </w:pPr>
      <w:r>
        <w:rPr>
          <w:rStyle w:val="hps"/>
          <w:color w:val="333333"/>
          <w:sz w:val="16"/>
          <w:szCs w:val="16"/>
        </w:rPr>
        <w:t xml:space="preserve">ADF - </w:t>
      </w:r>
      <w:r w:rsidRPr="009C392D">
        <w:rPr>
          <w:rStyle w:val="hps"/>
          <w:color w:val="333333"/>
          <w:sz w:val="16"/>
          <w:szCs w:val="16"/>
        </w:rPr>
        <w:t xml:space="preserve">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r>
          <w:rPr>
            <w:rStyle w:val="hps"/>
            <w:rFonts w:ascii="Cambria Math" w:hAnsi="Cambria Math"/>
            <w:color w:val="333333"/>
            <w:sz w:val="16"/>
            <w:szCs w:val="16"/>
          </w:rPr>
          <m:t>:</m:t>
        </m:r>
      </m:oMath>
      <w:r>
        <w:rPr>
          <w:rStyle w:val="hps"/>
          <w:color w:val="333333"/>
          <w:sz w:val="16"/>
          <w:szCs w:val="16"/>
        </w:rPr>
        <w:t xml:space="preserve"> Presença de raiz unitária.</w:t>
      </w:r>
    </w:p>
    <w:p w:rsidR="00E56F36" w:rsidRDefault="00684858" w:rsidP="00500A98">
      <w:pPr>
        <w:autoSpaceDE w:val="0"/>
        <w:autoSpaceDN w:val="0"/>
        <w:adjustRightInd w:val="0"/>
        <w:spacing w:line="360" w:lineRule="auto"/>
        <w:rPr>
          <w:rStyle w:val="hps"/>
          <w:color w:val="333333"/>
          <w:sz w:val="16"/>
          <w:szCs w:val="16"/>
        </w:rPr>
      </w:pPr>
      <w:r w:rsidRPr="00684858">
        <w:rPr>
          <w:rStyle w:val="hps"/>
          <w:color w:val="333333"/>
          <w:sz w:val="16"/>
          <w:szCs w:val="16"/>
        </w:rPr>
        <w:t>Os resultados com termo constante e termo e/ou com tend</w:t>
      </w:r>
      <w:r>
        <w:rPr>
          <w:rStyle w:val="hps"/>
          <w:color w:val="333333"/>
          <w:sz w:val="16"/>
          <w:szCs w:val="16"/>
        </w:rPr>
        <w:t>ê</w:t>
      </w:r>
      <w:r w:rsidRPr="00684858">
        <w:rPr>
          <w:rStyle w:val="hps"/>
          <w:color w:val="333333"/>
          <w:sz w:val="16"/>
          <w:szCs w:val="16"/>
        </w:rPr>
        <w:t>ncia temporal n</w:t>
      </w:r>
      <w:r>
        <w:rPr>
          <w:rStyle w:val="hps"/>
          <w:color w:val="333333"/>
          <w:sz w:val="16"/>
          <w:szCs w:val="16"/>
        </w:rPr>
        <w:t>ã</w:t>
      </w:r>
      <w:r w:rsidRPr="00684858">
        <w:rPr>
          <w:rStyle w:val="hps"/>
          <w:color w:val="333333"/>
          <w:sz w:val="16"/>
          <w:szCs w:val="16"/>
        </w:rPr>
        <w:t>o se alteram</w:t>
      </w:r>
      <w:r w:rsidR="00E56F36" w:rsidRPr="009C392D">
        <w:rPr>
          <w:rStyle w:val="hps"/>
          <w:color w:val="333333"/>
          <w:sz w:val="16"/>
          <w:szCs w:val="16"/>
        </w:rPr>
        <w:t>.</w:t>
      </w:r>
    </w:p>
    <w:p w:rsidR="00684858" w:rsidRPr="009C392D" w:rsidRDefault="00684858" w:rsidP="00500A98">
      <w:pPr>
        <w:autoSpaceDE w:val="0"/>
        <w:autoSpaceDN w:val="0"/>
        <w:adjustRightInd w:val="0"/>
        <w:spacing w:line="360" w:lineRule="auto"/>
        <w:rPr>
          <w:rStyle w:val="hps"/>
          <w:color w:val="333333"/>
          <w:sz w:val="16"/>
          <w:szCs w:val="16"/>
        </w:rPr>
      </w:pPr>
      <w:r w:rsidRPr="00684858">
        <w:rPr>
          <w:rStyle w:val="hps"/>
          <w:color w:val="333333"/>
          <w:sz w:val="16"/>
          <w:szCs w:val="16"/>
        </w:rPr>
        <w:t>A sele</w:t>
      </w:r>
      <w:r>
        <w:rPr>
          <w:rStyle w:val="hps"/>
          <w:color w:val="333333"/>
          <w:sz w:val="16"/>
          <w:szCs w:val="16"/>
        </w:rPr>
        <w:t>ção</w:t>
      </w:r>
      <w:r w:rsidRPr="00684858">
        <w:rPr>
          <w:rStyle w:val="hps"/>
          <w:color w:val="333333"/>
          <w:sz w:val="16"/>
          <w:szCs w:val="16"/>
        </w:rPr>
        <w:t xml:space="preserve"> da defasagem utilizada nos Teste ADF utilizou o </w:t>
      </w:r>
      <w:r>
        <w:rPr>
          <w:rStyle w:val="hps"/>
          <w:color w:val="333333"/>
          <w:sz w:val="16"/>
          <w:szCs w:val="16"/>
        </w:rPr>
        <w:t>critério</w:t>
      </w:r>
      <w:r w:rsidRPr="00684858">
        <w:rPr>
          <w:rStyle w:val="hps"/>
          <w:color w:val="333333"/>
          <w:sz w:val="16"/>
          <w:szCs w:val="16"/>
        </w:rPr>
        <w:t xml:space="preserve"> de Informa</w:t>
      </w:r>
      <w:r>
        <w:rPr>
          <w:rStyle w:val="hps"/>
          <w:color w:val="333333"/>
          <w:sz w:val="16"/>
          <w:szCs w:val="16"/>
        </w:rPr>
        <w:t>ção</w:t>
      </w:r>
      <w:r w:rsidRPr="00684858">
        <w:rPr>
          <w:rStyle w:val="hps"/>
          <w:color w:val="333333"/>
          <w:sz w:val="16"/>
          <w:szCs w:val="16"/>
        </w:rPr>
        <w:t xml:space="preserve"> de AIC</w:t>
      </w:r>
      <w:r>
        <w:rPr>
          <w:rStyle w:val="hps"/>
          <w:color w:val="333333"/>
          <w:sz w:val="16"/>
          <w:szCs w:val="16"/>
        </w:rPr>
        <w:t>.</w:t>
      </w:r>
    </w:p>
    <w:p w:rsidR="00E56F36" w:rsidRPr="00E56F36" w:rsidRDefault="00E56F36" w:rsidP="00E56F36">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B42B91" w:rsidRDefault="00B42B91" w:rsidP="00B42B91">
      <w:pPr>
        <w:autoSpaceDE w:val="0"/>
        <w:autoSpaceDN w:val="0"/>
        <w:adjustRightInd w:val="0"/>
        <w:spacing w:line="360" w:lineRule="auto"/>
        <w:ind w:firstLine="708"/>
        <w:jc w:val="both"/>
      </w:pPr>
      <w:r>
        <w:t>Os resultados da tabela 2 indicam a presença de fatos estilizados de retornos elencados por Caldeira, Souza e Machado (2010), como média próxima de zero, presença de curtose e assimetria, ausência de normalidade e estacionaridade das séries. Esses resultados representam um primeiro indicativo de os retornos representativos obtidos via ACP de fato representam uma medida resumo de retornos de câmbios construídos, todavia essa comprovação ocorre pela utilização do teste LM</w:t>
      </w:r>
      <w:r>
        <w:rPr>
          <w:rStyle w:val="Refdenotaderodap"/>
        </w:rPr>
        <w:footnoteReference w:id="7"/>
      </w:r>
      <w:r>
        <w:t xml:space="preserve"> para retornos padronizados e quadrado dos retornos padronizados, ou seja, a confirmação de ausência de autocorrelação para retornos, mas presença de estrutura de autocorrelação no quadrado dos retornos, conforme apresentamos nos gráficos a seguir.</w:t>
      </w:r>
    </w:p>
    <w:p w:rsidR="00A23468" w:rsidRPr="00A23468" w:rsidRDefault="00A23468" w:rsidP="00A23468">
      <w:pPr>
        <w:autoSpaceDE w:val="0"/>
        <w:autoSpaceDN w:val="0"/>
        <w:adjustRightInd w:val="0"/>
        <w:spacing w:line="360" w:lineRule="auto"/>
        <w:rPr>
          <w:b/>
          <w:noProof/>
        </w:rPr>
      </w:pPr>
      <w:r w:rsidRPr="00A23468">
        <w:rPr>
          <w:b/>
          <w:noProof/>
        </w:rPr>
        <w:t>Figura 1. Teste LM para autocorrelações de retornos e volatilidades.</w:t>
      </w:r>
    </w:p>
    <w:p w:rsidR="00872F4E" w:rsidRDefault="00A23468" w:rsidP="00A23468">
      <w:pPr>
        <w:autoSpaceDE w:val="0"/>
        <w:autoSpaceDN w:val="0"/>
        <w:adjustRightInd w:val="0"/>
        <w:spacing w:line="360" w:lineRule="auto"/>
        <w:ind w:firstLine="708"/>
        <w:jc w:val="both"/>
      </w:pPr>
      <w:r>
        <w:rPr>
          <w:noProof/>
        </w:rPr>
        <w:drawing>
          <wp:inline distT="0" distB="0" distL="0" distR="0">
            <wp:extent cx="6120130" cy="200850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2008505"/>
                    </a:xfrm>
                    <a:prstGeom prst="rect">
                      <a:avLst/>
                    </a:prstGeom>
                    <a:noFill/>
                    <a:ln>
                      <a:noFill/>
                    </a:ln>
                  </pic:spPr>
                </pic:pic>
              </a:graphicData>
            </a:graphic>
          </wp:inline>
        </w:drawing>
      </w:r>
    </w:p>
    <w:p w:rsidR="00A23468" w:rsidRPr="00E56F36" w:rsidRDefault="00A23468" w:rsidP="00A23468">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A23468" w:rsidRDefault="00A23468" w:rsidP="00A23468">
      <w:pPr>
        <w:autoSpaceDE w:val="0"/>
        <w:autoSpaceDN w:val="0"/>
        <w:adjustRightInd w:val="0"/>
        <w:spacing w:line="360" w:lineRule="auto"/>
        <w:ind w:firstLine="708"/>
      </w:pPr>
    </w:p>
    <w:p w:rsidR="00B42B91" w:rsidRDefault="00B42B91" w:rsidP="00B42B91">
      <w:pPr>
        <w:autoSpaceDE w:val="0"/>
        <w:autoSpaceDN w:val="0"/>
        <w:adjustRightInd w:val="0"/>
        <w:spacing w:line="360" w:lineRule="auto"/>
        <w:ind w:firstLine="708"/>
        <w:jc w:val="both"/>
      </w:pPr>
      <w:r>
        <w:t>A seleção das ordens em modelos GARCH é mais desenvolvida para o caso univariado, não havendo extensa literatura para o caso multivariado conforme Lutkepohl (2005). Contudo, para este estudo utilizamos a abordagem de identificação do caso univariado como indicação para o caso multivariado haja vista que para o MGARCH estrutural (BEKK) a saturação de parâmetros pode rapidamente comprometer sua estimação. Dessa forma, utilizaremos a sequência sugerida por Franses e Dijk (2000) e obtemos dessa forma, para o caso univariado os resultados que se seguem:</w:t>
      </w:r>
    </w:p>
    <w:p w:rsidR="00872F4E" w:rsidRPr="00EC02EE" w:rsidRDefault="00872F4E" w:rsidP="00872F4E">
      <w:pPr>
        <w:autoSpaceDE w:val="0"/>
        <w:autoSpaceDN w:val="0"/>
        <w:adjustRightInd w:val="0"/>
        <w:spacing w:line="360" w:lineRule="auto"/>
        <w:rPr>
          <w:b/>
        </w:rPr>
      </w:pPr>
      <w:r>
        <w:rPr>
          <w:b/>
        </w:rPr>
        <w:t>Tabela 3.</w:t>
      </w:r>
      <w:r w:rsidRPr="009E75FB">
        <w:t xml:space="preserve"> </w:t>
      </w:r>
      <w:r>
        <w:rPr>
          <w:b/>
        </w:rPr>
        <w:t>Identificação das possíveis ordens dos modelos a serem estimados</w:t>
      </w:r>
      <w:r w:rsidRPr="009E75FB">
        <w:rPr>
          <w:b/>
        </w:rPr>
        <w:t xml:space="preserve"> </w:t>
      </w:r>
    </w:p>
    <w:tbl>
      <w:tblPr>
        <w:tblStyle w:val="Tabelacomgrade"/>
        <w:tblW w:w="7915" w:type="dxa"/>
        <w:jc w:val="center"/>
        <w:tblBorders>
          <w:top w:val="double" w:sz="4" w:space="0" w:color="auto"/>
          <w:left w:val="none" w:sz="0" w:space="0" w:color="auto"/>
          <w:bottom w:val="double" w:sz="4" w:space="0" w:color="auto"/>
          <w:right w:val="none" w:sz="0" w:space="0" w:color="auto"/>
        </w:tblBorders>
        <w:tblLook w:val="04A0"/>
      </w:tblPr>
      <w:tblGrid>
        <w:gridCol w:w="999"/>
        <w:gridCol w:w="3243"/>
        <w:gridCol w:w="3673"/>
      </w:tblGrid>
      <w:tr w:rsidR="00872F4E" w:rsidRPr="00884BFC" w:rsidTr="008149B2">
        <w:trPr>
          <w:jc w:val="center"/>
        </w:trPr>
        <w:tc>
          <w:tcPr>
            <w:tcW w:w="999" w:type="dxa"/>
          </w:tcPr>
          <w:p w:rsidR="00872F4E" w:rsidRPr="00D31CE5" w:rsidRDefault="00872F4E" w:rsidP="008149B2">
            <w:pPr>
              <w:autoSpaceDE w:val="0"/>
              <w:autoSpaceDN w:val="0"/>
              <w:adjustRightInd w:val="0"/>
              <w:spacing w:line="360" w:lineRule="auto"/>
              <w:jc w:val="center"/>
              <w:rPr>
                <w:sz w:val="16"/>
                <w:szCs w:val="16"/>
              </w:rPr>
            </w:pPr>
            <w:r>
              <w:rPr>
                <w:sz w:val="16"/>
                <w:szCs w:val="16"/>
              </w:rPr>
              <w:t>Variáveis</w:t>
            </w:r>
          </w:p>
        </w:tc>
        <w:tc>
          <w:tcPr>
            <w:tcW w:w="3243" w:type="dxa"/>
          </w:tcPr>
          <w:p w:rsidR="00872F4E" w:rsidRPr="00D31CE5" w:rsidRDefault="00872F4E" w:rsidP="008149B2">
            <w:pPr>
              <w:autoSpaceDE w:val="0"/>
              <w:autoSpaceDN w:val="0"/>
              <w:adjustRightInd w:val="0"/>
              <w:spacing w:line="360" w:lineRule="auto"/>
              <w:jc w:val="center"/>
              <w:rPr>
                <w:sz w:val="16"/>
                <w:szCs w:val="16"/>
              </w:rPr>
            </w:pPr>
            <w:r>
              <w:rPr>
                <w:sz w:val="16"/>
                <w:szCs w:val="16"/>
              </w:rPr>
              <w:t>Análise ACF/PACF</w:t>
            </w:r>
          </w:p>
        </w:tc>
        <w:tc>
          <w:tcPr>
            <w:tcW w:w="3673" w:type="dxa"/>
          </w:tcPr>
          <w:p w:rsidR="00872F4E" w:rsidRPr="00D31CE5" w:rsidRDefault="00872F4E" w:rsidP="008149B2">
            <w:pPr>
              <w:autoSpaceDE w:val="0"/>
              <w:autoSpaceDN w:val="0"/>
              <w:adjustRightInd w:val="0"/>
              <w:spacing w:line="360" w:lineRule="auto"/>
              <w:jc w:val="center"/>
              <w:rPr>
                <w:sz w:val="16"/>
                <w:szCs w:val="16"/>
              </w:rPr>
            </w:pPr>
            <w:r>
              <w:rPr>
                <w:sz w:val="16"/>
                <w:szCs w:val="16"/>
              </w:rPr>
              <w:t>Ordem sugerida</w:t>
            </w:r>
          </w:p>
        </w:tc>
      </w:tr>
      <w:tr w:rsidR="00872F4E" w:rsidRPr="00884BFC" w:rsidTr="008149B2">
        <w:trPr>
          <w:jc w:val="center"/>
        </w:trPr>
        <w:tc>
          <w:tcPr>
            <w:tcW w:w="999" w:type="dxa"/>
            <w:tcBorders>
              <w:bottom w:val="nil"/>
            </w:tcBorders>
          </w:tcPr>
          <w:p w:rsidR="00872F4E" w:rsidRPr="00D31CE5" w:rsidRDefault="00872F4E" w:rsidP="008149B2">
            <w:pPr>
              <w:autoSpaceDE w:val="0"/>
              <w:autoSpaceDN w:val="0"/>
              <w:adjustRightInd w:val="0"/>
              <w:spacing w:line="360" w:lineRule="auto"/>
              <w:rPr>
                <w:rStyle w:val="hps"/>
                <w:color w:val="333333"/>
                <w:sz w:val="16"/>
                <w:szCs w:val="16"/>
                <w:lang w:val="pt-PT"/>
              </w:rPr>
            </w:pPr>
            <w:r>
              <w:rPr>
                <w:rStyle w:val="hps"/>
                <w:color w:val="333333"/>
                <w:sz w:val="16"/>
                <w:szCs w:val="16"/>
                <w:lang w:val="pt-PT"/>
              </w:rPr>
              <w:t>IBOVESPA</w:t>
            </w:r>
          </w:p>
        </w:tc>
        <w:tc>
          <w:tcPr>
            <w:tcW w:w="3243" w:type="dxa"/>
            <w:tcBorders>
              <w:bottom w:val="nil"/>
            </w:tcBorders>
          </w:tcPr>
          <w:p w:rsidR="00872F4E" w:rsidRPr="00566EF0" w:rsidRDefault="00872F4E" w:rsidP="008149B2">
            <w:pPr>
              <w:autoSpaceDE w:val="0"/>
              <w:autoSpaceDN w:val="0"/>
              <w:adjustRightInd w:val="0"/>
              <w:spacing w:line="360" w:lineRule="auto"/>
              <w:jc w:val="center"/>
              <w:rPr>
                <w:sz w:val="16"/>
                <w:szCs w:val="16"/>
                <w:lang w:val="en-US"/>
              </w:rPr>
            </w:pPr>
            <w:r>
              <w:rPr>
                <w:sz w:val="16"/>
                <w:szCs w:val="16"/>
                <w:lang w:val="en-US"/>
              </w:rPr>
              <w:t>PACF2</w:t>
            </w:r>
          </w:p>
        </w:tc>
        <w:tc>
          <w:tcPr>
            <w:tcW w:w="3673" w:type="dxa"/>
            <w:tcBorders>
              <w:bottom w:val="nil"/>
            </w:tcBorders>
          </w:tcPr>
          <w:p w:rsidR="00872F4E" w:rsidRPr="00D31CE5" w:rsidRDefault="00872F4E" w:rsidP="008149B2">
            <w:pPr>
              <w:autoSpaceDE w:val="0"/>
              <w:autoSpaceDN w:val="0"/>
              <w:adjustRightInd w:val="0"/>
              <w:spacing w:line="360" w:lineRule="auto"/>
              <w:jc w:val="center"/>
              <w:rPr>
                <w:sz w:val="16"/>
                <w:szCs w:val="16"/>
              </w:rPr>
            </w:pPr>
            <w:r>
              <w:rPr>
                <w:sz w:val="16"/>
                <w:szCs w:val="16"/>
              </w:rPr>
              <w:t>GARCH(1,1) ou GARCH(1,2)</w:t>
            </w:r>
          </w:p>
        </w:tc>
      </w:tr>
      <w:tr w:rsidR="00872F4E" w:rsidRPr="00884BFC" w:rsidTr="008149B2">
        <w:trPr>
          <w:jc w:val="center"/>
        </w:trPr>
        <w:tc>
          <w:tcPr>
            <w:tcW w:w="999" w:type="dxa"/>
            <w:tcBorders>
              <w:top w:val="nil"/>
              <w:bottom w:val="nil"/>
            </w:tcBorders>
          </w:tcPr>
          <w:p w:rsidR="00872F4E" w:rsidRPr="00D31CE5" w:rsidRDefault="00872F4E" w:rsidP="008149B2">
            <w:pPr>
              <w:autoSpaceDE w:val="0"/>
              <w:autoSpaceDN w:val="0"/>
              <w:adjustRightInd w:val="0"/>
              <w:spacing w:line="360" w:lineRule="auto"/>
              <w:rPr>
                <w:rStyle w:val="hps"/>
                <w:color w:val="333333"/>
                <w:sz w:val="16"/>
                <w:szCs w:val="16"/>
                <w:lang w:val="pt-PT"/>
              </w:rPr>
            </w:pPr>
            <w:r>
              <w:rPr>
                <w:rStyle w:val="hps"/>
                <w:color w:val="333333"/>
                <w:sz w:val="16"/>
                <w:szCs w:val="16"/>
                <w:lang w:val="pt-PT"/>
              </w:rPr>
              <w:t>IND1</w:t>
            </w:r>
          </w:p>
        </w:tc>
        <w:tc>
          <w:tcPr>
            <w:tcW w:w="3243" w:type="dxa"/>
            <w:tcBorders>
              <w:top w:val="nil"/>
              <w:bottom w:val="nil"/>
            </w:tcBorders>
          </w:tcPr>
          <w:p w:rsidR="00872F4E" w:rsidRPr="00566EF0" w:rsidRDefault="00872F4E" w:rsidP="008149B2">
            <w:pPr>
              <w:autoSpaceDE w:val="0"/>
              <w:autoSpaceDN w:val="0"/>
              <w:adjustRightInd w:val="0"/>
              <w:spacing w:line="360" w:lineRule="auto"/>
              <w:jc w:val="center"/>
              <w:rPr>
                <w:rStyle w:val="hps"/>
                <w:color w:val="333333"/>
                <w:sz w:val="16"/>
                <w:szCs w:val="16"/>
              </w:rPr>
            </w:pPr>
            <w:r>
              <w:rPr>
                <w:rStyle w:val="hps"/>
                <w:color w:val="333333"/>
                <w:sz w:val="16"/>
                <w:szCs w:val="16"/>
              </w:rPr>
              <w:t>PACF2</w:t>
            </w:r>
          </w:p>
        </w:tc>
        <w:tc>
          <w:tcPr>
            <w:tcW w:w="3673" w:type="dxa"/>
            <w:tcBorders>
              <w:top w:val="nil"/>
              <w:bottom w:val="nil"/>
            </w:tcBorders>
          </w:tcPr>
          <w:p w:rsidR="00872F4E" w:rsidRPr="00D31CE5" w:rsidRDefault="00872F4E" w:rsidP="008149B2">
            <w:pPr>
              <w:autoSpaceDE w:val="0"/>
              <w:autoSpaceDN w:val="0"/>
              <w:adjustRightInd w:val="0"/>
              <w:spacing w:line="360" w:lineRule="auto"/>
              <w:jc w:val="center"/>
              <w:rPr>
                <w:sz w:val="16"/>
                <w:szCs w:val="16"/>
                <w:lang w:val="en-US"/>
              </w:rPr>
            </w:pPr>
            <w:r>
              <w:rPr>
                <w:sz w:val="16"/>
                <w:szCs w:val="16"/>
              </w:rPr>
              <w:t>GARCH(1,1) ou GARCH(1,2)</w:t>
            </w:r>
          </w:p>
        </w:tc>
      </w:tr>
      <w:tr w:rsidR="00872F4E" w:rsidRPr="00884BFC" w:rsidTr="008149B2">
        <w:trPr>
          <w:jc w:val="center"/>
        </w:trPr>
        <w:tc>
          <w:tcPr>
            <w:tcW w:w="999" w:type="dxa"/>
            <w:tcBorders>
              <w:top w:val="nil"/>
              <w:bottom w:val="nil"/>
            </w:tcBorders>
          </w:tcPr>
          <w:p w:rsidR="00872F4E" w:rsidRPr="00D31CE5" w:rsidRDefault="00872F4E" w:rsidP="008149B2">
            <w:pPr>
              <w:autoSpaceDE w:val="0"/>
              <w:autoSpaceDN w:val="0"/>
              <w:adjustRightInd w:val="0"/>
              <w:spacing w:line="360" w:lineRule="auto"/>
              <w:rPr>
                <w:rStyle w:val="hps"/>
                <w:color w:val="333333"/>
                <w:sz w:val="16"/>
                <w:szCs w:val="16"/>
                <w:lang w:val="pt-PT"/>
              </w:rPr>
            </w:pPr>
            <w:r>
              <w:rPr>
                <w:rStyle w:val="hps"/>
                <w:color w:val="333333"/>
                <w:sz w:val="16"/>
                <w:szCs w:val="16"/>
                <w:lang w:val="pt-PT"/>
              </w:rPr>
              <w:t>IND2</w:t>
            </w:r>
          </w:p>
        </w:tc>
        <w:tc>
          <w:tcPr>
            <w:tcW w:w="3243" w:type="dxa"/>
            <w:tcBorders>
              <w:top w:val="nil"/>
              <w:bottom w:val="nil"/>
            </w:tcBorders>
          </w:tcPr>
          <w:p w:rsidR="00872F4E" w:rsidRPr="00566EF0" w:rsidRDefault="00872F4E" w:rsidP="008149B2">
            <w:pPr>
              <w:autoSpaceDE w:val="0"/>
              <w:autoSpaceDN w:val="0"/>
              <w:adjustRightInd w:val="0"/>
              <w:spacing w:line="360" w:lineRule="auto"/>
              <w:jc w:val="center"/>
              <w:rPr>
                <w:rStyle w:val="hps"/>
                <w:color w:val="333333"/>
                <w:sz w:val="16"/>
                <w:szCs w:val="16"/>
              </w:rPr>
            </w:pPr>
            <w:r>
              <w:rPr>
                <w:rStyle w:val="hps"/>
                <w:color w:val="333333"/>
                <w:sz w:val="16"/>
                <w:szCs w:val="16"/>
              </w:rPr>
              <w:t>ACF1 e PACF1 e Decaimento Exponencial</w:t>
            </w:r>
          </w:p>
        </w:tc>
        <w:tc>
          <w:tcPr>
            <w:tcW w:w="3673" w:type="dxa"/>
            <w:tcBorders>
              <w:top w:val="nil"/>
              <w:bottom w:val="nil"/>
            </w:tcBorders>
          </w:tcPr>
          <w:p w:rsidR="00872F4E" w:rsidRPr="00AF0D58" w:rsidRDefault="00872F4E" w:rsidP="008149B2">
            <w:pPr>
              <w:autoSpaceDE w:val="0"/>
              <w:autoSpaceDN w:val="0"/>
              <w:adjustRightInd w:val="0"/>
              <w:spacing w:line="360" w:lineRule="auto"/>
              <w:jc w:val="center"/>
              <w:rPr>
                <w:sz w:val="16"/>
                <w:szCs w:val="16"/>
              </w:rPr>
            </w:pPr>
            <w:r>
              <w:rPr>
                <w:sz w:val="16"/>
                <w:szCs w:val="16"/>
              </w:rPr>
              <w:t>GARCH(2,1) ou GARCH(1,2)</w:t>
            </w:r>
          </w:p>
        </w:tc>
      </w:tr>
      <w:tr w:rsidR="00872F4E" w:rsidRPr="00884BFC" w:rsidTr="008149B2">
        <w:trPr>
          <w:jc w:val="center"/>
        </w:trPr>
        <w:tc>
          <w:tcPr>
            <w:tcW w:w="999" w:type="dxa"/>
            <w:tcBorders>
              <w:top w:val="nil"/>
              <w:bottom w:val="single" w:sz="4" w:space="0" w:color="auto"/>
            </w:tcBorders>
          </w:tcPr>
          <w:p w:rsidR="00872F4E" w:rsidRPr="00D31CE5" w:rsidRDefault="00872F4E" w:rsidP="008149B2">
            <w:pPr>
              <w:autoSpaceDE w:val="0"/>
              <w:autoSpaceDN w:val="0"/>
              <w:adjustRightInd w:val="0"/>
              <w:spacing w:line="360" w:lineRule="auto"/>
              <w:rPr>
                <w:rStyle w:val="hps"/>
                <w:color w:val="333333"/>
                <w:sz w:val="16"/>
                <w:szCs w:val="16"/>
                <w:lang w:val="pt-PT"/>
              </w:rPr>
            </w:pPr>
            <w:r>
              <w:rPr>
                <w:rStyle w:val="hps"/>
                <w:color w:val="333333"/>
                <w:sz w:val="16"/>
                <w:szCs w:val="16"/>
                <w:lang w:val="pt-PT"/>
              </w:rPr>
              <w:t>Dólar</w:t>
            </w:r>
          </w:p>
        </w:tc>
        <w:tc>
          <w:tcPr>
            <w:tcW w:w="3243" w:type="dxa"/>
            <w:tcBorders>
              <w:top w:val="nil"/>
              <w:bottom w:val="single" w:sz="4" w:space="0" w:color="auto"/>
            </w:tcBorders>
          </w:tcPr>
          <w:p w:rsidR="00872F4E" w:rsidRPr="00566EF0" w:rsidRDefault="00872F4E" w:rsidP="008149B2">
            <w:pPr>
              <w:autoSpaceDE w:val="0"/>
              <w:autoSpaceDN w:val="0"/>
              <w:adjustRightInd w:val="0"/>
              <w:spacing w:line="360" w:lineRule="auto"/>
              <w:jc w:val="center"/>
              <w:rPr>
                <w:rStyle w:val="hps"/>
                <w:color w:val="333333"/>
                <w:sz w:val="16"/>
                <w:szCs w:val="16"/>
                <w:lang w:val="en-US"/>
              </w:rPr>
            </w:pPr>
            <w:r>
              <w:rPr>
                <w:rStyle w:val="hps"/>
                <w:color w:val="333333"/>
                <w:sz w:val="16"/>
                <w:szCs w:val="16"/>
                <w:lang w:val="en-US"/>
              </w:rPr>
              <w:t>PACF2</w:t>
            </w:r>
          </w:p>
        </w:tc>
        <w:tc>
          <w:tcPr>
            <w:tcW w:w="3673" w:type="dxa"/>
            <w:tcBorders>
              <w:top w:val="nil"/>
              <w:bottom w:val="single" w:sz="4" w:space="0" w:color="auto"/>
            </w:tcBorders>
          </w:tcPr>
          <w:p w:rsidR="00872F4E" w:rsidRPr="00D31CE5" w:rsidRDefault="00872F4E" w:rsidP="008149B2">
            <w:pPr>
              <w:autoSpaceDE w:val="0"/>
              <w:autoSpaceDN w:val="0"/>
              <w:adjustRightInd w:val="0"/>
              <w:spacing w:line="360" w:lineRule="auto"/>
              <w:jc w:val="center"/>
              <w:rPr>
                <w:sz w:val="16"/>
                <w:szCs w:val="16"/>
                <w:lang w:val="en-US"/>
              </w:rPr>
            </w:pPr>
            <w:r>
              <w:rPr>
                <w:sz w:val="16"/>
                <w:szCs w:val="16"/>
              </w:rPr>
              <w:t>GARCH(1,1) ou GARCH(1,2) ou GARCH(2,1)</w:t>
            </w:r>
          </w:p>
        </w:tc>
      </w:tr>
    </w:tbl>
    <w:p w:rsidR="00872F4E" w:rsidRDefault="00872F4E" w:rsidP="00872F4E">
      <w:pPr>
        <w:autoSpaceDE w:val="0"/>
        <w:autoSpaceDN w:val="0"/>
        <w:adjustRightInd w:val="0"/>
        <w:spacing w:line="360" w:lineRule="auto"/>
        <w:rPr>
          <w:rStyle w:val="hps"/>
          <w:color w:val="333333"/>
          <w:sz w:val="16"/>
          <w:szCs w:val="16"/>
        </w:rPr>
      </w:pPr>
      <w:r>
        <w:rPr>
          <w:rStyle w:val="hps"/>
          <w:color w:val="333333"/>
          <w:sz w:val="16"/>
          <w:szCs w:val="16"/>
        </w:rPr>
        <w:t>PACF1: Função de Autocorrelação Parcial se mostrou estatisticamente significante na primeira defasagem</w:t>
      </w:r>
      <w:r w:rsidRPr="009C392D">
        <w:rPr>
          <w:rStyle w:val="hps"/>
          <w:color w:val="333333"/>
          <w:sz w:val="16"/>
          <w:szCs w:val="16"/>
        </w:rPr>
        <w:t>.</w:t>
      </w:r>
    </w:p>
    <w:p w:rsidR="00872F4E" w:rsidRDefault="00872F4E" w:rsidP="00872F4E">
      <w:pPr>
        <w:autoSpaceDE w:val="0"/>
        <w:autoSpaceDN w:val="0"/>
        <w:adjustRightInd w:val="0"/>
        <w:spacing w:line="360" w:lineRule="auto"/>
        <w:rPr>
          <w:rStyle w:val="hps"/>
          <w:color w:val="333333"/>
          <w:sz w:val="16"/>
          <w:szCs w:val="16"/>
        </w:rPr>
      </w:pPr>
      <w:r>
        <w:rPr>
          <w:rStyle w:val="hps"/>
          <w:color w:val="333333"/>
          <w:sz w:val="16"/>
          <w:szCs w:val="16"/>
        </w:rPr>
        <w:t>PACF2: Função de Autocorrelação Parcial se mostrou estatisticamente significante na primeira e na segunda defasagem</w:t>
      </w:r>
      <w:r w:rsidRPr="009C392D">
        <w:rPr>
          <w:rStyle w:val="hps"/>
          <w:color w:val="333333"/>
          <w:sz w:val="16"/>
          <w:szCs w:val="16"/>
        </w:rPr>
        <w:t>.</w:t>
      </w:r>
    </w:p>
    <w:p w:rsidR="00872F4E" w:rsidRDefault="00872F4E" w:rsidP="00872F4E">
      <w:pPr>
        <w:autoSpaceDE w:val="0"/>
        <w:autoSpaceDN w:val="0"/>
        <w:adjustRightInd w:val="0"/>
        <w:spacing w:line="360" w:lineRule="auto"/>
        <w:rPr>
          <w:rStyle w:val="hps"/>
          <w:color w:val="333333"/>
          <w:sz w:val="16"/>
          <w:szCs w:val="16"/>
        </w:rPr>
      </w:pPr>
      <w:r>
        <w:rPr>
          <w:rStyle w:val="hps"/>
          <w:color w:val="333333"/>
          <w:sz w:val="16"/>
          <w:szCs w:val="16"/>
        </w:rPr>
        <w:t>ACF1: Função de Autocorrelação se mostrou estatisticamente significante na primeira defasagem, com PACF com decaimento exponencial.</w:t>
      </w:r>
    </w:p>
    <w:p w:rsidR="00872F4E" w:rsidRPr="00E56F36" w:rsidRDefault="00872F4E" w:rsidP="00872F4E">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B42B91" w:rsidRDefault="00B42B91" w:rsidP="00B42B91">
      <w:pPr>
        <w:autoSpaceDE w:val="0"/>
        <w:autoSpaceDN w:val="0"/>
        <w:adjustRightInd w:val="0"/>
        <w:spacing w:line="360" w:lineRule="auto"/>
        <w:ind w:firstLine="708"/>
        <w:jc w:val="both"/>
      </w:pPr>
      <w:r>
        <w:t>Com base nos resultados na tabela acima obtivemos, para todas as séries, que a ordem univariada sugerida foi de no máximo 2, tanto para o componente de autocorrelação quanto para o componente de média móvel. Assim, tivemos a indicação de que as ordens dos modelos a serem estimados, para o caso multivariado, também fossem de ordem baixa. Contudo, a validação das ordens sugeridas se dará pela eliminação da autocorrelação dos resíduos padronizados e do quadrado dos resíduos padronizados.</w:t>
      </w:r>
    </w:p>
    <w:p w:rsidR="00052D6E" w:rsidRDefault="00052D6E" w:rsidP="005325DA">
      <w:pPr>
        <w:autoSpaceDE w:val="0"/>
        <w:autoSpaceDN w:val="0"/>
        <w:adjustRightInd w:val="0"/>
        <w:spacing w:line="360" w:lineRule="auto"/>
        <w:ind w:firstLine="708"/>
        <w:jc w:val="both"/>
      </w:pPr>
    </w:p>
    <w:p w:rsidR="00A10ED5" w:rsidRPr="00FF3324" w:rsidRDefault="00A10ED5" w:rsidP="00A10ED5">
      <w:pPr>
        <w:pStyle w:val="PargrafodaLista"/>
        <w:numPr>
          <w:ilvl w:val="1"/>
          <w:numId w:val="45"/>
        </w:numPr>
        <w:autoSpaceDE w:val="0"/>
        <w:autoSpaceDN w:val="0"/>
        <w:adjustRightInd w:val="0"/>
        <w:rPr>
          <w:rFonts w:eastAsia="Calibri"/>
          <w:b/>
          <w:bCs/>
        </w:rPr>
      </w:pPr>
      <w:r w:rsidRPr="00FF3324">
        <w:rPr>
          <w:rFonts w:eastAsia="Calibri"/>
          <w:b/>
          <w:bCs/>
        </w:rPr>
        <w:t>Modelos MGACH-BEKK estimados</w:t>
      </w:r>
    </w:p>
    <w:p w:rsidR="00A10ED5" w:rsidRDefault="00A10ED5" w:rsidP="005325DA">
      <w:pPr>
        <w:autoSpaceDE w:val="0"/>
        <w:autoSpaceDN w:val="0"/>
        <w:adjustRightInd w:val="0"/>
        <w:spacing w:line="360" w:lineRule="auto"/>
        <w:ind w:firstLine="708"/>
        <w:jc w:val="both"/>
      </w:pPr>
    </w:p>
    <w:p w:rsidR="00FA1257" w:rsidRDefault="00FA1257" w:rsidP="00FA1257">
      <w:pPr>
        <w:autoSpaceDE w:val="0"/>
        <w:autoSpaceDN w:val="0"/>
        <w:adjustRightInd w:val="0"/>
        <w:spacing w:line="360" w:lineRule="auto"/>
        <w:ind w:firstLine="708"/>
        <w:jc w:val="both"/>
      </w:pPr>
      <w:r>
        <w:t>Nessa seção apresentamos os resultados dos modelos estimados que adequadamente reproduziram o processo gerador das séries. Conforme a indicação da tabela 3, os modelos GARCH multivariados apresentaram baixa ordem.</w:t>
      </w:r>
    </w:p>
    <w:p w:rsidR="00FA1257" w:rsidRDefault="00FA1257" w:rsidP="00FA1257">
      <w:pPr>
        <w:autoSpaceDE w:val="0"/>
        <w:autoSpaceDN w:val="0"/>
        <w:adjustRightInd w:val="0"/>
        <w:spacing w:line="360" w:lineRule="auto"/>
        <w:ind w:firstLine="708"/>
        <w:jc w:val="both"/>
      </w:pPr>
      <w:r>
        <w:t>Os modelos apresentaram poucos parâmetros sem significância estatística, e nas ordens estimadas eliminaram a estrutura de autocorrelação dos resíduos e do quadrado dos resíduos, conforme os gráficos a seguir.</w:t>
      </w:r>
    </w:p>
    <w:p w:rsidR="00514AB6" w:rsidRDefault="00514AB6" w:rsidP="00FA1257">
      <w:pPr>
        <w:autoSpaceDE w:val="0"/>
        <w:autoSpaceDN w:val="0"/>
        <w:adjustRightInd w:val="0"/>
        <w:spacing w:line="360" w:lineRule="auto"/>
        <w:ind w:firstLine="708"/>
        <w:jc w:val="both"/>
      </w:pPr>
    </w:p>
    <w:p w:rsidR="00514AB6" w:rsidRDefault="00514AB6" w:rsidP="00FA1257">
      <w:pPr>
        <w:autoSpaceDE w:val="0"/>
        <w:autoSpaceDN w:val="0"/>
        <w:adjustRightInd w:val="0"/>
        <w:spacing w:line="360" w:lineRule="auto"/>
        <w:ind w:firstLine="708"/>
        <w:jc w:val="both"/>
      </w:pPr>
    </w:p>
    <w:p w:rsidR="00514AB6" w:rsidRDefault="00514AB6" w:rsidP="00FA1257">
      <w:pPr>
        <w:autoSpaceDE w:val="0"/>
        <w:autoSpaceDN w:val="0"/>
        <w:adjustRightInd w:val="0"/>
        <w:spacing w:line="360" w:lineRule="auto"/>
        <w:ind w:firstLine="708"/>
        <w:jc w:val="both"/>
      </w:pPr>
    </w:p>
    <w:p w:rsidR="00514AB6" w:rsidRDefault="00514AB6" w:rsidP="00FA1257">
      <w:pPr>
        <w:autoSpaceDE w:val="0"/>
        <w:autoSpaceDN w:val="0"/>
        <w:adjustRightInd w:val="0"/>
        <w:spacing w:line="360" w:lineRule="auto"/>
        <w:ind w:firstLine="708"/>
        <w:jc w:val="both"/>
      </w:pPr>
    </w:p>
    <w:p w:rsidR="00A4200B" w:rsidRDefault="00A4200B" w:rsidP="00FA1257">
      <w:pPr>
        <w:autoSpaceDE w:val="0"/>
        <w:autoSpaceDN w:val="0"/>
        <w:adjustRightInd w:val="0"/>
        <w:spacing w:line="360" w:lineRule="auto"/>
        <w:ind w:firstLine="708"/>
        <w:jc w:val="both"/>
      </w:pPr>
    </w:p>
    <w:p w:rsidR="00514AB6" w:rsidRDefault="00514AB6" w:rsidP="00FA1257">
      <w:pPr>
        <w:autoSpaceDE w:val="0"/>
        <w:autoSpaceDN w:val="0"/>
        <w:adjustRightInd w:val="0"/>
        <w:spacing w:line="360" w:lineRule="auto"/>
        <w:ind w:firstLine="708"/>
        <w:jc w:val="both"/>
      </w:pPr>
    </w:p>
    <w:p w:rsidR="00A80A68" w:rsidRPr="00EC02EE" w:rsidRDefault="00A80A68" w:rsidP="00A80A68">
      <w:pPr>
        <w:autoSpaceDE w:val="0"/>
        <w:autoSpaceDN w:val="0"/>
        <w:adjustRightInd w:val="0"/>
        <w:spacing w:line="360" w:lineRule="auto"/>
        <w:rPr>
          <w:b/>
        </w:rPr>
      </w:pPr>
      <w:r>
        <w:rPr>
          <w:b/>
        </w:rPr>
        <w:t>Tabela 4.</w:t>
      </w:r>
      <w:r w:rsidRPr="009E75FB">
        <w:t xml:space="preserve"> </w:t>
      </w:r>
      <w:r>
        <w:rPr>
          <w:b/>
        </w:rPr>
        <w:t>Resultados dos modelos MGARCH estimados</w:t>
      </w:r>
    </w:p>
    <w:tbl>
      <w:tblPr>
        <w:tblStyle w:val="Tabelacomgrade"/>
        <w:tblW w:w="9747" w:type="dxa"/>
        <w:tblBorders>
          <w:top w:val="double" w:sz="4" w:space="0" w:color="auto"/>
          <w:left w:val="none" w:sz="0" w:space="0" w:color="auto"/>
          <w:bottom w:val="double" w:sz="4" w:space="0" w:color="auto"/>
          <w:right w:val="none" w:sz="0" w:space="0" w:color="auto"/>
        </w:tblBorders>
        <w:tblLayout w:type="fixed"/>
        <w:tblLook w:val="04A0"/>
      </w:tblPr>
      <w:tblGrid>
        <w:gridCol w:w="817"/>
        <w:gridCol w:w="851"/>
        <w:gridCol w:w="567"/>
        <w:gridCol w:w="850"/>
        <w:gridCol w:w="709"/>
        <w:gridCol w:w="850"/>
        <w:gridCol w:w="567"/>
        <w:gridCol w:w="851"/>
        <w:gridCol w:w="709"/>
        <w:gridCol w:w="850"/>
        <w:gridCol w:w="567"/>
        <w:gridCol w:w="851"/>
        <w:gridCol w:w="708"/>
      </w:tblGrid>
      <w:tr w:rsidR="00072387" w:rsidRPr="00884BFC" w:rsidTr="003811A0">
        <w:tc>
          <w:tcPr>
            <w:tcW w:w="817" w:type="dxa"/>
            <w:tcBorders>
              <w:top w:val="double" w:sz="4" w:space="0" w:color="auto"/>
              <w:bottom w:val="single" w:sz="4" w:space="0" w:color="auto"/>
              <w:right w:val="single" w:sz="4" w:space="0" w:color="auto"/>
            </w:tcBorders>
          </w:tcPr>
          <w:p w:rsidR="00072387" w:rsidRPr="001C139D" w:rsidRDefault="00072387" w:rsidP="008149B2">
            <w:pPr>
              <w:autoSpaceDE w:val="0"/>
              <w:autoSpaceDN w:val="0"/>
              <w:adjustRightInd w:val="0"/>
              <w:spacing w:line="360" w:lineRule="auto"/>
              <w:jc w:val="center"/>
              <w:rPr>
                <w:sz w:val="12"/>
                <w:szCs w:val="12"/>
              </w:rPr>
            </w:pPr>
          </w:p>
        </w:tc>
        <w:tc>
          <w:tcPr>
            <w:tcW w:w="2977" w:type="dxa"/>
            <w:gridSpan w:val="4"/>
            <w:tcBorders>
              <w:top w:val="double" w:sz="4" w:space="0" w:color="auto"/>
              <w:left w:val="single" w:sz="4" w:space="0" w:color="auto"/>
              <w:bottom w:val="single" w:sz="4" w:space="0" w:color="auto"/>
              <w:right w:val="single" w:sz="4" w:space="0" w:color="auto"/>
            </w:tcBorders>
          </w:tcPr>
          <w:p w:rsidR="00072387" w:rsidRPr="001C139D" w:rsidRDefault="00072387" w:rsidP="008149B2">
            <w:pPr>
              <w:autoSpaceDE w:val="0"/>
              <w:autoSpaceDN w:val="0"/>
              <w:adjustRightInd w:val="0"/>
              <w:spacing w:line="360" w:lineRule="auto"/>
              <w:jc w:val="center"/>
              <w:rPr>
                <w:sz w:val="12"/>
                <w:szCs w:val="12"/>
              </w:rPr>
            </w:pPr>
            <w:r w:rsidRPr="001C139D">
              <w:rPr>
                <w:sz w:val="12"/>
                <w:szCs w:val="12"/>
              </w:rPr>
              <w:t>Modelo 1 – BEKK(2,1)</w:t>
            </w:r>
          </w:p>
        </w:tc>
        <w:tc>
          <w:tcPr>
            <w:tcW w:w="2977" w:type="dxa"/>
            <w:gridSpan w:val="4"/>
            <w:tcBorders>
              <w:top w:val="double" w:sz="4" w:space="0" w:color="auto"/>
              <w:left w:val="single" w:sz="4" w:space="0" w:color="auto"/>
              <w:bottom w:val="single" w:sz="4" w:space="0" w:color="auto"/>
              <w:right w:val="single" w:sz="4" w:space="0" w:color="auto"/>
            </w:tcBorders>
          </w:tcPr>
          <w:p w:rsidR="00072387" w:rsidRPr="001C139D" w:rsidRDefault="00072387" w:rsidP="008149B2">
            <w:pPr>
              <w:autoSpaceDE w:val="0"/>
              <w:autoSpaceDN w:val="0"/>
              <w:adjustRightInd w:val="0"/>
              <w:spacing w:line="360" w:lineRule="auto"/>
              <w:jc w:val="center"/>
              <w:rPr>
                <w:sz w:val="12"/>
                <w:szCs w:val="12"/>
              </w:rPr>
            </w:pPr>
            <w:r w:rsidRPr="001C139D">
              <w:rPr>
                <w:sz w:val="12"/>
                <w:szCs w:val="12"/>
              </w:rPr>
              <w:t>Modelo 2 – BEKK(1,1)</w:t>
            </w:r>
          </w:p>
        </w:tc>
        <w:tc>
          <w:tcPr>
            <w:tcW w:w="2976" w:type="dxa"/>
            <w:gridSpan w:val="4"/>
            <w:tcBorders>
              <w:top w:val="double" w:sz="4" w:space="0" w:color="auto"/>
              <w:left w:val="single" w:sz="4" w:space="0" w:color="auto"/>
              <w:bottom w:val="single" w:sz="4" w:space="0" w:color="auto"/>
              <w:right w:val="nil"/>
            </w:tcBorders>
          </w:tcPr>
          <w:p w:rsidR="00072387" w:rsidRPr="001C139D" w:rsidRDefault="00072387" w:rsidP="008149B2">
            <w:pPr>
              <w:autoSpaceDE w:val="0"/>
              <w:autoSpaceDN w:val="0"/>
              <w:adjustRightInd w:val="0"/>
              <w:spacing w:line="360" w:lineRule="auto"/>
              <w:jc w:val="center"/>
              <w:rPr>
                <w:sz w:val="12"/>
                <w:szCs w:val="12"/>
              </w:rPr>
            </w:pPr>
            <w:r w:rsidRPr="001C139D">
              <w:rPr>
                <w:sz w:val="12"/>
                <w:szCs w:val="12"/>
              </w:rPr>
              <w:t>Modelo 3 – BEKK(2,1)</w:t>
            </w:r>
          </w:p>
        </w:tc>
      </w:tr>
      <w:tr w:rsidR="003811A0" w:rsidRPr="00884BFC" w:rsidTr="003811A0">
        <w:tc>
          <w:tcPr>
            <w:tcW w:w="817" w:type="dxa"/>
            <w:tcBorders>
              <w:top w:val="single" w:sz="4" w:space="0" w:color="auto"/>
              <w:bottom w:val="single" w:sz="4" w:space="0" w:color="auto"/>
              <w:right w:val="single" w:sz="4" w:space="0" w:color="auto"/>
            </w:tcBorders>
          </w:tcPr>
          <w:p w:rsidR="00072387" w:rsidRPr="001C139D" w:rsidRDefault="00072387" w:rsidP="00072387">
            <w:pPr>
              <w:autoSpaceDE w:val="0"/>
              <w:autoSpaceDN w:val="0"/>
              <w:adjustRightInd w:val="0"/>
              <w:spacing w:line="360" w:lineRule="auto"/>
              <w:jc w:val="center"/>
              <w:rPr>
                <w:rStyle w:val="hps"/>
                <w:color w:val="333333"/>
                <w:sz w:val="12"/>
                <w:szCs w:val="12"/>
                <w:lang w:val="pt-PT"/>
              </w:rPr>
            </w:pPr>
            <w:r w:rsidRPr="001C139D">
              <w:rPr>
                <w:rStyle w:val="hps"/>
                <w:color w:val="333333"/>
                <w:sz w:val="12"/>
                <w:szCs w:val="12"/>
                <w:lang w:val="pt-PT"/>
              </w:rPr>
              <w:t>Parâmetros</w:t>
            </w:r>
          </w:p>
        </w:tc>
        <w:tc>
          <w:tcPr>
            <w:tcW w:w="851" w:type="dxa"/>
            <w:tcBorders>
              <w:top w:val="single" w:sz="4" w:space="0" w:color="auto"/>
              <w:left w:val="single" w:sz="4" w:space="0" w:color="auto"/>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lang w:val="en-US"/>
              </w:rPr>
            </w:pPr>
            <w:proofErr w:type="spellStart"/>
            <w:r w:rsidRPr="001C139D">
              <w:rPr>
                <w:sz w:val="12"/>
                <w:szCs w:val="12"/>
                <w:lang w:val="en-US"/>
              </w:rPr>
              <w:t>Estimativa</w:t>
            </w:r>
            <w:proofErr w:type="spellEnd"/>
          </w:p>
        </w:tc>
        <w:tc>
          <w:tcPr>
            <w:tcW w:w="567" w:type="dxa"/>
            <w:tcBorders>
              <w:top w:val="single" w:sz="4" w:space="0" w:color="auto"/>
              <w:left w:val="nil"/>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 xml:space="preserve">DP </w:t>
            </w:r>
          </w:p>
        </w:tc>
        <w:tc>
          <w:tcPr>
            <w:tcW w:w="850" w:type="dxa"/>
            <w:tcBorders>
              <w:top w:val="single" w:sz="4" w:space="0" w:color="auto"/>
              <w:left w:val="nil"/>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Estatística</w:t>
            </w:r>
          </w:p>
        </w:tc>
        <w:tc>
          <w:tcPr>
            <w:tcW w:w="709" w:type="dxa"/>
            <w:tcBorders>
              <w:top w:val="single" w:sz="4" w:space="0" w:color="auto"/>
              <w:left w:val="nil"/>
              <w:bottom w:val="single" w:sz="4" w:space="0" w:color="auto"/>
              <w:right w:val="single" w:sz="4" w:space="0" w:color="auto"/>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P-valor</w:t>
            </w:r>
          </w:p>
        </w:tc>
        <w:tc>
          <w:tcPr>
            <w:tcW w:w="850" w:type="dxa"/>
            <w:tcBorders>
              <w:top w:val="single" w:sz="4" w:space="0" w:color="auto"/>
              <w:left w:val="single" w:sz="4" w:space="0" w:color="auto"/>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lang w:val="en-US"/>
              </w:rPr>
            </w:pPr>
            <w:proofErr w:type="spellStart"/>
            <w:r w:rsidRPr="001C139D">
              <w:rPr>
                <w:sz w:val="12"/>
                <w:szCs w:val="12"/>
                <w:lang w:val="en-US"/>
              </w:rPr>
              <w:t>Estimativa</w:t>
            </w:r>
            <w:proofErr w:type="spellEnd"/>
          </w:p>
        </w:tc>
        <w:tc>
          <w:tcPr>
            <w:tcW w:w="567" w:type="dxa"/>
            <w:tcBorders>
              <w:top w:val="single" w:sz="4" w:space="0" w:color="auto"/>
              <w:left w:val="nil"/>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 xml:space="preserve">DP </w:t>
            </w:r>
          </w:p>
        </w:tc>
        <w:tc>
          <w:tcPr>
            <w:tcW w:w="851" w:type="dxa"/>
            <w:tcBorders>
              <w:top w:val="single" w:sz="4" w:space="0" w:color="auto"/>
              <w:left w:val="nil"/>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Estatística</w:t>
            </w:r>
          </w:p>
        </w:tc>
        <w:tc>
          <w:tcPr>
            <w:tcW w:w="709" w:type="dxa"/>
            <w:tcBorders>
              <w:top w:val="single" w:sz="4" w:space="0" w:color="auto"/>
              <w:left w:val="nil"/>
              <w:bottom w:val="single" w:sz="4" w:space="0" w:color="auto"/>
              <w:right w:val="single" w:sz="4" w:space="0" w:color="auto"/>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P-valor</w:t>
            </w:r>
          </w:p>
        </w:tc>
        <w:tc>
          <w:tcPr>
            <w:tcW w:w="850" w:type="dxa"/>
            <w:tcBorders>
              <w:top w:val="single" w:sz="4" w:space="0" w:color="auto"/>
              <w:left w:val="single" w:sz="4" w:space="0" w:color="auto"/>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lang w:val="en-US"/>
              </w:rPr>
            </w:pPr>
            <w:proofErr w:type="spellStart"/>
            <w:r w:rsidRPr="001C139D">
              <w:rPr>
                <w:sz w:val="12"/>
                <w:szCs w:val="12"/>
                <w:lang w:val="en-US"/>
              </w:rPr>
              <w:t>Estimativa</w:t>
            </w:r>
            <w:proofErr w:type="spellEnd"/>
          </w:p>
        </w:tc>
        <w:tc>
          <w:tcPr>
            <w:tcW w:w="567" w:type="dxa"/>
            <w:tcBorders>
              <w:top w:val="single" w:sz="4" w:space="0" w:color="auto"/>
              <w:left w:val="nil"/>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 xml:space="preserve">DP </w:t>
            </w:r>
          </w:p>
        </w:tc>
        <w:tc>
          <w:tcPr>
            <w:tcW w:w="851" w:type="dxa"/>
            <w:tcBorders>
              <w:top w:val="single" w:sz="4" w:space="0" w:color="auto"/>
              <w:left w:val="nil"/>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Estatística</w:t>
            </w:r>
          </w:p>
        </w:tc>
        <w:tc>
          <w:tcPr>
            <w:tcW w:w="708" w:type="dxa"/>
            <w:tcBorders>
              <w:top w:val="single" w:sz="4" w:space="0" w:color="auto"/>
              <w:left w:val="nil"/>
              <w:bottom w:val="single" w:sz="4" w:space="0" w:color="auto"/>
              <w:right w:val="nil"/>
            </w:tcBorders>
          </w:tcPr>
          <w:p w:rsidR="00072387" w:rsidRPr="001C139D" w:rsidRDefault="00072387" w:rsidP="00072387">
            <w:pPr>
              <w:autoSpaceDE w:val="0"/>
              <w:autoSpaceDN w:val="0"/>
              <w:adjustRightInd w:val="0"/>
              <w:spacing w:line="360" w:lineRule="auto"/>
              <w:jc w:val="center"/>
              <w:rPr>
                <w:sz w:val="12"/>
                <w:szCs w:val="12"/>
              </w:rPr>
            </w:pPr>
            <w:r w:rsidRPr="001C139D">
              <w:rPr>
                <w:sz w:val="12"/>
                <w:szCs w:val="12"/>
              </w:rPr>
              <w:t>P-valor</w:t>
            </w:r>
          </w:p>
        </w:tc>
      </w:tr>
      <w:tr w:rsidR="003811A0" w:rsidRPr="00884BFC" w:rsidTr="003811A0">
        <w:tc>
          <w:tcPr>
            <w:tcW w:w="817" w:type="dxa"/>
            <w:tcBorders>
              <w:top w:val="single" w:sz="4" w:space="0" w:color="auto"/>
              <w:bottom w:val="nil"/>
              <w:right w:val="single" w:sz="4" w:space="0" w:color="auto"/>
            </w:tcBorders>
          </w:tcPr>
          <w:p w:rsidR="00072387" w:rsidRPr="001C139D" w:rsidRDefault="000E6CF9" w:rsidP="00F56599">
            <w:pPr>
              <w:autoSpaceDE w:val="0"/>
              <w:autoSpaceDN w:val="0"/>
              <w:adjustRightInd w:val="0"/>
              <w:spacing w:line="360" w:lineRule="auto"/>
              <w:jc w:val="center"/>
              <w:rPr>
                <w:rStyle w:val="hps"/>
                <w:color w:val="333333"/>
                <w:sz w:val="12"/>
                <w:szCs w:val="12"/>
                <w:lang w:val="pt-PT"/>
              </w:rPr>
            </w:pPr>
            <m:oMathPara>
              <m:oMath>
                <m:sSub>
                  <m:sSubPr>
                    <m:ctrlPr>
                      <w:rPr>
                        <w:rStyle w:val="hps"/>
                        <w:rFonts w:ascii="Cambria Math" w:hAnsi="Cambria Math"/>
                        <w:i/>
                        <w:color w:val="333333"/>
                        <w:sz w:val="12"/>
                        <w:szCs w:val="12"/>
                        <w:lang w:val="pt-PT"/>
                      </w:rPr>
                    </m:ctrlPr>
                  </m:sSubPr>
                  <m:e>
                    <m:r>
                      <w:rPr>
                        <w:rStyle w:val="hps"/>
                        <w:rFonts w:ascii="Cambria Math" w:hAnsi="Cambria Math"/>
                        <w:color w:val="333333"/>
                        <w:sz w:val="12"/>
                        <w:szCs w:val="12"/>
                        <w:lang w:val="pt-PT"/>
                      </w:rPr>
                      <m:t>α</m:t>
                    </m:r>
                  </m:e>
                  <m:sub>
                    <m:r>
                      <w:rPr>
                        <w:rStyle w:val="hps"/>
                        <w:rFonts w:ascii="Cambria Math" w:hAnsi="Cambria Math"/>
                        <w:color w:val="333333"/>
                        <w:sz w:val="12"/>
                        <w:szCs w:val="12"/>
                        <w:lang w:val="pt-PT"/>
                      </w:rPr>
                      <m:t>10</m:t>
                    </m:r>
                  </m:sub>
                </m:sSub>
              </m:oMath>
            </m:oMathPara>
          </w:p>
        </w:tc>
        <w:tc>
          <w:tcPr>
            <w:tcW w:w="851" w:type="dxa"/>
            <w:tcBorders>
              <w:top w:val="single" w:sz="4" w:space="0" w:color="auto"/>
              <w:left w:val="single" w:sz="4" w:space="0" w:color="auto"/>
              <w:bottom w:val="nil"/>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0,202</w:t>
            </w:r>
          </w:p>
        </w:tc>
        <w:tc>
          <w:tcPr>
            <w:tcW w:w="567" w:type="dxa"/>
            <w:tcBorders>
              <w:top w:val="single" w:sz="4" w:space="0" w:color="auto"/>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0,058</w:t>
            </w:r>
          </w:p>
        </w:tc>
        <w:tc>
          <w:tcPr>
            <w:tcW w:w="850" w:type="dxa"/>
            <w:tcBorders>
              <w:top w:val="single" w:sz="4" w:space="0" w:color="auto"/>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3,464</w:t>
            </w:r>
          </w:p>
        </w:tc>
        <w:tc>
          <w:tcPr>
            <w:tcW w:w="709" w:type="dxa"/>
            <w:tcBorders>
              <w:top w:val="single" w:sz="4" w:space="0" w:color="auto"/>
              <w:left w:val="nil"/>
              <w:bottom w:val="nil"/>
              <w:right w:val="single" w:sz="4" w:space="0" w:color="auto"/>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single" w:sz="4" w:space="0" w:color="auto"/>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0,228</w:t>
            </w:r>
          </w:p>
        </w:tc>
        <w:tc>
          <w:tcPr>
            <w:tcW w:w="567" w:type="dxa"/>
            <w:tcBorders>
              <w:top w:val="single" w:sz="4" w:space="0" w:color="auto"/>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0,040</w:t>
            </w:r>
          </w:p>
        </w:tc>
        <w:tc>
          <w:tcPr>
            <w:tcW w:w="851" w:type="dxa"/>
            <w:tcBorders>
              <w:top w:val="single" w:sz="4" w:space="0" w:color="auto"/>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5,711</w:t>
            </w:r>
          </w:p>
        </w:tc>
        <w:tc>
          <w:tcPr>
            <w:tcW w:w="709" w:type="dxa"/>
            <w:tcBorders>
              <w:top w:val="single" w:sz="4" w:space="0" w:color="auto"/>
              <w:left w:val="nil"/>
              <w:bottom w:val="nil"/>
              <w:right w:val="single" w:sz="4" w:space="0" w:color="auto"/>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single" w:sz="4" w:space="0" w:color="auto"/>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0,237</w:t>
            </w:r>
          </w:p>
        </w:tc>
        <w:tc>
          <w:tcPr>
            <w:tcW w:w="567" w:type="dxa"/>
            <w:tcBorders>
              <w:top w:val="single" w:sz="4" w:space="0" w:color="auto"/>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0,0769</w:t>
            </w:r>
          </w:p>
        </w:tc>
        <w:tc>
          <w:tcPr>
            <w:tcW w:w="851" w:type="dxa"/>
            <w:tcBorders>
              <w:top w:val="single" w:sz="4" w:space="0" w:color="auto"/>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3,087</w:t>
            </w:r>
          </w:p>
        </w:tc>
        <w:tc>
          <w:tcPr>
            <w:tcW w:w="708" w:type="dxa"/>
            <w:tcBorders>
              <w:top w:val="single" w:sz="4" w:space="0" w:color="auto"/>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0,001</w:t>
            </w:r>
          </w:p>
        </w:tc>
      </w:tr>
      <w:tr w:rsidR="003811A0" w:rsidRPr="00884BFC" w:rsidTr="003811A0">
        <w:tc>
          <w:tcPr>
            <w:tcW w:w="817" w:type="dxa"/>
            <w:tcBorders>
              <w:top w:val="nil"/>
              <w:bottom w:val="nil"/>
              <w:right w:val="single" w:sz="4" w:space="0" w:color="auto"/>
            </w:tcBorders>
          </w:tcPr>
          <w:p w:rsidR="00072387" w:rsidRPr="001C139D" w:rsidRDefault="000E6CF9" w:rsidP="00F56599">
            <w:pPr>
              <w:autoSpaceDE w:val="0"/>
              <w:autoSpaceDN w:val="0"/>
              <w:adjustRightInd w:val="0"/>
              <w:spacing w:line="360" w:lineRule="auto"/>
              <w:jc w:val="center"/>
              <w:rPr>
                <w:rStyle w:val="hps"/>
                <w:color w:val="333333"/>
                <w:sz w:val="12"/>
                <w:szCs w:val="12"/>
                <w:lang w:val="pt-PT"/>
              </w:rPr>
            </w:pPr>
            <m:oMathPara>
              <m:oMath>
                <m:sSub>
                  <m:sSubPr>
                    <m:ctrlPr>
                      <w:rPr>
                        <w:rStyle w:val="hps"/>
                        <w:rFonts w:ascii="Cambria Math" w:hAnsi="Cambria Math"/>
                        <w:i/>
                        <w:color w:val="333333"/>
                        <w:sz w:val="12"/>
                        <w:szCs w:val="12"/>
                        <w:lang w:val="pt-PT"/>
                      </w:rPr>
                    </m:ctrlPr>
                  </m:sSubPr>
                  <m:e>
                    <m:r>
                      <w:rPr>
                        <w:rStyle w:val="hps"/>
                        <w:rFonts w:ascii="Cambria Math" w:hAnsi="Cambria Math"/>
                        <w:color w:val="333333"/>
                        <w:sz w:val="12"/>
                        <w:szCs w:val="12"/>
                        <w:lang w:val="pt-PT"/>
                      </w:rPr>
                      <m:t>α</m:t>
                    </m:r>
                  </m:e>
                  <m:sub>
                    <m:r>
                      <w:rPr>
                        <w:rStyle w:val="hps"/>
                        <w:rFonts w:ascii="Cambria Math" w:hAnsi="Cambria Math"/>
                        <w:color w:val="333333"/>
                        <w:sz w:val="12"/>
                        <w:szCs w:val="12"/>
                        <w:lang w:val="pt-PT"/>
                      </w:rPr>
                      <m:t>20</m:t>
                    </m:r>
                  </m:sub>
                </m:sSub>
              </m:oMath>
            </m:oMathPara>
          </w:p>
        </w:tc>
        <w:tc>
          <w:tcPr>
            <w:tcW w:w="851" w:type="dxa"/>
            <w:tcBorders>
              <w:top w:val="nil"/>
              <w:left w:val="single" w:sz="4" w:space="0" w:color="auto"/>
              <w:bottom w:val="nil"/>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-0,033</w:t>
            </w:r>
          </w:p>
        </w:tc>
        <w:tc>
          <w:tcPr>
            <w:tcW w:w="567"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0,009</w:t>
            </w:r>
          </w:p>
        </w:tc>
        <w:tc>
          <w:tcPr>
            <w:tcW w:w="850"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-3,576</w:t>
            </w:r>
          </w:p>
        </w:tc>
        <w:tc>
          <w:tcPr>
            <w:tcW w:w="709" w:type="dxa"/>
            <w:tcBorders>
              <w:top w:val="nil"/>
              <w:left w:val="nil"/>
              <w:bottom w:val="nil"/>
              <w:right w:val="single" w:sz="4" w:space="0" w:color="auto"/>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0,999</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-0,045</w:t>
            </w:r>
          </w:p>
        </w:tc>
        <w:tc>
          <w:tcPr>
            <w:tcW w:w="567"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0,009</w:t>
            </w:r>
          </w:p>
        </w:tc>
        <w:tc>
          <w:tcPr>
            <w:tcW w:w="851"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-5,231</w:t>
            </w:r>
          </w:p>
        </w:tc>
        <w:tc>
          <w:tcPr>
            <w:tcW w:w="709" w:type="dxa"/>
            <w:tcBorders>
              <w:top w:val="nil"/>
              <w:left w:val="nil"/>
              <w:bottom w:val="nil"/>
              <w:right w:val="single" w:sz="4" w:space="0" w:color="auto"/>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0,999</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-0,079</w:t>
            </w:r>
          </w:p>
        </w:tc>
        <w:tc>
          <w:tcPr>
            <w:tcW w:w="567"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0,023</w:t>
            </w:r>
          </w:p>
        </w:tc>
        <w:tc>
          <w:tcPr>
            <w:tcW w:w="851"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-3,491</w:t>
            </w:r>
          </w:p>
        </w:tc>
        <w:tc>
          <w:tcPr>
            <w:tcW w:w="708"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0,999</w:t>
            </w:r>
          </w:p>
        </w:tc>
      </w:tr>
      <w:tr w:rsidR="003811A0" w:rsidRPr="00884BFC" w:rsidTr="003811A0">
        <w:tc>
          <w:tcPr>
            <w:tcW w:w="817" w:type="dxa"/>
            <w:tcBorders>
              <w:top w:val="nil"/>
              <w:bottom w:val="nil"/>
              <w:right w:val="single" w:sz="4" w:space="0" w:color="auto"/>
            </w:tcBorders>
          </w:tcPr>
          <w:p w:rsidR="00072387" w:rsidRPr="001C139D" w:rsidRDefault="000E6CF9" w:rsidP="00F56599">
            <w:pPr>
              <w:autoSpaceDE w:val="0"/>
              <w:autoSpaceDN w:val="0"/>
              <w:adjustRightInd w:val="0"/>
              <w:spacing w:line="360" w:lineRule="auto"/>
              <w:jc w:val="center"/>
              <w:rPr>
                <w:rStyle w:val="hps"/>
                <w:color w:val="333333"/>
                <w:sz w:val="12"/>
                <w:szCs w:val="12"/>
                <w:lang w:val="pt-PT"/>
              </w:rPr>
            </w:pPr>
            <m:oMathPara>
              <m:oMath>
                <m:sSub>
                  <m:sSubPr>
                    <m:ctrlPr>
                      <w:rPr>
                        <w:rStyle w:val="hps"/>
                        <w:rFonts w:ascii="Cambria Math" w:hAnsi="Cambria Math"/>
                        <w:i/>
                        <w:color w:val="333333"/>
                        <w:sz w:val="12"/>
                        <w:szCs w:val="12"/>
                        <w:lang w:val="pt-PT"/>
                      </w:rPr>
                    </m:ctrlPr>
                  </m:sSubPr>
                  <m:e>
                    <m:r>
                      <w:rPr>
                        <w:rStyle w:val="hps"/>
                        <w:rFonts w:ascii="Cambria Math" w:hAnsi="Cambria Math"/>
                        <w:color w:val="333333"/>
                        <w:sz w:val="12"/>
                        <w:szCs w:val="12"/>
                        <w:lang w:val="pt-PT"/>
                      </w:rPr>
                      <m:t>α</m:t>
                    </m:r>
                  </m:e>
                  <m:sub>
                    <m:r>
                      <w:rPr>
                        <w:rStyle w:val="hps"/>
                        <w:rFonts w:ascii="Cambria Math" w:hAnsi="Cambria Math"/>
                        <w:color w:val="333333"/>
                        <w:sz w:val="12"/>
                        <w:szCs w:val="12"/>
                        <w:lang w:val="pt-PT"/>
                      </w:rPr>
                      <m:t>11</m:t>
                    </m:r>
                  </m:sub>
                </m:sSub>
              </m:oMath>
            </m:oMathPara>
          </w:p>
        </w:tc>
        <w:tc>
          <w:tcPr>
            <w:tcW w:w="851" w:type="dxa"/>
            <w:tcBorders>
              <w:top w:val="nil"/>
              <w:left w:val="single" w:sz="4" w:space="0" w:color="auto"/>
              <w:bottom w:val="nil"/>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0,060</w:t>
            </w:r>
          </w:p>
        </w:tc>
        <w:tc>
          <w:tcPr>
            <w:tcW w:w="567"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0,016</w:t>
            </w:r>
          </w:p>
        </w:tc>
        <w:tc>
          <w:tcPr>
            <w:tcW w:w="850"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3,752</w:t>
            </w:r>
          </w:p>
        </w:tc>
        <w:tc>
          <w:tcPr>
            <w:tcW w:w="709" w:type="dxa"/>
            <w:tcBorders>
              <w:top w:val="nil"/>
              <w:left w:val="nil"/>
              <w:bottom w:val="nil"/>
              <w:right w:val="single" w:sz="4" w:space="0" w:color="auto"/>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0,096</w:t>
            </w:r>
          </w:p>
        </w:tc>
        <w:tc>
          <w:tcPr>
            <w:tcW w:w="567"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0,021</w:t>
            </w:r>
          </w:p>
        </w:tc>
        <w:tc>
          <w:tcPr>
            <w:tcW w:w="851"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4,517</w:t>
            </w:r>
          </w:p>
        </w:tc>
        <w:tc>
          <w:tcPr>
            <w:tcW w:w="709" w:type="dxa"/>
            <w:tcBorders>
              <w:top w:val="nil"/>
              <w:left w:val="nil"/>
              <w:bottom w:val="nil"/>
              <w:right w:val="single" w:sz="4" w:space="0" w:color="auto"/>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0,092</w:t>
            </w:r>
          </w:p>
        </w:tc>
        <w:tc>
          <w:tcPr>
            <w:tcW w:w="567"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0,032</w:t>
            </w:r>
          </w:p>
        </w:tc>
        <w:tc>
          <w:tcPr>
            <w:tcW w:w="851"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2,869</w:t>
            </w:r>
          </w:p>
        </w:tc>
        <w:tc>
          <w:tcPr>
            <w:tcW w:w="708"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0,002</w:t>
            </w:r>
          </w:p>
        </w:tc>
      </w:tr>
      <w:tr w:rsidR="003811A0" w:rsidRPr="00884BFC" w:rsidTr="003811A0">
        <w:tc>
          <w:tcPr>
            <w:tcW w:w="817" w:type="dxa"/>
            <w:tcBorders>
              <w:top w:val="nil"/>
              <w:bottom w:val="nil"/>
              <w:right w:val="single" w:sz="4" w:space="0" w:color="auto"/>
            </w:tcBorders>
          </w:tcPr>
          <w:p w:rsidR="00072387" w:rsidRPr="001C139D" w:rsidRDefault="000E6CF9" w:rsidP="00F56599">
            <w:pPr>
              <w:autoSpaceDE w:val="0"/>
              <w:autoSpaceDN w:val="0"/>
              <w:adjustRightInd w:val="0"/>
              <w:spacing w:line="360" w:lineRule="auto"/>
              <w:jc w:val="center"/>
              <w:rPr>
                <w:rStyle w:val="hps"/>
                <w:color w:val="333333"/>
                <w:sz w:val="12"/>
                <w:szCs w:val="12"/>
                <w:lang w:val="pt-PT"/>
              </w:rPr>
            </w:pPr>
            <m:oMathPara>
              <m:oMath>
                <m:sSub>
                  <m:sSubPr>
                    <m:ctrlPr>
                      <w:rPr>
                        <w:rStyle w:val="hps"/>
                        <w:rFonts w:ascii="Cambria Math" w:hAnsi="Cambria Math"/>
                        <w:i/>
                        <w:color w:val="333333"/>
                        <w:sz w:val="12"/>
                        <w:szCs w:val="12"/>
                        <w:lang w:val="pt-PT"/>
                      </w:rPr>
                    </m:ctrlPr>
                  </m:sSubPr>
                  <m:e>
                    <m:r>
                      <w:rPr>
                        <w:rStyle w:val="hps"/>
                        <w:rFonts w:ascii="Cambria Math" w:hAnsi="Cambria Math"/>
                        <w:color w:val="333333"/>
                        <w:sz w:val="12"/>
                        <w:szCs w:val="12"/>
                        <w:lang w:val="pt-PT"/>
                      </w:rPr>
                      <m:t>α</m:t>
                    </m:r>
                  </m:e>
                  <m:sub>
                    <m:r>
                      <w:rPr>
                        <w:rStyle w:val="hps"/>
                        <w:rFonts w:ascii="Cambria Math" w:hAnsi="Cambria Math"/>
                        <w:color w:val="333333"/>
                        <w:sz w:val="12"/>
                        <w:szCs w:val="12"/>
                        <w:lang w:val="pt-PT"/>
                      </w:rPr>
                      <m:t>22</m:t>
                    </m:r>
                  </m:sub>
                </m:sSub>
              </m:oMath>
            </m:oMathPara>
          </w:p>
        </w:tc>
        <w:tc>
          <w:tcPr>
            <w:tcW w:w="851" w:type="dxa"/>
            <w:tcBorders>
              <w:top w:val="nil"/>
              <w:left w:val="single" w:sz="4" w:space="0" w:color="auto"/>
              <w:bottom w:val="nil"/>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0,250</w:t>
            </w:r>
          </w:p>
        </w:tc>
        <w:tc>
          <w:tcPr>
            <w:tcW w:w="567"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0,031</w:t>
            </w:r>
          </w:p>
        </w:tc>
        <w:tc>
          <w:tcPr>
            <w:tcW w:w="850"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7,942</w:t>
            </w:r>
          </w:p>
        </w:tc>
        <w:tc>
          <w:tcPr>
            <w:tcW w:w="709" w:type="dxa"/>
            <w:tcBorders>
              <w:top w:val="nil"/>
              <w:left w:val="nil"/>
              <w:bottom w:val="nil"/>
              <w:right w:val="single" w:sz="4" w:space="0" w:color="auto"/>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0,106</w:t>
            </w:r>
          </w:p>
        </w:tc>
        <w:tc>
          <w:tcPr>
            <w:tcW w:w="567"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0,022</w:t>
            </w:r>
          </w:p>
        </w:tc>
        <w:tc>
          <w:tcPr>
            <w:tcW w:w="851"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4,681</w:t>
            </w:r>
          </w:p>
        </w:tc>
        <w:tc>
          <w:tcPr>
            <w:tcW w:w="709" w:type="dxa"/>
            <w:tcBorders>
              <w:top w:val="nil"/>
              <w:left w:val="nil"/>
              <w:bottom w:val="nil"/>
              <w:right w:val="single" w:sz="4" w:space="0" w:color="auto"/>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0,276</w:t>
            </w:r>
          </w:p>
        </w:tc>
        <w:tc>
          <w:tcPr>
            <w:tcW w:w="567"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0,071</w:t>
            </w:r>
          </w:p>
        </w:tc>
        <w:tc>
          <w:tcPr>
            <w:tcW w:w="851"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3,869</w:t>
            </w:r>
          </w:p>
        </w:tc>
        <w:tc>
          <w:tcPr>
            <w:tcW w:w="708"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0,000</w:t>
            </w:r>
          </w:p>
        </w:tc>
      </w:tr>
      <w:tr w:rsidR="003811A0" w:rsidRPr="00884BFC" w:rsidTr="003811A0">
        <w:tc>
          <w:tcPr>
            <w:tcW w:w="817" w:type="dxa"/>
            <w:tcBorders>
              <w:top w:val="nil"/>
              <w:bottom w:val="nil"/>
              <w:right w:val="single" w:sz="4" w:space="0" w:color="auto"/>
            </w:tcBorders>
          </w:tcPr>
          <w:p w:rsidR="00072387" w:rsidRPr="001C139D" w:rsidRDefault="000E6CF9" w:rsidP="00F56599">
            <w:pPr>
              <w:autoSpaceDE w:val="0"/>
              <w:autoSpaceDN w:val="0"/>
              <w:adjustRightInd w:val="0"/>
              <w:spacing w:line="360" w:lineRule="auto"/>
              <w:jc w:val="center"/>
              <w:rPr>
                <w:rStyle w:val="hps"/>
                <w:color w:val="333333"/>
                <w:sz w:val="12"/>
                <w:szCs w:val="12"/>
                <w:lang w:val="pt-PT"/>
              </w:rPr>
            </w:pPr>
            <m:oMathPara>
              <m:oMath>
                <m:sSub>
                  <m:sSubPr>
                    <m:ctrlPr>
                      <w:rPr>
                        <w:rStyle w:val="hps"/>
                        <w:rFonts w:ascii="Cambria Math" w:hAnsi="Cambria Math"/>
                        <w:i/>
                        <w:color w:val="333333"/>
                        <w:sz w:val="12"/>
                        <w:szCs w:val="12"/>
                        <w:lang w:val="pt-PT"/>
                      </w:rPr>
                    </m:ctrlPr>
                  </m:sSubPr>
                  <m:e>
                    <m:r>
                      <w:rPr>
                        <w:rStyle w:val="hps"/>
                        <w:rFonts w:ascii="Cambria Math" w:hAnsi="Cambria Math"/>
                        <w:color w:val="333333"/>
                        <w:sz w:val="12"/>
                        <w:szCs w:val="12"/>
                        <w:lang w:val="pt-PT"/>
                      </w:rPr>
                      <m:t>β</m:t>
                    </m:r>
                  </m:e>
                  <m:sub>
                    <m:r>
                      <w:rPr>
                        <w:rStyle w:val="hps"/>
                        <w:rFonts w:ascii="Cambria Math" w:hAnsi="Cambria Math"/>
                        <w:color w:val="333333"/>
                        <w:sz w:val="12"/>
                        <w:szCs w:val="12"/>
                        <w:lang w:val="pt-PT"/>
                      </w:rPr>
                      <m:t>11</m:t>
                    </m:r>
                  </m:sub>
                </m:sSub>
              </m:oMath>
            </m:oMathPara>
          </w:p>
        </w:tc>
        <w:tc>
          <w:tcPr>
            <w:tcW w:w="851" w:type="dxa"/>
            <w:tcBorders>
              <w:top w:val="nil"/>
              <w:left w:val="single" w:sz="4" w:space="0" w:color="auto"/>
              <w:bottom w:val="nil"/>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0,151</w:t>
            </w:r>
          </w:p>
        </w:tc>
        <w:tc>
          <w:tcPr>
            <w:tcW w:w="567"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0,039</w:t>
            </w:r>
          </w:p>
        </w:tc>
        <w:tc>
          <w:tcPr>
            <w:tcW w:w="850"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3,884</w:t>
            </w:r>
          </w:p>
        </w:tc>
        <w:tc>
          <w:tcPr>
            <w:tcW w:w="709" w:type="dxa"/>
            <w:tcBorders>
              <w:top w:val="nil"/>
              <w:left w:val="nil"/>
              <w:bottom w:val="nil"/>
              <w:right w:val="single" w:sz="4" w:space="0" w:color="auto"/>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-0,040</w:t>
            </w:r>
          </w:p>
        </w:tc>
        <w:tc>
          <w:tcPr>
            <w:tcW w:w="567"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0,012</w:t>
            </w:r>
          </w:p>
        </w:tc>
        <w:tc>
          <w:tcPr>
            <w:tcW w:w="851"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-3,372</w:t>
            </w:r>
          </w:p>
        </w:tc>
        <w:tc>
          <w:tcPr>
            <w:tcW w:w="709" w:type="dxa"/>
            <w:tcBorders>
              <w:top w:val="nil"/>
              <w:left w:val="nil"/>
              <w:bottom w:val="nil"/>
              <w:right w:val="single" w:sz="4" w:space="0" w:color="auto"/>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0,999</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0,137</w:t>
            </w:r>
          </w:p>
        </w:tc>
        <w:tc>
          <w:tcPr>
            <w:tcW w:w="567"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0,044</w:t>
            </w:r>
          </w:p>
        </w:tc>
        <w:tc>
          <w:tcPr>
            <w:tcW w:w="851"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3,087</w:t>
            </w:r>
          </w:p>
        </w:tc>
        <w:tc>
          <w:tcPr>
            <w:tcW w:w="708"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0,001</w:t>
            </w:r>
          </w:p>
        </w:tc>
      </w:tr>
      <w:tr w:rsidR="003811A0" w:rsidRPr="00884BFC" w:rsidTr="003811A0">
        <w:tc>
          <w:tcPr>
            <w:tcW w:w="817" w:type="dxa"/>
            <w:tcBorders>
              <w:top w:val="nil"/>
              <w:bottom w:val="nil"/>
              <w:right w:val="single" w:sz="4" w:space="0" w:color="auto"/>
            </w:tcBorders>
          </w:tcPr>
          <w:p w:rsidR="00072387" w:rsidRPr="001C139D" w:rsidRDefault="000E6CF9" w:rsidP="00F56599">
            <w:pPr>
              <w:autoSpaceDE w:val="0"/>
              <w:autoSpaceDN w:val="0"/>
              <w:adjustRightInd w:val="0"/>
              <w:spacing w:line="360" w:lineRule="auto"/>
              <w:jc w:val="center"/>
              <w:rPr>
                <w:rStyle w:val="hps"/>
                <w:color w:val="333333"/>
                <w:sz w:val="12"/>
                <w:szCs w:val="12"/>
                <w:lang w:val="pt-PT"/>
              </w:rPr>
            </w:pPr>
            <m:oMathPara>
              <m:oMath>
                <m:sSub>
                  <m:sSubPr>
                    <m:ctrlPr>
                      <w:rPr>
                        <w:rStyle w:val="hps"/>
                        <w:rFonts w:ascii="Cambria Math" w:hAnsi="Cambria Math"/>
                        <w:i/>
                        <w:color w:val="333333"/>
                        <w:sz w:val="12"/>
                        <w:szCs w:val="12"/>
                        <w:lang w:val="pt-PT"/>
                      </w:rPr>
                    </m:ctrlPr>
                  </m:sSubPr>
                  <m:e>
                    <m:r>
                      <w:rPr>
                        <w:rStyle w:val="hps"/>
                        <w:rFonts w:ascii="Cambria Math" w:hAnsi="Cambria Math"/>
                        <w:color w:val="333333"/>
                        <w:sz w:val="12"/>
                        <w:szCs w:val="12"/>
                        <w:lang w:val="pt-PT"/>
                      </w:rPr>
                      <m:t>β</m:t>
                    </m:r>
                  </m:e>
                  <m:sub>
                    <m:r>
                      <w:rPr>
                        <w:rStyle w:val="hps"/>
                        <w:rFonts w:ascii="Cambria Math" w:hAnsi="Cambria Math"/>
                        <w:color w:val="333333"/>
                        <w:sz w:val="12"/>
                        <w:szCs w:val="12"/>
                        <w:lang w:val="pt-PT"/>
                      </w:rPr>
                      <m:t>22</m:t>
                    </m:r>
                  </m:sub>
                </m:sSub>
              </m:oMath>
            </m:oMathPara>
          </w:p>
        </w:tc>
        <w:tc>
          <w:tcPr>
            <w:tcW w:w="851" w:type="dxa"/>
            <w:tcBorders>
              <w:top w:val="nil"/>
              <w:left w:val="single" w:sz="4" w:space="0" w:color="auto"/>
              <w:bottom w:val="nil"/>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0,957</w:t>
            </w:r>
          </w:p>
        </w:tc>
        <w:tc>
          <w:tcPr>
            <w:tcW w:w="567"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0,009</w:t>
            </w:r>
          </w:p>
        </w:tc>
        <w:tc>
          <w:tcPr>
            <w:tcW w:w="850" w:type="dxa"/>
            <w:tcBorders>
              <w:top w:val="nil"/>
              <w:left w:val="nil"/>
              <w:bottom w:val="nil"/>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96,858</w:t>
            </w:r>
          </w:p>
        </w:tc>
        <w:tc>
          <w:tcPr>
            <w:tcW w:w="709" w:type="dxa"/>
            <w:tcBorders>
              <w:top w:val="nil"/>
              <w:left w:val="nil"/>
              <w:bottom w:val="nil"/>
              <w:right w:val="single" w:sz="4" w:space="0" w:color="auto"/>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0,149</w:t>
            </w:r>
          </w:p>
        </w:tc>
        <w:tc>
          <w:tcPr>
            <w:tcW w:w="567"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0,025</w:t>
            </w:r>
          </w:p>
        </w:tc>
        <w:tc>
          <w:tcPr>
            <w:tcW w:w="851" w:type="dxa"/>
            <w:tcBorders>
              <w:top w:val="nil"/>
              <w:left w:val="nil"/>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5,823</w:t>
            </w:r>
          </w:p>
        </w:tc>
        <w:tc>
          <w:tcPr>
            <w:tcW w:w="709" w:type="dxa"/>
            <w:tcBorders>
              <w:top w:val="nil"/>
              <w:left w:val="nil"/>
              <w:bottom w:val="nil"/>
              <w:right w:val="single" w:sz="4" w:space="0" w:color="auto"/>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0,929</w:t>
            </w:r>
          </w:p>
        </w:tc>
        <w:tc>
          <w:tcPr>
            <w:tcW w:w="567"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0,309</w:t>
            </w:r>
          </w:p>
        </w:tc>
        <w:tc>
          <w:tcPr>
            <w:tcW w:w="851"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3,004</w:t>
            </w:r>
          </w:p>
        </w:tc>
        <w:tc>
          <w:tcPr>
            <w:tcW w:w="708" w:type="dxa"/>
            <w:tcBorders>
              <w:top w:val="nil"/>
              <w:left w:val="nil"/>
              <w:bottom w:val="nil"/>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0,001</w:t>
            </w:r>
          </w:p>
        </w:tc>
      </w:tr>
      <w:tr w:rsidR="003811A0" w:rsidRPr="00884BFC" w:rsidTr="003811A0">
        <w:tc>
          <w:tcPr>
            <w:tcW w:w="817" w:type="dxa"/>
            <w:tcBorders>
              <w:top w:val="nil"/>
              <w:bottom w:val="single" w:sz="4" w:space="0" w:color="auto"/>
              <w:right w:val="single" w:sz="4" w:space="0" w:color="auto"/>
            </w:tcBorders>
          </w:tcPr>
          <w:p w:rsidR="00072387" w:rsidRPr="001C139D" w:rsidRDefault="000E6CF9" w:rsidP="00F56599">
            <w:pPr>
              <w:autoSpaceDE w:val="0"/>
              <w:autoSpaceDN w:val="0"/>
              <w:adjustRightInd w:val="0"/>
              <w:spacing w:line="360" w:lineRule="auto"/>
              <w:jc w:val="center"/>
              <w:rPr>
                <w:rStyle w:val="hps"/>
                <w:color w:val="333333"/>
                <w:sz w:val="12"/>
                <w:szCs w:val="12"/>
                <w:lang w:val="pt-PT"/>
              </w:rPr>
            </w:pPr>
            <m:oMathPara>
              <m:oMath>
                <m:sSub>
                  <m:sSubPr>
                    <m:ctrlPr>
                      <w:rPr>
                        <w:rStyle w:val="hps"/>
                        <w:rFonts w:ascii="Cambria Math" w:hAnsi="Cambria Math"/>
                        <w:i/>
                        <w:color w:val="333333"/>
                        <w:sz w:val="12"/>
                        <w:szCs w:val="12"/>
                        <w:lang w:val="pt-PT"/>
                      </w:rPr>
                    </m:ctrlPr>
                  </m:sSubPr>
                  <m:e>
                    <m:r>
                      <w:rPr>
                        <w:rStyle w:val="hps"/>
                        <w:rFonts w:ascii="Cambria Math" w:hAnsi="Cambria Math"/>
                        <w:color w:val="333333"/>
                        <w:sz w:val="12"/>
                        <w:szCs w:val="12"/>
                        <w:lang w:val="pt-PT"/>
                      </w:rPr>
                      <m:t>β</m:t>
                    </m:r>
                  </m:e>
                  <m:sub>
                    <m:r>
                      <w:rPr>
                        <w:rStyle w:val="hps"/>
                        <w:rFonts w:ascii="Cambria Math" w:hAnsi="Cambria Math"/>
                        <w:color w:val="333333"/>
                        <w:sz w:val="12"/>
                        <w:szCs w:val="12"/>
                        <w:lang w:val="pt-PT"/>
                      </w:rPr>
                      <m:t>21</m:t>
                    </m:r>
                  </m:sub>
                </m:sSub>
              </m:oMath>
            </m:oMathPara>
          </w:p>
        </w:tc>
        <w:tc>
          <w:tcPr>
            <w:tcW w:w="851" w:type="dxa"/>
            <w:tcBorders>
              <w:top w:val="nil"/>
              <w:left w:val="single" w:sz="4" w:space="0" w:color="auto"/>
              <w:bottom w:val="single" w:sz="4" w:space="0" w:color="auto"/>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-0,001</w:t>
            </w:r>
          </w:p>
        </w:tc>
        <w:tc>
          <w:tcPr>
            <w:tcW w:w="567" w:type="dxa"/>
            <w:tcBorders>
              <w:top w:val="nil"/>
              <w:left w:val="nil"/>
              <w:bottom w:val="single" w:sz="4" w:space="0" w:color="auto"/>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0,000</w:t>
            </w:r>
          </w:p>
        </w:tc>
        <w:tc>
          <w:tcPr>
            <w:tcW w:w="850" w:type="dxa"/>
            <w:tcBorders>
              <w:top w:val="nil"/>
              <w:left w:val="nil"/>
              <w:bottom w:val="single" w:sz="4" w:space="0" w:color="auto"/>
              <w:right w:val="nil"/>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-1,056</w:t>
            </w:r>
          </w:p>
        </w:tc>
        <w:tc>
          <w:tcPr>
            <w:tcW w:w="709" w:type="dxa"/>
            <w:tcBorders>
              <w:top w:val="nil"/>
              <w:left w:val="nil"/>
              <w:bottom w:val="single" w:sz="4" w:space="0" w:color="auto"/>
              <w:right w:val="single" w:sz="4" w:space="0" w:color="auto"/>
            </w:tcBorders>
          </w:tcPr>
          <w:p w:rsidR="00072387" w:rsidRPr="003811A0" w:rsidRDefault="00514AB6" w:rsidP="00072387">
            <w:pPr>
              <w:autoSpaceDE w:val="0"/>
              <w:autoSpaceDN w:val="0"/>
              <w:adjustRightInd w:val="0"/>
              <w:spacing w:line="360" w:lineRule="auto"/>
              <w:jc w:val="center"/>
              <w:rPr>
                <w:sz w:val="12"/>
                <w:szCs w:val="12"/>
              </w:rPr>
            </w:pPr>
            <w:r w:rsidRPr="003811A0">
              <w:rPr>
                <w:rFonts w:eastAsia="Calibri"/>
                <w:sz w:val="10"/>
                <w:szCs w:val="10"/>
              </w:rPr>
              <w:t>0,854</w:t>
            </w:r>
          </w:p>
        </w:tc>
        <w:tc>
          <w:tcPr>
            <w:tcW w:w="850" w:type="dxa"/>
            <w:tcBorders>
              <w:top w:val="nil"/>
              <w:left w:val="single" w:sz="4" w:space="0" w:color="auto"/>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567"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1"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9" w:type="dxa"/>
            <w:tcBorders>
              <w:top w:val="nil"/>
              <w:left w:val="nil"/>
              <w:bottom w:val="single" w:sz="4" w:space="0" w:color="auto"/>
              <w:right w:val="single" w:sz="4" w:space="0" w:color="auto"/>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nil"/>
              <w:left w:val="single" w:sz="4" w:space="0" w:color="auto"/>
              <w:bottom w:val="single" w:sz="4" w:space="0" w:color="auto"/>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0,191</w:t>
            </w:r>
          </w:p>
        </w:tc>
        <w:tc>
          <w:tcPr>
            <w:tcW w:w="567" w:type="dxa"/>
            <w:tcBorders>
              <w:top w:val="nil"/>
              <w:left w:val="nil"/>
              <w:bottom w:val="single" w:sz="4" w:space="0" w:color="auto"/>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1,366</w:t>
            </w:r>
          </w:p>
        </w:tc>
        <w:tc>
          <w:tcPr>
            <w:tcW w:w="851" w:type="dxa"/>
            <w:tcBorders>
              <w:top w:val="nil"/>
              <w:left w:val="nil"/>
              <w:bottom w:val="single" w:sz="4" w:space="0" w:color="auto"/>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0,139</w:t>
            </w:r>
          </w:p>
        </w:tc>
        <w:tc>
          <w:tcPr>
            <w:tcW w:w="708" w:type="dxa"/>
            <w:tcBorders>
              <w:top w:val="nil"/>
              <w:left w:val="nil"/>
              <w:bottom w:val="single" w:sz="4" w:space="0" w:color="auto"/>
              <w:right w:val="nil"/>
            </w:tcBorders>
          </w:tcPr>
          <w:p w:rsidR="00072387" w:rsidRPr="003811A0" w:rsidRDefault="003811A0" w:rsidP="00072387">
            <w:pPr>
              <w:autoSpaceDE w:val="0"/>
              <w:autoSpaceDN w:val="0"/>
              <w:adjustRightInd w:val="0"/>
              <w:spacing w:line="360" w:lineRule="auto"/>
              <w:jc w:val="center"/>
              <w:rPr>
                <w:sz w:val="12"/>
                <w:szCs w:val="12"/>
              </w:rPr>
            </w:pPr>
            <w:r w:rsidRPr="003811A0">
              <w:rPr>
                <w:rFonts w:eastAsia="Calibri"/>
                <w:sz w:val="10"/>
                <w:szCs w:val="10"/>
              </w:rPr>
              <w:t>0,444</w:t>
            </w:r>
          </w:p>
        </w:tc>
      </w:tr>
      <w:tr w:rsidR="003811A0" w:rsidRPr="00884BFC" w:rsidTr="003811A0">
        <w:tc>
          <w:tcPr>
            <w:tcW w:w="817" w:type="dxa"/>
            <w:tcBorders>
              <w:top w:val="single" w:sz="4" w:space="0" w:color="auto"/>
              <w:bottom w:val="nil"/>
              <w:right w:val="single" w:sz="4" w:space="0" w:color="auto"/>
            </w:tcBorders>
          </w:tcPr>
          <w:p w:rsidR="00072387" w:rsidRPr="001C139D" w:rsidRDefault="00F56599" w:rsidP="00072387">
            <w:pPr>
              <w:autoSpaceDE w:val="0"/>
              <w:autoSpaceDN w:val="0"/>
              <w:adjustRightInd w:val="0"/>
              <w:spacing w:line="360" w:lineRule="auto"/>
              <w:jc w:val="center"/>
              <w:rPr>
                <w:rStyle w:val="hps"/>
                <w:color w:val="333333"/>
                <w:sz w:val="12"/>
                <w:szCs w:val="12"/>
                <w:lang w:val="pt-PT"/>
              </w:rPr>
            </w:pPr>
            <w:r>
              <w:rPr>
                <w:rStyle w:val="hps"/>
                <w:color w:val="333333"/>
                <w:sz w:val="12"/>
                <w:szCs w:val="12"/>
                <w:lang w:val="pt-PT"/>
              </w:rPr>
              <w:t>AIC</w:t>
            </w:r>
          </w:p>
        </w:tc>
        <w:tc>
          <w:tcPr>
            <w:tcW w:w="851" w:type="dxa"/>
            <w:tcBorders>
              <w:top w:val="single" w:sz="4" w:space="0" w:color="auto"/>
              <w:left w:val="single" w:sz="4" w:space="0" w:color="auto"/>
              <w:bottom w:val="nil"/>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12027,81</w:t>
            </w:r>
          </w:p>
        </w:tc>
        <w:tc>
          <w:tcPr>
            <w:tcW w:w="567" w:type="dxa"/>
            <w:tcBorders>
              <w:top w:val="single" w:sz="4" w:space="0" w:color="auto"/>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single" w:sz="4" w:space="0" w:color="auto"/>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9" w:type="dxa"/>
            <w:tcBorders>
              <w:top w:val="single" w:sz="4" w:space="0" w:color="auto"/>
              <w:left w:val="nil"/>
              <w:bottom w:val="nil"/>
              <w:right w:val="single" w:sz="4" w:space="0" w:color="auto"/>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single" w:sz="4" w:space="0" w:color="auto"/>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18479,63</w:t>
            </w:r>
          </w:p>
        </w:tc>
        <w:tc>
          <w:tcPr>
            <w:tcW w:w="567" w:type="dxa"/>
            <w:tcBorders>
              <w:top w:val="single" w:sz="4" w:space="0" w:color="auto"/>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1" w:type="dxa"/>
            <w:tcBorders>
              <w:top w:val="single" w:sz="4" w:space="0" w:color="auto"/>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9" w:type="dxa"/>
            <w:tcBorders>
              <w:top w:val="single" w:sz="4" w:space="0" w:color="auto"/>
              <w:left w:val="nil"/>
              <w:bottom w:val="nil"/>
              <w:right w:val="single" w:sz="4" w:space="0" w:color="auto"/>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single" w:sz="4" w:space="0" w:color="auto"/>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14103,44</w:t>
            </w:r>
          </w:p>
        </w:tc>
        <w:tc>
          <w:tcPr>
            <w:tcW w:w="567" w:type="dxa"/>
            <w:tcBorders>
              <w:top w:val="single" w:sz="4" w:space="0" w:color="auto"/>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1" w:type="dxa"/>
            <w:tcBorders>
              <w:top w:val="single" w:sz="4" w:space="0" w:color="auto"/>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8" w:type="dxa"/>
            <w:tcBorders>
              <w:top w:val="single" w:sz="4" w:space="0" w:color="auto"/>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r>
      <w:tr w:rsidR="003811A0" w:rsidRPr="00884BFC" w:rsidTr="003811A0">
        <w:tc>
          <w:tcPr>
            <w:tcW w:w="817" w:type="dxa"/>
            <w:tcBorders>
              <w:top w:val="nil"/>
              <w:bottom w:val="nil"/>
              <w:right w:val="single" w:sz="4" w:space="0" w:color="auto"/>
            </w:tcBorders>
          </w:tcPr>
          <w:p w:rsidR="00072387" w:rsidRPr="001C139D" w:rsidRDefault="00F56599" w:rsidP="00072387">
            <w:pPr>
              <w:autoSpaceDE w:val="0"/>
              <w:autoSpaceDN w:val="0"/>
              <w:adjustRightInd w:val="0"/>
              <w:spacing w:line="360" w:lineRule="auto"/>
              <w:jc w:val="center"/>
              <w:rPr>
                <w:rStyle w:val="hps"/>
                <w:color w:val="333333"/>
                <w:sz w:val="12"/>
                <w:szCs w:val="12"/>
                <w:lang w:val="pt-PT"/>
              </w:rPr>
            </w:pPr>
            <w:r>
              <w:rPr>
                <w:rStyle w:val="hps"/>
                <w:color w:val="333333"/>
                <w:sz w:val="12"/>
                <w:szCs w:val="12"/>
                <w:lang w:val="pt-PT"/>
              </w:rPr>
              <w:t>BIC</w:t>
            </w:r>
          </w:p>
        </w:tc>
        <w:tc>
          <w:tcPr>
            <w:tcW w:w="851" w:type="dxa"/>
            <w:tcBorders>
              <w:top w:val="nil"/>
              <w:left w:val="single" w:sz="4" w:space="0" w:color="auto"/>
              <w:bottom w:val="nil"/>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12067,95</w:t>
            </w:r>
          </w:p>
        </w:tc>
        <w:tc>
          <w:tcPr>
            <w:tcW w:w="567" w:type="dxa"/>
            <w:tcBorders>
              <w:top w:val="nil"/>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nil"/>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9" w:type="dxa"/>
            <w:tcBorders>
              <w:top w:val="nil"/>
              <w:left w:val="nil"/>
              <w:bottom w:val="nil"/>
              <w:right w:val="single" w:sz="4" w:space="0" w:color="auto"/>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18536,96</w:t>
            </w:r>
          </w:p>
        </w:tc>
        <w:tc>
          <w:tcPr>
            <w:tcW w:w="567" w:type="dxa"/>
            <w:tcBorders>
              <w:top w:val="nil"/>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1" w:type="dxa"/>
            <w:tcBorders>
              <w:top w:val="nil"/>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9" w:type="dxa"/>
            <w:tcBorders>
              <w:top w:val="nil"/>
              <w:left w:val="nil"/>
              <w:bottom w:val="nil"/>
              <w:right w:val="single" w:sz="4" w:space="0" w:color="auto"/>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nil"/>
              <w:left w:val="single" w:sz="4" w:space="0" w:color="auto"/>
              <w:bottom w:val="nil"/>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14143,57</w:t>
            </w:r>
          </w:p>
        </w:tc>
        <w:tc>
          <w:tcPr>
            <w:tcW w:w="567" w:type="dxa"/>
            <w:tcBorders>
              <w:top w:val="nil"/>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1" w:type="dxa"/>
            <w:tcBorders>
              <w:top w:val="nil"/>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8" w:type="dxa"/>
            <w:tcBorders>
              <w:top w:val="nil"/>
              <w:left w:val="nil"/>
              <w:bottom w:val="nil"/>
              <w:right w:val="nil"/>
            </w:tcBorders>
          </w:tcPr>
          <w:p w:rsidR="00072387" w:rsidRPr="003811A0" w:rsidRDefault="00072387" w:rsidP="00072387">
            <w:pPr>
              <w:autoSpaceDE w:val="0"/>
              <w:autoSpaceDN w:val="0"/>
              <w:adjustRightInd w:val="0"/>
              <w:spacing w:line="360" w:lineRule="auto"/>
              <w:jc w:val="center"/>
              <w:rPr>
                <w:sz w:val="12"/>
                <w:szCs w:val="12"/>
              </w:rPr>
            </w:pPr>
          </w:p>
        </w:tc>
      </w:tr>
      <w:tr w:rsidR="003811A0" w:rsidRPr="00884BFC" w:rsidTr="003811A0">
        <w:tc>
          <w:tcPr>
            <w:tcW w:w="817" w:type="dxa"/>
            <w:tcBorders>
              <w:top w:val="nil"/>
              <w:bottom w:val="single" w:sz="4" w:space="0" w:color="auto"/>
              <w:right w:val="single" w:sz="4" w:space="0" w:color="auto"/>
            </w:tcBorders>
          </w:tcPr>
          <w:p w:rsidR="00072387" w:rsidRPr="001C139D" w:rsidRDefault="00F56599" w:rsidP="00072387">
            <w:pPr>
              <w:autoSpaceDE w:val="0"/>
              <w:autoSpaceDN w:val="0"/>
              <w:adjustRightInd w:val="0"/>
              <w:spacing w:line="360" w:lineRule="auto"/>
              <w:jc w:val="center"/>
              <w:rPr>
                <w:rStyle w:val="hps"/>
                <w:color w:val="333333"/>
                <w:sz w:val="12"/>
                <w:szCs w:val="12"/>
                <w:lang w:val="pt-PT"/>
              </w:rPr>
            </w:pPr>
            <w:r>
              <w:rPr>
                <w:rStyle w:val="hps"/>
                <w:color w:val="333333"/>
                <w:sz w:val="12"/>
                <w:szCs w:val="12"/>
                <w:lang w:val="pt-PT"/>
              </w:rPr>
              <w:t>LOG</w:t>
            </w:r>
          </w:p>
        </w:tc>
        <w:tc>
          <w:tcPr>
            <w:tcW w:w="851" w:type="dxa"/>
            <w:tcBorders>
              <w:top w:val="nil"/>
              <w:left w:val="single" w:sz="4" w:space="0" w:color="auto"/>
              <w:bottom w:val="single" w:sz="4" w:space="0" w:color="auto"/>
              <w:right w:val="nil"/>
            </w:tcBorders>
          </w:tcPr>
          <w:p w:rsidR="00072387" w:rsidRPr="003811A0" w:rsidRDefault="00514AB6" w:rsidP="00072387">
            <w:pPr>
              <w:autoSpaceDE w:val="0"/>
              <w:autoSpaceDN w:val="0"/>
              <w:adjustRightInd w:val="0"/>
              <w:spacing w:line="360" w:lineRule="auto"/>
              <w:jc w:val="center"/>
              <w:rPr>
                <w:rStyle w:val="hps"/>
                <w:color w:val="333333"/>
                <w:sz w:val="12"/>
                <w:szCs w:val="12"/>
              </w:rPr>
            </w:pPr>
            <w:r w:rsidRPr="003811A0">
              <w:rPr>
                <w:rFonts w:eastAsia="Calibri"/>
                <w:sz w:val="10"/>
                <w:szCs w:val="10"/>
              </w:rPr>
              <w:t>-6006,90</w:t>
            </w:r>
          </w:p>
        </w:tc>
        <w:tc>
          <w:tcPr>
            <w:tcW w:w="567"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9" w:type="dxa"/>
            <w:tcBorders>
              <w:top w:val="nil"/>
              <w:left w:val="nil"/>
              <w:bottom w:val="single" w:sz="4" w:space="0" w:color="auto"/>
              <w:right w:val="single" w:sz="4" w:space="0" w:color="auto"/>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nil"/>
              <w:left w:val="single" w:sz="4" w:space="0" w:color="auto"/>
              <w:bottom w:val="single" w:sz="4" w:space="0" w:color="auto"/>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-9229,81</w:t>
            </w:r>
          </w:p>
        </w:tc>
        <w:tc>
          <w:tcPr>
            <w:tcW w:w="567"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1"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9" w:type="dxa"/>
            <w:tcBorders>
              <w:top w:val="nil"/>
              <w:left w:val="nil"/>
              <w:bottom w:val="single" w:sz="4" w:space="0" w:color="auto"/>
              <w:right w:val="single" w:sz="4" w:space="0" w:color="auto"/>
            </w:tcBorders>
          </w:tcPr>
          <w:p w:rsidR="00072387" w:rsidRPr="003811A0" w:rsidRDefault="00072387" w:rsidP="00072387">
            <w:pPr>
              <w:autoSpaceDE w:val="0"/>
              <w:autoSpaceDN w:val="0"/>
              <w:adjustRightInd w:val="0"/>
              <w:spacing w:line="360" w:lineRule="auto"/>
              <w:jc w:val="center"/>
              <w:rPr>
                <w:sz w:val="12"/>
                <w:szCs w:val="12"/>
              </w:rPr>
            </w:pPr>
          </w:p>
        </w:tc>
        <w:tc>
          <w:tcPr>
            <w:tcW w:w="850" w:type="dxa"/>
            <w:tcBorders>
              <w:top w:val="nil"/>
              <w:left w:val="single" w:sz="4" w:space="0" w:color="auto"/>
              <w:bottom w:val="single" w:sz="4" w:space="0" w:color="auto"/>
              <w:right w:val="nil"/>
            </w:tcBorders>
          </w:tcPr>
          <w:p w:rsidR="00072387" w:rsidRPr="003811A0" w:rsidRDefault="00B10A8B" w:rsidP="00072387">
            <w:pPr>
              <w:autoSpaceDE w:val="0"/>
              <w:autoSpaceDN w:val="0"/>
              <w:adjustRightInd w:val="0"/>
              <w:spacing w:line="360" w:lineRule="auto"/>
              <w:jc w:val="center"/>
              <w:rPr>
                <w:sz w:val="12"/>
                <w:szCs w:val="12"/>
              </w:rPr>
            </w:pPr>
            <w:r w:rsidRPr="003811A0">
              <w:rPr>
                <w:rFonts w:eastAsia="Calibri"/>
                <w:sz w:val="10"/>
                <w:szCs w:val="10"/>
              </w:rPr>
              <w:t>-7044,72</w:t>
            </w:r>
          </w:p>
        </w:tc>
        <w:tc>
          <w:tcPr>
            <w:tcW w:w="567"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851"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c>
          <w:tcPr>
            <w:tcW w:w="708" w:type="dxa"/>
            <w:tcBorders>
              <w:top w:val="nil"/>
              <w:left w:val="nil"/>
              <w:bottom w:val="single" w:sz="4" w:space="0" w:color="auto"/>
              <w:right w:val="nil"/>
            </w:tcBorders>
          </w:tcPr>
          <w:p w:rsidR="00072387" w:rsidRPr="003811A0" w:rsidRDefault="00072387" w:rsidP="00072387">
            <w:pPr>
              <w:autoSpaceDE w:val="0"/>
              <w:autoSpaceDN w:val="0"/>
              <w:adjustRightInd w:val="0"/>
              <w:spacing w:line="360" w:lineRule="auto"/>
              <w:jc w:val="center"/>
              <w:rPr>
                <w:sz w:val="12"/>
                <w:szCs w:val="12"/>
              </w:rPr>
            </w:pPr>
          </w:p>
        </w:tc>
      </w:tr>
    </w:tbl>
    <w:p w:rsidR="00A80A68" w:rsidRPr="00E56F36" w:rsidRDefault="00A80A68" w:rsidP="00A80A68">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FA1257" w:rsidRPr="00A23468" w:rsidRDefault="00FA1257" w:rsidP="00FA1257">
      <w:pPr>
        <w:autoSpaceDE w:val="0"/>
        <w:autoSpaceDN w:val="0"/>
        <w:adjustRightInd w:val="0"/>
        <w:spacing w:line="360" w:lineRule="auto"/>
        <w:rPr>
          <w:b/>
          <w:noProof/>
        </w:rPr>
      </w:pPr>
      <w:r w:rsidRPr="00A23468">
        <w:rPr>
          <w:b/>
          <w:noProof/>
        </w:rPr>
        <w:t xml:space="preserve">Figura </w:t>
      </w:r>
      <w:r>
        <w:rPr>
          <w:b/>
          <w:noProof/>
        </w:rPr>
        <w:t>2</w:t>
      </w:r>
      <w:r w:rsidRPr="00A23468">
        <w:rPr>
          <w:b/>
          <w:noProof/>
        </w:rPr>
        <w:t xml:space="preserve">. Teste LM para autocorrelações de </w:t>
      </w:r>
      <w:r>
        <w:rPr>
          <w:b/>
          <w:noProof/>
        </w:rPr>
        <w:t>resíduos e quadrado dos resíduos – modelo 1</w:t>
      </w:r>
      <w:r w:rsidRPr="00A23468">
        <w:rPr>
          <w:b/>
          <w:noProof/>
        </w:rPr>
        <w:t>.</w:t>
      </w:r>
    </w:p>
    <w:p w:rsidR="00FA1257" w:rsidRDefault="00FA1257" w:rsidP="00FA1257">
      <w:pPr>
        <w:autoSpaceDE w:val="0"/>
        <w:autoSpaceDN w:val="0"/>
        <w:adjustRightInd w:val="0"/>
        <w:spacing w:line="360" w:lineRule="auto"/>
        <w:ind w:firstLine="708"/>
      </w:pPr>
      <w:r>
        <w:rPr>
          <w:noProof/>
        </w:rPr>
        <w:drawing>
          <wp:inline distT="0" distB="0" distL="0" distR="0">
            <wp:extent cx="6103620" cy="19748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03620" cy="1974850"/>
                    </a:xfrm>
                    <a:prstGeom prst="rect">
                      <a:avLst/>
                    </a:prstGeom>
                    <a:noFill/>
                    <a:ln>
                      <a:noFill/>
                    </a:ln>
                  </pic:spPr>
                </pic:pic>
              </a:graphicData>
            </a:graphic>
          </wp:inline>
        </w:drawing>
      </w:r>
    </w:p>
    <w:p w:rsidR="00FA1257" w:rsidRPr="00E56F36" w:rsidRDefault="00FA1257" w:rsidP="00FA1257">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FA1257" w:rsidRPr="00A23468" w:rsidRDefault="00FA1257" w:rsidP="00FA1257">
      <w:pPr>
        <w:autoSpaceDE w:val="0"/>
        <w:autoSpaceDN w:val="0"/>
        <w:adjustRightInd w:val="0"/>
        <w:spacing w:line="360" w:lineRule="auto"/>
        <w:rPr>
          <w:b/>
          <w:noProof/>
        </w:rPr>
      </w:pPr>
      <w:r w:rsidRPr="00A23468">
        <w:rPr>
          <w:b/>
          <w:noProof/>
        </w:rPr>
        <w:t xml:space="preserve">Figura </w:t>
      </w:r>
      <w:r w:rsidR="00D43924">
        <w:rPr>
          <w:b/>
          <w:noProof/>
        </w:rPr>
        <w:t>3</w:t>
      </w:r>
      <w:r w:rsidRPr="00A23468">
        <w:rPr>
          <w:b/>
          <w:noProof/>
        </w:rPr>
        <w:t xml:space="preserve">. Teste LM para autocorrelações de </w:t>
      </w:r>
      <w:r>
        <w:rPr>
          <w:b/>
          <w:noProof/>
        </w:rPr>
        <w:t>resíduos e quadrado dos resíduos – modelo 2</w:t>
      </w:r>
      <w:r w:rsidRPr="00A23468">
        <w:rPr>
          <w:b/>
          <w:noProof/>
        </w:rPr>
        <w:t>.</w:t>
      </w:r>
    </w:p>
    <w:p w:rsidR="00FA1257" w:rsidRDefault="00FA1257" w:rsidP="00FA1257">
      <w:pPr>
        <w:autoSpaceDE w:val="0"/>
        <w:autoSpaceDN w:val="0"/>
        <w:adjustRightInd w:val="0"/>
        <w:spacing w:line="360" w:lineRule="auto"/>
        <w:ind w:firstLine="708"/>
      </w:pPr>
      <w:r>
        <w:rPr>
          <w:noProof/>
        </w:rPr>
        <w:drawing>
          <wp:inline distT="0" distB="0" distL="0" distR="0">
            <wp:extent cx="6114415" cy="20193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4415" cy="2019300"/>
                    </a:xfrm>
                    <a:prstGeom prst="rect">
                      <a:avLst/>
                    </a:prstGeom>
                    <a:noFill/>
                    <a:ln>
                      <a:noFill/>
                    </a:ln>
                  </pic:spPr>
                </pic:pic>
              </a:graphicData>
            </a:graphic>
          </wp:inline>
        </w:drawing>
      </w:r>
    </w:p>
    <w:p w:rsidR="00FA1257" w:rsidRPr="00E56F36" w:rsidRDefault="00FA1257" w:rsidP="00FA1257">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D47BB0" w:rsidRDefault="00D47BB0" w:rsidP="00D43924">
      <w:pPr>
        <w:autoSpaceDE w:val="0"/>
        <w:autoSpaceDN w:val="0"/>
        <w:adjustRightInd w:val="0"/>
        <w:spacing w:line="360" w:lineRule="auto"/>
        <w:rPr>
          <w:b/>
          <w:noProof/>
        </w:rPr>
      </w:pPr>
    </w:p>
    <w:p w:rsidR="00D47BB0" w:rsidRDefault="00D47BB0" w:rsidP="00D43924">
      <w:pPr>
        <w:autoSpaceDE w:val="0"/>
        <w:autoSpaceDN w:val="0"/>
        <w:adjustRightInd w:val="0"/>
        <w:spacing w:line="360" w:lineRule="auto"/>
        <w:rPr>
          <w:b/>
          <w:noProof/>
        </w:rPr>
      </w:pPr>
    </w:p>
    <w:p w:rsidR="00D47BB0" w:rsidRDefault="00D47BB0" w:rsidP="00D43924">
      <w:pPr>
        <w:autoSpaceDE w:val="0"/>
        <w:autoSpaceDN w:val="0"/>
        <w:adjustRightInd w:val="0"/>
        <w:spacing w:line="360" w:lineRule="auto"/>
        <w:rPr>
          <w:b/>
          <w:noProof/>
        </w:rPr>
      </w:pPr>
    </w:p>
    <w:p w:rsidR="00D47BB0" w:rsidRDefault="00D47BB0" w:rsidP="00D43924">
      <w:pPr>
        <w:autoSpaceDE w:val="0"/>
        <w:autoSpaceDN w:val="0"/>
        <w:adjustRightInd w:val="0"/>
        <w:spacing w:line="360" w:lineRule="auto"/>
        <w:rPr>
          <w:b/>
          <w:noProof/>
        </w:rPr>
      </w:pPr>
    </w:p>
    <w:p w:rsidR="00D47BB0" w:rsidRDefault="00D47BB0" w:rsidP="00D43924">
      <w:pPr>
        <w:autoSpaceDE w:val="0"/>
        <w:autoSpaceDN w:val="0"/>
        <w:adjustRightInd w:val="0"/>
        <w:spacing w:line="360" w:lineRule="auto"/>
        <w:rPr>
          <w:b/>
          <w:noProof/>
        </w:rPr>
      </w:pPr>
    </w:p>
    <w:p w:rsidR="00D47BB0" w:rsidRDefault="00D47BB0" w:rsidP="00D43924">
      <w:pPr>
        <w:autoSpaceDE w:val="0"/>
        <w:autoSpaceDN w:val="0"/>
        <w:adjustRightInd w:val="0"/>
        <w:spacing w:line="360" w:lineRule="auto"/>
        <w:rPr>
          <w:b/>
          <w:noProof/>
        </w:rPr>
      </w:pPr>
    </w:p>
    <w:p w:rsidR="00D43924" w:rsidRPr="00A23468" w:rsidRDefault="00D43924" w:rsidP="00D43924">
      <w:pPr>
        <w:autoSpaceDE w:val="0"/>
        <w:autoSpaceDN w:val="0"/>
        <w:adjustRightInd w:val="0"/>
        <w:spacing w:line="360" w:lineRule="auto"/>
        <w:rPr>
          <w:b/>
          <w:noProof/>
        </w:rPr>
      </w:pPr>
      <w:r w:rsidRPr="00A23468">
        <w:rPr>
          <w:b/>
          <w:noProof/>
        </w:rPr>
        <w:t xml:space="preserve">Figura </w:t>
      </w:r>
      <w:r>
        <w:rPr>
          <w:b/>
          <w:noProof/>
        </w:rPr>
        <w:t>4</w:t>
      </w:r>
      <w:r w:rsidRPr="00A23468">
        <w:rPr>
          <w:b/>
          <w:noProof/>
        </w:rPr>
        <w:t xml:space="preserve">. Teste LM para autocorrelações de </w:t>
      </w:r>
      <w:r>
        <w:rPr>
          <w:b/>
          <w:noProof/>
        </w:rPr>
        <w:t>resíduos e quadrado dos resíduos – modelo 3</w:t>
      </w:r>
      <w:r w:rsidRPr="00A23468">
        <w:rPr>
          <w:b/>
          <w:noProof/>
        </w:rPr>
        <w:t>.</w:t>
      </w:r>
    </w:p>
    <w:p w:rsidR="00D43924" w:rsidRDefault="00D43924" w:rsidP="00D43924">
      <w:pPr>
        <w:autoSpaceDE w:val="0"/>
        <w:autoSpaceDN w:val="0"/>
        <w:adjustRightInd w:val="0"/>
        <w:spacing w:line="360" w:lineRule="auto"/>
        <w:ind w:firstLine="708"/>
      </w:pPr>
      <w:r>
        <w:rPr>
          <w:noProof/>
        </w:rPr>
        <w:drawing>
          <wp:inline distT="0" distB="0" distL="0" distR="0">
            <wp:extent cx="6114415" cy="201422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4415" cy="2014220"/>
                    </a:xfrm>
                    <a:prstGeom prst="rect">
                      <a:avLst/>
                    </a:prstGeom>
                    <a:noFill/>
                    <a:ln>
                      <a:noFill/>
                    </a:ln>
                  </pic:spPr>
                </pic:pic>
              </a:graphicData>
            </a:graphic>
          </wp:inline>
        </w:drawing>
      </w:r>
    </w:p>
    <w:p w:rsidR="00D43924" w:rsidRPr="00E56F36" w:rsidRDefault="00D43924" w:rsidP="00D43924">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FA1257" w:rsidRDefault="00FA1257" w:rsidP="00FA1257">
      <w:pPr>
        <w:autoSpaceDE w:val="0"/>
        <w:autoSpaceDN w:val="0"/>
        <w:adjustRightInd w:val="0"/>
        <w:spacing w:line="360" w:lineRule="auto"/>
        <w:ind w:firstLine="708"/>
        <w:jc w:val="both"/>
      </w:pPr>
      <w:r>
        <w:t>A partir dos modelos adequadamente estimados e validados, obtemos as correlações condicionais estimadas e parâmetros que serão utilizados nos testes de causalidade Granger de segunda ordem e nas análises comparativas que se seguirão.</w:t>
      </w:r>
    </w:p>
    <w:p w:rsidR="00D47BB0" w:rsidRDefault="00D47BB0" w:rsidP="00FA1257">
      <w:pPr>
        <w:autoSpaceDE w:val="0"/>
        <w:autoSpaceDN w:val="0"/>
        <w:adjustRightInd w:val="0"/>
        <w:spacing w:line="360" w:lineRule="auto"/>
        <w:ind w:firstLine="708"/>
        <w:jc w:val="both"/>
      </w:pPr>
    </w:p>
    <w:p w:rsidR="00D47BB0" w:rsidRPr="00FF3324" w:rsidRDefault="00D47BB0" w:rsidP="00D47BB0">
      <w:pPr>
        <w:pStyle w:val="PargrafodaLista"/>
        <w:numPr>
          <w:ilvl w:val="1"/>
          <w:numId w:val="45"/>
        </w:numPr>
        <w:autoSpaceDE w:val="0"/>
        <w:autoSpaceDN w:val="0"/>
        <w:adjustRightInd w:val="0"/>
        <w:rPr>
          <w:rFonts w:eastAsia="Calibri"/>
          <w:b/>
          <w:bCs/>
        </w:rPr>
      </w:pPr>
      <w:r w:rsidRPr="00FF3324">
        <w:rPr>
          <w:rFonts w:eastAsia="Calibri"/>
          <w:b/>
          <w:bCs/>
        </w:rPr>
        <w:t>Testes de causalidade de Granger de segunda ordem</w:t>
      </w:r>
    </w:p>
    <w:p w:rsidR="00A10ED5" w:rsidRDefault="00A10ED5" w:rsidP="005325DA">
      <w:pPr>
        <w:autoSpaceDE w:val="0"/>
        <w:autoSpaceDN w:val="0"/>
        <w:adjustRightInd w:val="0"/>
        <w:spacing w:line="360" w:lineRule="auto"/>
        <w:ind w:firstLine="708"/>
        <w:jc w:val="both"/>
      </w:pPr>
    </w:p>
    <w:p w:rsidR="007F3736" w:rsidRDefault="00E054A7" w:rsidP="007F3736">
      <w:pPr>
        <w:autoSpaceDE w:val="0"/>
        <w:autoSpaceDN w:val="0"/>
        <w:adjustRightInd w:val="0"/>
        <w:spacing w:line="360" w:lineRule="auto"/>
        <w:ind w:firstLine="708"/>
        <w:jc w:val="both"/>
      </w:pPr>
      <w:r>
        <w:t>Os testes de causalidade de Granger de segunda ordem, são implementados a partir dos parâmetros estimados dos modelos apresentados, dessa forma apresentamos a seguir os resultados:</w:t>
      </w:r>
    </w:p>
    <w:p w:rsidR="007C6709" w:rsidRPr="007F3736" w:rsidRDefault="007C6709" w:rsidP="00E11341">
      <w:pPr>
        <w:autoSpaceDE w:val="0"/>
        <w:autoSpaceDN w:val="0"/>
        <w:adjustRightInd w:val="0"/>
        <w:spacing w:line="360" w:lineRule="auto"/>
      </w:pPr>
      <w:r>
        <w:rPr>
          <w:b/>
        </w:rPr>
        <w:t>Tabela 5.</w:t>
      </w:r>
      <w:r w:rsidRPr="009E75FB">
        <w:t xml:space="preserve"> </w:t>
      </w:r>
      <w:r>
        <w:rPr>
          <w:b/>
        </w:rPr>
        <w:t>Teste de causalidade de Granger de segunda ordem – modelo 1</w:t>
      </w:r>
      <w:r w:rsidRPr="009E75FB">
        <w:rPr>
          <w:b/>
        </w:rPr>
        <w:t xml:space="preserve"> </w:t>
      </w:r>
    </w:p>
    <w:tbl>
      <w:tblPr>
        <w:tblStyle w:val="Tabelacomgrade"/>
        <w:tblW w:w="5495" w:type="dxa"/>
        <w:tblBorders>
          <w:top w:val="double" w:sz="4" w:space="0" w:color="auto"/>
          <w:left w:val="none" w:sz="0" w:space="0" w:color="auto"/>
          <w:bottom w:val="double" w:sz="4" w:space="0" w:color="auto"/>
          <w:right w:val="none" w:sz="0" w:space="0" w:color="auto"/>
        </w:tblBorders>
        <w:tblLook w:val="04A0"/>
      </w:tblPr>
      <w:tblGrid>
        <w:gridCol w:w="999"/>
        <w:gridCol w:w="1236"/>
        <w:gridCol w:w="850"/>
        <w:gridCol w:w="2410"/>
      </w:tblGrid>
      <w:tr w:rsidR="00EB340A" w:rsidRPr="00884BFC" w:rsidTr="007F3736">
        <w:tc>
          <w:tcPr>
            <w:tcW w:w="999" w:type="dxa"/>
            <w:tcBorders>
              <w:top w:val="double" w:sz="4" w:space="0" w:color="auto"/>
              <w:bottom w:val="single" w:sz="4" w:space="0" w:color="auto"/>
              <w:right w:val="nil"/>
            </w:tcBorders>
          </w:tcPr>
          <w:p w:rsidR="00EB340A" w:rsidRPr="00D31CE5" w:rsidRDefault="00EB340A" w:rsidP="007C6709">
            <w:pPr>
              <w:autoSpaceDE w:val="0"/>
              <w:autoSpaceDN w:val="0"/>
              <w:adjustRightInd w:val="0"/>
              <w:spacing w:line="360" w:lineRule="auto"/>
              <w:jc w:val="center"/>
              <w:rPr>
                <w:sz w:val="16"/>
                <w:szCs w:val="16"/>
              </w:rPr>
            </w:pPr>
          </w:p>
        </w:tc>
        <w:tc>
          <w:tcPr>
            <w:tcW w:w="4496" w:type="dxa"/>
            <w:gridSpan w:val="3"/>
            <w:tcBorders>
              <w:top w:val="double" w:sz="4" w:space="0" w:color="auto"/>
              <w:left w:val="nil"/>
              <w:bottom w:val="single" w:sz="4" w:space="0" w:color="auto"/>
            </w:tcBorders>
          </w:tcPr>
          <w:p w:rsidR="00EB340A" w:rsidRPr="00EB340A" w:rsidRDefault="00EB340A" w:rsidP="00EB340A">
            <w:pPr>
              <w:autoSpaceDE w:val="0"/>
              <w:autoSpaceDN w:val="0"/>
              <w:adjustRightInd w:val="0"/>
              <w:spacing w:line="360" w:lineRule="auto"/>
              <w:jc w:val="center"/>
              <w:rPr>
                <w:sz w:val="20"/>
                <w:szCs w:val="20"/>
              </w:rPr>
            </w:pPr>
            <w:r w:rsidRPr="00EB340A">
              <w:rPr>
                <w:sz w:val="20"/>
                <w:szCs w:val="20"/>
              </w:rPr>
              <w:t>Teste de CG de Segunda Ordem com 10 Defasagens</w:t>
            </w:r>
          </w:p>
        </w:tc>
      </w:tr>
      <w:tr w:rsidR="007C6709" w:rsidRPr="00884BFC" w:rsidTr="007F3736">
        <w:tc>
          <w:tcPr>
            <w:tcW w:w="999" w:type="dxa"/>
            <w:tcBorders>
              <w:top w:val="single" w:sz="4" w:space="0" w:color="auto"/>
            </w:tcBorders>
          </w:tcPr>
          <w:p w:rsidR="007C6709" w:rsidRPr="00D31CE5" w:rsidRDefault="007C6709" w:rsidP="007C6709">
            <w:pPr>
              <w:autoSpaceDE w:val="0"/>
              <w:autoSpaceDN w:val="0"/>
              <w:adjustRightInd w:val="0"/>
              <w:spacing w:line="360" w:lineRule="auto"/>
              <w:jc w:val="center"/>
              <w:rPr>
                <w:sz w:val="16"/>
                <w:szCs w:val="16"/>
              </w:rPr>
            </w:pPr>
          </w:p>
        </w:tc>
        <w:tc>
          <w:tcPr>
            <w:tcW w:w="1236" w:type="dxa"/>
            <w:tcBorders>
              <w:top w:val="single" w:sz="4" w:space="0" w:color="auto"/>
            </w:tcBorders>
          </w:tcPr>
          <w:p w:rsidR="007C6709" w:rsidRPr="00D31CE5" w:rsidRDefault="007C6709" w:rsidP="007C6709">
            <w:pPr>
              <w:autoSpaceDE w:val="0"/>
              <w:autoSpaceDN w:val="0"/>
              <w:adjustRightInd w:val="0"/>
              <w:spacing w:line="360" w:lineRule="auto"/>
              <w:jc w:val="center"/>
              <w:rPr>
                <w:sz w:val="16"/>
                <w:szCs w:val="16"/>
              </w:rPr>
            </w:pPr>
            <w:r>
              <w:rPr>
                <w:rStyle w:val="hps"/>
                <w:color w:val="333333"/>
                <w:sz w:val="16"/>
                <w:szCs w:val="16"/>
                <w:lang w:val="pt-PT"/>
              </w:rPr>
              <w:t>IBOVESPA</w:t>
            </w:r>
          </w:p>
        </w:tc>
        <w:tc>
          <w:tcPr>
            <w:tcW w:w="850" w:type="dxa"/>
            <w:tcBorders>
              <w:top w:val="single" w:sz="4" w:space="0" w:color="auto"/>
            </w:tcBorders>
          </w:tcPr>
          <w:p w:rsidR="007C6709" w:rsidRPr="00D31CE5" w:rsidRDefault="007C6709" w:rsidP="007C6709">
            <w:pPr>
              <w:autoSpaceDE w:val="0"/>
              <w:autoSpaceDN w:val="0"/>
              <w:adjustRightInd w:val="0"/>
              <w:spacing w:line="360" w:lineRule="auto"/>
              <w:jc w:val="center"/>
              <w:rPr>
                <w:sz w:val="16"/>
                <w:szCs w:val="16"/>
              </w:rPr>
            </w:pPr>
            <w:r>
              <w:rPr>
                <w:rStyle w:val="hps"/>
                <w:color w:val="333333"/>
                <w:sz w:val="16"/>
                <w:szCs w:val="16"/>
                <w:lang w:val="pt-PT"/>
              </w:rPr>
              <w:t>IND1</w:t>
            </w:r>
          </w:p>
        </w:tc>
        <w:tc>
          <w:tcPr>
            <w:tcW w:w="2410" w:type="dxa"/>
            <w:tcBorders>
              <w:top w:val="single" w:sz="4" w:space="0" w:color="auto"/>
            </w:tcBorders>
          </w:tcPr>
          <w:p w:rsidR="007C6709" w:rsidRDefault="007C6709" w:rsidP="007C6709">
            <w:pPr>
              <w:autoSpaceDE w:val="0"/>
              <w:autoSpaceDN w:val="0"/>
              <w:adjustRightInd w:val="0"/>
              <w:spacing w:line="360" w:lineRule="auto"/>
              <w:jc w:val="center"/>
              <w:rPr>
                <w:sz w:val="16"/>
                <w:szCs w:val="16"/>
              </w:rPr>
            </w:pPr>
            <w:r>
              <w:rPr>
                <w:sz w:val="16"/>
                <w:szCs w:val="16"/>
              </w:rPr>
              <w:t>Teste Conjunto</w:t>
            </w:r>
          </w:p>
        </w:tc>
      </w:tr>
      <w:tr w:rsidR="007C6709" w:rsidRPr="00884BFC" w:rsidTr="007F3736">
        <w:tc>
          <w:tcPr>
            <w:tcW w:w="999" w:type="dxa"/>
            <w:tcBorders>
              <w:bottom w:val="nil"/>
            </w:tcBorders>
          </w:tcPr>
          <w:p w:rsidR="007C6709" w:rsidRPr="00D31CE5" w:rsidRDefault="007C6709" w:rsidP="007C6709">
            <w:pPr>
              <w:autoSpaceDE w:val="0"/>
              <w:autoSpaceDN w:val="0"/>
              <w:adjustRightInd w:val="0"/>
              <w:spacing w:line="360" w:lineRule="auto"/>
              <w:rPr>
                <w:rStyle w:val="hps"/>
                <w:color w:val="333333"/>
                <w:sz w:val="16"/>
                <w:szCs w:val="16"/>
                <w:lang w:val="pt-PT"/>
              </w:rPr>
            </w:pPr>
            <w:r>
              <w:rPr>
                <w:rStyle w:val="hps"/>
                <w:color w:val="333333"/>
                <w:sz w:val="16"/>
                <w:szCs w:val="16"/>
                <w:lang w:val="pt-PT"/>
              </w:rPr>
              <w:t>IBOVESPA</w:t>
            </w:r>
          </w:p>
        </w:tc>
        <w:tc>
          <w:tcPr>
            <w:tcW w:w="1236" w:type="dxa"/>
            <w:tcBorders>
              <w:bottom w:val="nil"/>
            </w:tcBorders>
          </w:tcPr>
          <w:p w:rsidR="007C6709" w:rsidRPr="00EB340A" w:rsidRDefault="00EB340A" w:rsidP="007C6709">
            <w:pPr>
              <w:autoSpaceDE w:val="0"/>
              <w:autoSpaceDN w:val="0"/>
              <w:adjustRightInd w:val="0"/>
              <w:spacing w:line="360" w:lineRule="auto"/>
              <w:jc w:val="center"/>
              <w:rPr>
                <w:sz w:val="16"/>
                <w:szCs w:val="16"/>
                <w:lang w:val="en-US"/>
              </w:rPr>
            </w:pPr>
            <w:r w:rsidRPr="00EB340A">
              <w:rPr>
                <w:sz w:val="16"/>
                <w:szCs w:val="16"/>
                <w:lang w:val="en-US"/>
              </w:rPr>
              <w:t>-</w:t>
            </w:r>
          </w:p>
        </w:tc>
        <w:tc>
          <w:tcPr>
            <w:tcW w:w="850" w:type="dxa"/>
            <w:tcBorders>
              <w:bottom w:val="nil"/>
            </w:tcBorders>
          </w:tcPr>
          <w:p w:rsidR="007C6709" w:rsidRPr="00EB340A" w:rsidRDefault="00EB340A" w:rsidP="00EB340A">
            <w:pPr>
              <w:autoSpaceDE w:val="0"/>
              <w:autoSpaceDN w:val="0"/>
              <w:adjustRightInd w:val="0"/>
              <w:spacing w:line="360" w:lineRule="auto"/>
              <w:jc w:val="center"/>
              <w:rPr>
                <w:sz w:val="16"/>
                <w:szCs w:val="16"/>
              </w:rPr>
            </w:pPr>
            <w:r w:rsidRPr="00EB340A">
              <w:rPr>
                <w:rFonts w:eastAsia="Calibri"/>
                <w:sz w:val="16"/>
                <w:szCs w:val="16"/>
              </w:rPr>
              <w:t>0,42</w:t>
            </w:r>
          </w:p>
        </w:tc>
        <w:tc>
          <w:tcPr>
            <w:tcW w:w="2410" w:type="dxa"/>
            <w:tcBorders>
              <w:bottom w:val="nil"/>
            </w:tcBorders>
          </w:tcPr>
          <w:p w:rsidR="007C6709" w:rsidRPr="00EB340A" w:rsidRDefault="00EB340A" w:rsidP="007F3736">
            <w:pPr>
              <w:autoSpaceDE w:val="0"/>
              <w:autoSpaceDN w:val="0"/>
              <w:adjustRightInd w:val="0"/>
              <w:spacing w:line="360" w:lineRule="auto"/>
              <w:jc w:val="center"/>
              <w:rPr>
                <w:sz w:val="16"/>
                <w:szCs w:val="16"/>
              </w:rPr>
            </w:pPr>
            <w:r w:rsidRPr="00EB340A">
              <w:rPr>
                <w:rFonts w:eastAsia="Calibri"/>
                <w:sz w:val="16"/>
                <w:szCs w:val="16"/>
              </w:rPr>
              <w:t>0,42</w:t>
            </w:r>
          </w:p>
        </w:tc>
      </w:tr>
      <w:tr w:rsidR="007C6709" w:rsidRPr="00884BFC" w:rsidTr="007F3736">
        <w:tc>
          <w:tcPr>
            <w:tcW w:w="999" w:type="dxa"/>
            <w:tcBorders>
              <w:top w:val="nil"/>
              <w:bottom w:val="single" w:sz="4" w:space="0" w:color="auto"/>
            </w:tcBorders>
          </w:tcPr>
          <w:p w:rsidR="007C6709" w:rsidRPr="00D31CE5" w:rsidRDefault="007C6709" w:rsidP="007C6709">
            <w:pPr>
              <w:autoSpaceDE w:val="0"/>
              <w:autoSpaceDN w:val="0"/>
              <w:adjustRightInd w:val="0"/>
              <w:spacing w:line="360" w:lineRule="auto"/>
              <w:rPr>
                <w:rStyle w:val="hps"/>
                <w:color w:val="333333"/>
                <w:sz w:val="16"/>
                <w:szCs w:val="16"/>
                <w:lang w:val="pt-PT"/>
              </w:rPr>
            </w:pPr>
            <w:r>
              <w:rPr>
                <w:rStyle w:val="hps"/>
                <w:color w:val="333333"/>
                <w:sz w:val="16"/>
                <w:szCs w:val="16"/>
                <w:lang w:val="pt-PT"/>
              </w:rPr>
              <w:t>IND1</w:t>
            </w:r>
          </w:p>
        </w:tc>
        <w:tc>
          <w:tcPr>
            <w:tcW w:w="1236" w:type="dxa"/>
            <w:tcBorders>
              <w:top w:val="nil"/>
              <w:bottom w:val="single" w:sz="4" w:space="0" w:color="auto"/>
            </w:tcBorders>
          </w:tcPr>
          <w:p w:rsidR="007C6709" w:rsidRPr="00EB340A" w:rsidRDefault="00EB340A" w:rsidP="007C6709">
            <w:pPr>
              <w:autoSpaceDE w:val="0"/>
              <w:autoSpaceDN w:val="0"/>
              <w:adjustRightInd w:val="0"/>
              <w:spacing w:line="360" w:lineRule="auto"/>
              <w:jc w:val="center"/>
              <w:rPr>
                <w:rStyle w:val="hps"/>
                <w:color w:val="333333"/>
                <w:sz w:val="16"/>
                <w:szCs w:val="16"/>
              </w:rPr>
            </w:pPr>
            <w:r w:rsidRPr="00EB340A">
              <w:rPr>
                <w:rFonts w:eastAsia="Calibri"/>
                <w:sz w:val="16"/>
                <w:szCs w:val="16"/>
              </w:rPr>
              <w:t>0,001</w:t>
            </w:r>
          </w:p>
        </w:tc>
        <w:tc>
          <w:tcPr>
            <w:tcW w:w="850" w:type="dxa"/>
            <w:tcBorders>
              <w:top w:val="nil"/>
              <w:bottom w:val="single" w:sz="4" w:space="0" w:color="auto"/>
            </w:tcBorders>
          </w:tcPr>
          <w:p w:rsidR="007C6709" w:rsidRPr="00EB340A" w:rsidRDefault="00EB340A" w:rsidP="007C6709">
            <w:pPr>
              <w:autoSpaceDE w:val="0"/>
              <w:autoSpaceDN w:val="0"/>
              <w:adjustRightInd w:val="0"/>
              <w:spacing w:line="360" w:lineRule="auto"/>
              <w:jc w:val="center"/>
              <w:rPr>
                <w:sz w:val="16"/>
                <w:szCs w:val="16"/>
                <w:lang w:val="en-US"/>
              </w:rPr>
            </w:pPr>
            <w:r w:rsidRPr="00EB340A">
              <w:rPr>
                <w:sz w:val="16"/>
                <w:szCs w:val="16"/>
                <w:lang w:val="en-US"/>
              </w:rPr>
              <w:t>-</w:t>
            </w:r>
          </w:p>
        </w:tc>
        <w:tc>
          <w:tcPr>
            <w:tcW w:w="2410" w:type="dxa"/>
            <w:tcBorders>
              <w:top w:val="nil"/>
              <w:bottom w:val="single" w:sz="4" w:space="0" w:color="auto"/>
            </w:tcBorders>
          </w:tcPr>
          <w:p w:rsidR="007C6709" w:rsidRPr="00EB340A" w:rsidRDefault="00EB340A" w:rsidP="007C6709">
            <w:pPr>
              <w:autoSpaceDE w:val="0"/>
              <w:autoSpaceDN w:val="0"/>
              <w:adjustRightInd w:val="0"/>
              <w:spacing w:line="360" w:lineRule="auto"/>
              <w:jc w:val="center"/>
              <w:rPr>
                <w:sz w:val="16"/>
                <w:szCs w:val="16"/>
              </w:rPr>
            </w:pPr>
            <w:r w:rsidRPr="00EB340A">
              <w:rPr>
                <w:rFonts w:eastAsia="Calibri"/>
                <w:sz w:val="16"/>
                <w:szCs w:val="16"/>
              </w:rPr>
              <w:t>0,001</w:t>
            </w:r>
          </w:p>
        </w:tc>
      </w:tr>
    </w:tbl>
    <w:p w:rsidR="007C6709" w:rsidRDefault="000E6CF9" w:rsidP="007C6709">
      <w:pPr>
        <w:autoSpaceDE w:val="0"/>
        <w:autoSpaceDN w:val="0"/>
        <w:adjustRightInd w:val="0"/>
        <w:spacing w:line="360" w:lineRule="auto"/>
        <w:rPr>
          <w:rStyle w:val="hps"/>
          <w:color w:val="333333"/>
          <w:sz w:val="16"/>
          <w:szCs w:val="16"/>
        </w:rPr>
      </w:pP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oMath>
      <w:r w:rsidR="007C6709">
        <w:rPr>
          <w:rStyle w:val="hps"/>
          <w:color w:val="333333"/>
          <w:sz w:val="16"/>
          <w:szCs w:val="16"/>
        </w:rPr>
        <w:t>:</w:t>
      </w:r>
      <w:r w:rsidR="00EB340A">
        <w:rPr>
          <w:rStyle w:val="hps"/>
          <w:color w:val="333333"/>
          <w:sz w:val="16"/>
          <w:szCs w:val="16"/>
        </w:rPr>
        <w:t xml:space="preserve">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(i)</m:t>
            </m:r>
          </m:sub>
        </m:sSub>
      </m:oMath>
      <w:r w:rsidR="00EB340A">
        <w:rPr>
          <w:rStyle w:val="hps"/>
          <w:color w:val="333333"/>
          <w:sz w:val="16"/>
          <w:szCs w:val="16"/>
        </w:rPr>
        <w:t xml:space="preserve"> não Granger-causa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(j)</m:t>
            </m:r>
          </m:sub>
        </m:sSub>
      </m:oMath>
      <w:r w:rsidR="00EB340A">
        <w:rPr>
          <w:rStyle w:val="hps"/>
          <w:color w:val="333333"/>
          <w:sz w:val="16"/>
          <w:szCs w:val="16"/>
        </w:rPr>
        <w:t xml:space="preserve">, com </w:t>
      </w:r>
      <m:oMath>
        <m:r>
          <w:rPr>
            <w:rStyle w:val="hps"/>
            <w:rFonts w:ascii="Cambria Math" w:hAnsi="Cambria Math"/>
            <w:color w:val="333333"/>
            <w:sz w:val="16"/>
            <w:szCs w:val="16"/>
          </w:rPr>
          <m:t>i≠j</m:t>
        </m:r>
      </m:oMath>
      <w:r w:rsidR="007C6709" w:rsidRPr="009C392D">
        <w:rPr>
          <w:rStyle w:val="hps"/>
          <w:color w:val="333333"/>
          <w:sz w:val="16"/>
          <w:szCs w:val="16"/>
        </w:rPr>
        <w:t>.</w:t>
      </w:r>
    </w:p>
    <w:p w:rsidR="007C6709" w:rsidRDefault="00EB340A" w:rsidP="007C6709">
      <w:pPr>
        <w:autoSpaceDE w:val="0"/>
        <w:autoSpaceDN w:val="0"/>
        <w:adjustRightInd w:val="0"/>
        <w:spacing w:line="360" w:lineRule="auto"/>
        <w:rPr>
          <w:rStyle w:val="hps"/>
          <w:color w:val="333333"/>
          <w:sz w:val="16"/>
          <w:szCs w:val="16"/>
        </w:rPr>
      </w:pPr>
      <w:r>
        <w:rPr>
          <w:rStyle w:val="hps"/>
          <w:color w:val="333333"/>
          <w:sz w:val="16"/>
          <w:szCs w:val="16"/>
        </w:rPr>
        <w:t xml:space="preserve">Teste Conjunto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r>
          <w:rPr>
            <w:rStyle w:val="hps"/>
            <w:rFonts w:ascii="Cambria Math" w:hAnsi="Cambria Math"/>
            <w:color w:val="333333"/>
            <w:sz w:val="16"/>
            <w:szCs w:val="16"/>
          </w:rPr>
          <m:t xml:space="preserve">: </m:t>
        </m:r>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(i)</m:t>
            </m:r>
          </m:sub>
        </m:sSub>
      </m:oMath>
      <w:r>
        <w:rPr>
          <w:rStyle w:val="hps"/>
          <w:color w:val="333333"/>
          <w:sz w:val="16"/>
          <w:szCs w:val="16"/>
        </w:rPr>
        <w:t xml:space="preserve"> não Granger-causa nenhum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(j)</m:t>
            </m:r>
          </m:sub>
        </m:sSub>
      </m:oMath>
      <w:r>
        <w:rPr>
          <w:rStyle w:val="hps"/>
          <w:color w:val="333333"/>
          <w:sz w:val="16"/>
          <w:szCs w:val="16"/>
        </w:rPr>
        <w:t xml:space="preserve">, com </w:t>
      </w:r>
      <m:oMath>
        <m:r>
          <w:rPr>
            <w:rStyle w:val="hps"/>
            <w:rFonts w:ascii="Cambria Math" w:hAnsi="Cambria Math"/>
            <w:color w:val="333333"/>
            <w:sz w:val="16"/>
            <w:szCs w:val="16"/>
          </w:rPr>
          <m:t>i≠j</m:t>
        </m:r>
      </m:oMath>
      <w:r w:rsidRPr="009C392D">
        <w:rPr>
          <w:rStyle w:val="hps"/>
          <w:color w:val="333333"/>
          <w:sz w:val="16"/>
          <w:szCs w:val="16"/>
        </w:rPr>
        <w:t>.</w:t>
      </w:r>
    </w:p>
    <w:p w:rsidR="007C6709" w:rsidRPr="00E56F36" w:rsidRDefault="007C6709" w:rsidP="007C6709">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D47BB0" w:rsidRDefault="00C02BEF" w:rsidP="00C02BEF">
      <w:pPr>
        <w:autoSpaceDE w:val="0"/>
        <w:autoSpaceDN w:val="0"/>
        <w:adjustRightInd w:val="0"/>
        <w:spacing w:line="360" w:lineRule="auto"/>
        <w:ind w:firstLine="708"/>
        <w:jc w:val="both"/>
      </w:pPr>
      <w:r>
        <w:t xml:space="preserve">O primeiro modelo que utiliza uma </w:t>
      </w:r>
      <w:proofErr w:type="gramStart"/>
      <w:r w:rsidRPr="003930DC">
        <w:rPr>
          <w:i/>
        </w:rPr>
        <w:t>proxy</w:t>
      </w:r>
      <w:proofErr w:type="gramEnd"/>
      <w:r>
        <w:t xml:space="preserve"> para choques cambiais com 48 taxas cambiais, ou seja um choque cambial mais amplo, teve comprovada a existência dos efeitos de </w:t>
      </w:r>
      <w:r w:rsidRPr="00C02BEF">
        <w:rPr>
          <w:i/>
        </w:rPr>
        <w:t>spillover</w:t>
      </w:r>
      <w:r>
        <w:t xml:space="preserve"> na dire</w:t>
      </w:r>
      <w:r w:rsidR="00EB340A">
        <w:t>ção da volatilidade dos choques</w:t>
      </w:r>
      <w:r>
        <w:t xml:space="preserve"> cambiais para a volatidade do Ibovespa. O teste conjunto mostra que não há causalidade no sentido de Granger, da volatilidade do Ibovespa para a volatilidade dos choques definidos para esse modelo.</w:t>
      </w:r>
    </w:p>
    <w:p w:rsidR="00A4200B" w:rsidRDefault="00A4200B" w:rsidP="00E11341">
      <w:pPr>
        <w:autoSpaceDE w:val="0"/>
        <w:autoSpaceDN w:val="0"/>
        <w:adjustRightInd w:val="0"/>
        <w:spacing w:line="360" w:lineRule="auto"/>
        <w:rPr>
          <w:b/>
        </w:rPr>
      </w:pPr>
    </w:p>
    <w:p w:rsidR="00A4200B" w:rsidRDefault="00A4200B" w:rsidP="00E11341">
      <w:pPr>
        <w:autoSpaceDE w:val="0"/>
        <w:autoSpaceDN w:val="0"/>
        <w:adjustRightInd w:val="0"/>
        <w:spacing w:line="360" w:lineRule="auto"/>
        <w:rPr>
          <w:b/>
        </w:rPr>
      </w:pPr>
    </w:p>
    <w:p w:rsidR="00A4200B" w:rsidRDefault="00A4200B" w:rsidP="00E11341">
      <w:pPr>
        <w:autoSpaceDE w:val="0"/>
        <w:autoSpaceDN w:val="0"/>
        <w:adjustRightInd w:val="0"/>
        <w:spacing w:line="360" w:lineRule="auto"/>
        <w:rPr>
          <w:b/>
        </w:rPr>
      </w:pPr>
    </w:p>
    <w:p w:rsidR="00A4200B" w:rsidRDefault="00A4200B" w:rsidP="00E11341">
      <w:pPr>
        <w:autoSpaceDE w:val="0"/>
        <w:autoSpaceDN w:val="0"/>
        <w:adjustRightInd w:val="0"/>
        <w:spacing w:line="360" w:lineRule="auto"/>
        <w:rPr>
          <w:b/>
        </w:rPr>
      </w:pPr>
    </w:p>
    <w:p w:rsidR="00A4200B" w:rsidRDefault="00A4200B" w:rsidP="00E11341">
      <w:pPr>
        <w:autoSpaceDE w:val="0"/>
        <w:autoSpaceDN w:val="0"/>
        <w:adjustRightInd w:val="0"/>
        <w:spacing w:line="360" w:lineRule="auto"/>
        <w:rPr>
          <w:b/>
        </w:rPr>
      </w:pPr>
    </w:p>
    <w:p w:rsidR="00A4200B" w:rsidRDefault="00A4200B" w:rsidP="00E11341">
      <w:pPr>
        <w:autoSpaceDE w:val="0"/>
        <w:autoSpaceDN w:val="0"/>
        <w:adjustRightInd w:val="0"/>
        <w:spacing w:line="360" w:lineRule="auto"/>
        <w:rPr>
          <w:b/>
        </w:rPr>
      </w:pPr>
    </w:p>
    <w:p w:rsidR="00E11341" w:rsidRPr="007F3736" w:rsidRDefault="00E11341" w:rsidP="00E11341">
      <w:pPr>
        <w:autoSpaceDE w:val="0"/>
        <w:autoSpaceDN w:val="0"/>
        <w:adjustRightInd w:val="0"/>
        <w:spacing w:line="360" w:lineRule="auto"/>
      </w:pPr>
      <w:r>
        <w:rPr>
          <w:b/>
        </w:rPr>
        <w:t>Tabela 6.</w:t>
      </w:r>
      <w:r w:rsidRPr="009E75FB">
        <w:t xml:space="preserve"> </w:t>
      </w:r>
      <w:r>
        <w:rPr>
          <w:b/>
        </w:rPr>
        <w:t xml:space="preserve">Teste de causalidade de Granger de segunda ordem – modelo </w:t>
      </w:r>
      <w:proofErr w:type="gramStart"/>
      <w:r>
        <w:rPr>
          <w:b/>
        </w:rPr>
        <w:t>2</w:t>
      </w:r>
      <w:proofErr w:type="gramEnd"/>
      <w:r w:rsidRPr="009E75FB">
        <w:rPr>
          <w:b/>
        </w:rPr>
        <w:t xml:space="preserve"> </w:t>
      </w:r>
    </w:p>
    <w:tbl>
      <w:tblPr>
        <w:tblStyle w:val="Tabelacomgrade"/>
        <w:tblW w:w="5778" w:type="dxa"/>
        <w:tblBorders>
          <w:top w:val="double" w:sz="4" w:space="0" w:color="auto"/>
          <w:left w:val="none" w:sz="0" w:space="0" w:color="auto"/>
          <w:bottom w:val="double" w:sz="4" w:space="0" w:color="auto"/>
          <w:right w:val="none" w:sz="0" w:space="0" w:color="auto"/>
        </w:tblBorders>
        <w:tblLook w:val="04A0"/>
      </w:tblPr>
      <w:tblGrid>
        <w:gridCol w:w="999"/>
        <w:gridCol w:w="1236"/>
        <w:gridCol w:w="850"/>
        <w:gridCol w:w="851"/>
        <w:gridCol w:w="1842"/>
      </w:tblGrid>
      <w:tr w:rsidR="00E11341" w:rsidRPr="00884BFC" w:rsidTr="00E11341">
        <w:tc>
          <w:tcPr>
            <w:tcW w:w="999" w:type="dxa"/>
            <w:tcBorders>
              <w:top w:val="double" w:sz="4" w:space="0" w:color="auto"/>
              <w:bottom w:val="single" w:sz="4" w:space="0" w:color="auto"/>
              <w:right w:val="nil"/>
            </w:tcBorders>
          </w:tcPr>
          <w:p w:rsidR="00E11341" w:rsidRPr="00D31CE5" w:rsidRDefault="00E11341" w:rsidP="00E11341">
            <w:pPr>
              <w:autoSpaceDE w:val="0"/>
              <w:autoSpaceDN w:val="0"/>
              <w:adjustRightInd w:val="0"/>
              <w:spacing w:line="360" w:lineRule="auto"/>
              <w:jc w:val="center"/>
              <w:rPr>
                <w:sz w:val="16"/>
                <w:szCs w:val="16"/>
              </w:rPr>
            </w:pPr>
          </w:p>
        </w:tc>
        <w:tc>
          <w:tcPr>
            <w:tcW w:w="4779" w:type="dxa"/>
            <w:gridSpan w:val="4"/>
            <w:tcBorders>
              <w:top w:val="double" w:sz="4" w:space="0" w:color="auto"/>
              <w:bottom w:val="single" w:sz="4" w:space="0" w:color="auto"/>
            </w:tcBorders>
          </w:tcPr>
          <w:p w:rsidR="00E11341" w:rsidRPr="00EB340A" w:rsidRDefault="00E11341" w:rsidP="00E11341">
            <w:pPr>
              <w:autoSpaceDE w:val="0"/>
              <w:autoSpaceDN w:val="0"/>
              <w:adjustRightInd w:val="0"/>
              <w:spacing w:line="360" w:lineRule="auto"/>
              <w:jc w:val="center"/>
              <w:rPr>
                <w:sz w:val="20"/>
                <w:szCs w:val="20"/>
              </w:rPr>
            </w:pPr>
            <w:r w:rsidRPr="00EB340A">
              <w:rPr>
                <w:sz w:val="20"/>
                <w:szCs w:val="20"/>
              </w:rPr>
              <w:t>Teste de CG de Segunda Ordem com 10 Defasagens</w:t>
            </w:r>
          </w:p>
        </w:tc>
      </w:tr>
      <w:tr w:rsidR="00E11341" w:rsidRPr="00884BFC" w:rsidTr="00E11341">
        <w:tc>
          <w:tcPr>
            <w:tcW w:w="999" w:type="dxa"/>
            <w:tcBorders>
              <w:top w:val="single" w:sz="4" w:space="0" w:color="auto"/>
            </w:tcBorders>
          </w:tcPr>
          <w:p w:rsidR="00E11341" w:rsidRPr="00D31CE5" w:rsidRDefault="00E11341" w:rsidP="00E11341">
            <w:pPr>
              <w:autoSpaceDE w:val="0"/>
              <w:autoSpaceDN w:val="0"/>
              <w:adjustRightInd w:val="0"/>
              <w:spacing w:line="360" w:lineRule="auto"/>
              <w:jc w:val="center"/>
              <w:rPr>
                <w:sz w:val="16"/>
                <w:szCs w:val="16"/>
              </w:rPr>
            </w:pPr>
          </w:p>
        </w:tc>
        <w:tc>
          <w:tcPr>
            <w:tcW w:w="1236" w:type="dxa"/>
            <w:tcBorders>
              <w:top w:val="single" w:sz="4" w:space="0" w:color="auto"/>
            </w:tcBorders>
          </w:tcPr>
          <w:p w:rsidR="00E11341" w:rsidRPr="00D31CE5" w:rsidRDefault="00E11341" w:rsidP="00E11341">
            <w:pPr>
              <w:autoSpaceDE w:val="0"/>
              <w:autoSpaceDN w:val="0"/>
              <w:adjustRightInd w:val="0"/>
              <w:spacing w:line="360" w:lineRule="auto"/>
              <w:jc w:val="center"/>
              <w:rPr>
                <w:sz w:val="16"/>
                <w:szCs w:val="16"/>
              </w:rPr>
            </w:pPr>
            <w:r>
              <w:rPr>
                <w:rStyle w:val="hps"/>
                <w:color w:val="333333"/>
                <w:sz w:val="16"/>
                <w:szCs w:val="16"/>
                <w:lang w:val="pt-PT"/>
              </w:rPr>
              <w:t>IBOVESPA</w:t>
            </w:r>
          </w:p>
        </w:tc>
        <w:tc>
          <w:tcPr>
            <w:tcW w:w="850" w:type="dxa"/>
            <w:tcBorders>
              <w:top w:val="single" w:sz="4" w:space="0" w:color="auto"/>
            </w:tcBorders>
          </w:tcPr>
          <w:p w:rsidR="00E11341" w:rsidRPr="00D31CE5" w:rsidRDefault="00E11341" w:rsidP="00E11341">
            <w:pPr>
              <w:autoSpaceDE w:val="0"/>
              <w:autoSpaceDN w:val="0"/>
              <w:adjustRightInd w:val="0"/>
              <w:spacing w:line="360" w:lineRule="auto"/>
              <w:jc w:val="center"/>
              <w:rPr>
                <w:sz w:val="16"/>
                <w:szCs w:val="16"/>
              </w:rPr>
            </w:pPr>
            <w:r>
              <w:rPr>
                <w:rStyle w:val="hps"/>
                <w:color w:val="333333"/>
                <w:sz w:val="16"/>
                <w:szCs w:val="16"/>
                <w:lang w:val="pt-PT"/>
              </w:rPr>
              <w:t>Dólar</w:t>
            </w:r>
          </w:p>
        </w:tc>
        <w:tc>
          <w:tcPr>
            <w:tcW w:w="851" w:type="dxa"/>
            <w:tcBorders>
              <w:top w:val="single" w:sz="4" w:space="0" w:color="auto"/>
            </w:tcBorders>
          </w:tcPr>
          <w:p w:rsidR="00E11341" w:rsidRDefault="00E11341" w:rsidP="00E11341">
            <w:pPr>
              <w:autoSpaceDE w:val="0"/>
              <w:autoSpaceDN w:val="0"/>
              <w:adjustRightInd w:val="0"/>
              <w:spacing w:line="360" w:lineRule="auto"/>
              <w:jc w:val="center"/>
              <w:rPr>
                <w:sz w:val="16"/>
                <w:szCs w:val="16"/>
              </w:rPr>
            </w:pPr>
            <w:r>
              <w:rPr>
                <w:sz w:val="16"/>
                <w:szCs w:val="16"/>
              </w:rPr>
              <w:t>IND2</w:t>
            </w:r>
          </w:p>
        </w:tc>
        <w:tc>
          <w:tcPr>
            <w:tcW w:w="1842" w:type="dxa"/>
            <w:tcBorders>
              <w:top w:val="single" w:sz="4" w:space="0" w:color="auto"/>
            </w:tcBorders>
          </w:tcPr>
          <w:p w:rsidR="00E11341" w:rsidRDefault="00E11341" w:rsidP="00E11341">
            <w:pPr>
              <w:autoSpaceDE w:val="0"/>
              <w:autoSpaceDN w:val="0"/>
              <w:adjustRightInd w:val="0"/>
              <w:spacing w:line="360" w:lineRule="auto"/>
              <w:jc w:val="center"/>
              <w:rPr>
                <w:sz w:val="16"/>
                <w:szCs w:val="16"/>
              </w:rPr>
            </w:pPr>
            <w:r>
              <w:rPr>
                <w:sz w:val="16"/>
                <w:szCs w:val="16"/>
              </w:rPr>
              <w:t>Teste Conjunto</w:t>
            </w:r>
          </w:p>
        </w:tc>
      </w:tr>
      <w:tr w:rsidR="00E11341" w:rsidRPr="00884BFC" w:rsidTr="00E11341">
        <w:tc>
          <w:tcPr>
            <w:tcW w:w="999" w:type="dxa"/>
            <w:tcBorders>
              <w:bottom w:val="nil"/>
            </w:tcBorders>
          </w:tcPr>
          <w:p w:rsidR="00E11341" w:rsidRPr="00D31CE5" w:rsidRDefault="00E11341" w:rsidP="00E11341">
            <w:pPr>
              <w:autoSpaceDE w:val="0"/>
              <w:autoSpaceDN w:val="0"/>
              <w:adjustRightInd w:val="0"/>
              <w:spacing w:line="360" w:lineRule="auto"/>
              <w:rPr>
                <w:rStyle w:val="hps"/>
                <w:color w:val="333333"/>
                <w:sz w:val="16"/>
                <w:szCs w:val="16"/>
                <w:lang w:val="pt-PT"/>
              </w:rPr>
            </w:pPr>
            <w:r>
              <w:rPr>
                <w:rStyle w:val="hps"/>
                <w:color w:val="333333"/>
                <w:sz w:val="16"/>
                <w:szCs w:val="16"/>
                <w:lang w:val="pt-PT"/>
              </w:rPr>
              <w:t>IBOVESPA</w:t>
            </w:r>
          </w:p>
        </w:tc>
        <w:tc>
          <w:tcPr>
            <w:tcW w:w="1236" w:type="dxa"/>
            <w:tcBorders>
              <w:bottom w:val="nil"/>
            </w:tcBorders>
          </w:tcPr>
          <w:p w:rsidR="00E11341" w:rsidRPr="00EB340A" w:rsidRDefault="00E11341" w:rsidP="00E11341">
            <w:pPr>
              <w:autoSpaceDE w:val="0"/>
              <w:autoSpaceDN w:val="0"/>
              <w:adjustRightInd w:val="0"/>
              <w:spacing w:line="360" w:lineRule="auto"/>
              <w:jc w:val="center"/>
              <w:rPr>
                <w:sz w:val="16"/>
                <w:szCs w:val="16"/>
                <w:lang w:val="en-US"/>
              </w:rPr>
            </w:pPr>
            <w:r w:rsidRPr="00EB340A">
              <w:rPr>
                <w:sz w:val="16"/>
                <w:szCs w:val="16"/>
                <w:lang w:val="en-US"/>
              </w:rPr>
              <w:t>-</w:t>
            </w:r>
          </w:p>
        </w:tc>
        <w:tc>
          <w:tcPr>
            <w:tcW w:w="850" w:type="dxa"/>
            <w:tcBorders>
              <w:bottom w:val="nil"/>
            </w:tcBorders>
          </w:tcPr>
          <w:p w:rsidR="00E11341" w:rsidRPr="00EB340A" w:rsidRDefault="00E11341" w:rsidP="00E11341">
            <w:pPr>
              <w:autoSpaceDE w:val="0"/>
              <w:autoSpaceDN w:val="0"/>
              <w:adjustRightInd w:val="0"/>
              <w:spacing w:line="360" w:lineRule="auto"/>
              <w:jc w:val="center"/>
              <w:rPr>
                <w:sz w:val="16"/>
                <w:szCs w:val="16"/>
              </w:rPr>
            </w:pPr>
            <w:r w:rsidRPr="00E11341">
              <w:rPr>
                <w:rFonts w:eastAsia="Calibri"/>
                <w:sz w:val="16"/>
                <w:szCs w:val="16"/>
              </w:rPr>
              <w:t>0,733</w:t>
            </w:r>
          </w:p>
        </w:tc>
        <w:tc>
          <w:tcPr>
            <w:tcW w:w="851" w:type="dxa"/>
            <w:tcBorders>
              <w:bottom w:val="nil"/>
            </w:tcBorders>
          </w:tcPr>
          <w:p w:rsidR="00E11341" w:rsidRPr="00EB340A" w:rsidRDefault="00E11341" w:rsidP="00E11341">
            <w:pPr>
              <w:autoSpaceDE w:val="0"/>
              <w:autoSpaceDN w:val="0"/>
              <w:adjustRightInd w:val="0"/>
              <w:spacing w:line="360" w:lineRule="auto"/>
              <w:jc w:val="center"/>
              <w:rPr>
                <w:rFonts w:eastAsia="Calibri"/>
                <w:sz w:val="16"/>
                <w:szCs w:val="16"/>
              </w:rPr>
            </w:pPr>
            <w:r w:rsidRPr="00E11341">
              <w:rPr>
                <w:rFonts w:eastAsia="Calibri"/>
                <w:sz w:val="16"/>
                <w:szCs w:val="16"/>
              </w:rPr>
              <w:t>0,603</w:t>
            </w:r>
          </w:p>
        </w:tc>
        <w:tc>
          <w:tcPr>
            <w:tcW w:w="1842" w:type="dxa"/>
            <w:tcBorders>
              <w:bottom w:val="nil"/>
            </w:tcBorders>
          </w:tcPr>
          <w:p w:rsidR="00E11341" w:rsidRPr="00EB340A" w:rsidRDefault="00E11341" w:rsidP="00E11341">
            <w:pPr>
              <w:autoSpaceDE w:val="0"/>
              <w:autoSpaceDN w:val="0"/>
              <w:adjustRightInd w:val="0"/>
              <w:spacing w:line="360" w:lineRule="auto"/>
              <w:jc w:val="center"/>
              <w:rPr>
                <w:sz w:val="16"/>
                <w:szCs w:val="16"/>
              </w:rPr>
            </w:pPr>
            <w:r w:rsidRPr="00E11341">
              <w:rPr>
                <w:rFonts w:eastAsia="Calibri"/>
                <w:sz w:val="16"/>
                <w:szCs w:val="16"/>
              </w:rPr>
              <w:t>0,836</w:t>
            </w:r>
          </w:p>
        </w:tc>
      </w:tr>
      <w:tr w:rsidR="00E11341" w:rsidRPr="00884BFC" w:rsidTr="00E11341">
        <w:tc>
          <w:tcPr>
            <w:tcW w:w="999" w:type="dxa"/>
            <w:tcBorders>
              <w:top w:val="nil"/>
              <w:bottom w:val="nil"/>
            </w:tcBorders>
          </w:tcPr>
          <w:p w:rsidR="00E11341" w:rsidRDefault="00E11341" w:rsidP="00E11341">
            <w:pPr>
              <w:autoSpaceDE w:val="0"/>
              <w:autoSpaceDN w:val="0"/>
              <w:adjustRightInd w:val="0"/>
              <w:spacing w:line="360" w:lineRule="auto"/>
              <w:rPr>
                <w:rStyle w:val="hps"/>
                <w:color w:val="333333"/>
                <w:sz w:val="16"/>
                <w:szCs w:val="16"/>
                <w:lang w:val="pt-PT"/>
              </w:rPr>
            </w:pPr>
            <w:r>
              <w:rPr>
                <w:rStyle w:val="hps"/>
                <w:color w:val="333333"/>
                <w:sz w:val="16"/>
                <w:szCs w:val="16"/>
                <w:lang w:val="pt-PT"/>
              </w:rPr>
              <w:t>Dólar</w:t>
            </w:r>
          </w:p>
        </w:tc>
        <w:tc>
          <w:tcPr>
            <w:tcW w:w="1236" w:type="dxa"/>
            <w:tcBorders>
              <w:top w:val="nil"/>
              <w:bottom w:val="nil"/>
            </w:tcBorders>
          </w:tcPr>
          <w:p w:rsidR="00E11341" w:rsidRPr="00EB340A" w:rsidRDefault="00E11341" w:rsidP="00E11341">
            <w:pPr>
              <w:autoSpaceDE w:val="0"/>
              <w:autoSpaceDN w:val="0"/>
              <w:adjustRightInd w:val="0"/>
              <w:spacing w:line="360" w:lineRule="auto"/>
              <w:jc w:val="center"/>
              <w:rPr>
                <w:rFonts w:eastAsia="Calibri"/>
                <w:sz w:val="16"/>
                <w:szCs w:val="16"/>
              </w:rPr>
            </w:pPr>
            <w:r w:rsidRPr="00E11341">
              <w:rPr>
                <w:rFonts w:eastAsia="Calibri"/>
                <w:sz w:val="16"/>
                <w:szCs w:val="16"/>
              </w:rPr>
              <w:t>0,048</w:t>
            </w:r>
          </w:p>
        </w:tc>
        <w:tc>
          <w:tcPr>
            <w:tcW w:w="850" w:type="dxa"/>
            <w:tcBorders>
              <w:top w:val="nil"/>
              <w:bottom w:val="nil"/>
            </w:tcBorders>
          </w:tcPr>
          <w:p w:rsidR="00E11341" w:rsidRPr="00EB340A" w:rsidRDefault="00E11341" w:rsidP="00E11341">
            <w:pPr>
              <w:autoSpaceDE w:val="0"/>
              <w:autoSpaceDN w:val="0"/>
              <w:adjustRightInd w:val="0"/>
              <w:spacing w:line="360" w:lineRule="auto"/>
              <w:jc w:val="center"/>
              <w:rPr>
                <w:sz w:val="16"/>
                <w:szCs w:val="16"/>
                <w:lang w:val="en-US"/>
              </w:rPr>
            </w:pPr>
            <w:r w:rsidRPr="00EB340A">
              <w:rPr>
                <w:sz w:val="16"/>
                <w:szCs w:val="16"/>
                <w:lang w:val="en-US"/>
              </w:rPr>
              <w:t>-</w:t>
            </w:r>
          </w:p>
        </w:tc>
        <w:tc>
          <w:tcPr>
            <w:tcW w:w="851" w:type="dxa"/>
            <w:tcBorders>
              <w:top w:val="nil"/>
              <w:bottom w:val="nil"/>
            </w:tcBorders>
          </w:tcPr>
          <w:p w:rsidR="00E11341" w:rsidRPr="00EB340A" w:rsidRDefault="00E11341" w:rsidP="00E11341">
            <w:pPr>
              <w:autoSpaceDE w:val="0"/>
              <w:autoSpaceDN w:val="0"/>
              <w:adjustRightInd w:val="0"/>
              <w:spacing w:line="360" w:lineRule="auto"/>
              <w:jc w:val="center"/>
              <w:rPr>
                <w:rFonts w:eastAsia="Calibri"/>
                <w:sz w:val="16"/>
                <w:szCs w:val="16"/>
              </w:rPr>
            </w:pPr>
            <w:r w:rsidRPr="00E11341">
              <w:rPr>
                <w:rFonts w:eastAsia="Calibri"/>
                <w:sz w:val="16"/>
                <w:szCs w:val="16"/>
              </w:rPr>
              <w:t>0,02</w:t>
            </w:r>
            <w:r>
              <w:rPr>
                <w:rFonts w:eastAsia="Calibri"/>
                <w:sz w:val="16"/>
                <w:szCs w:val="16"/>
              </w:rPr>
              <w:t>7</w:t>
            </w:r>
          </w:p>
        </w:tc>
        <w:tc>
          <w:tcPr>
            <w:tcW w:w="1842" w:type="dxa"/>
            <w:tcBorders>
              <w:top w:val="nil"/>
              <w:bottom w:val="nil"/>
            </w:tcBorders>
          </w:tcPr>
          <w:p w:rsidR="00E11341" w:rsidRPr="00EB340A" w:rsidRDefault="00E11341" w:rsidP="00E11341">
            <w:pPr>
              <w:autoSpaceDE w:val="0"/>
              <w:autoSpaceDN w:val="0"/>
              <w:adjustRightInd w:val="0"/>
              <w:spacing w:line="360" w:lineRule="auto"/>
              <w:jc w:val="center"/>
              <w:rPr>
                <w:rFonts w:eastAsia="Calibri"/>
                <w:sz w:val="16"/>
                <w:szCs w:val="16"/>
              </w:rPr>
            </w:pPr>
            <w:r w:rsidRPr="00E11341">
              <w:rPr>
                <w:rFonts w:eastAsia="Calibri"/>
                <w:sz w:val="16"/>
                <w:szCs w:val="16"/>
              </w:rPr>
              <w:t>0,013</w:t>
            </w:r>
          </w:p>
        </w:tc>
      </w:tr>
      <w:tr w:rsidR="00E11341" w:rsidRPr="00884BFC" w:rsidTr="00E11341">
        <w:tc>
          <w:tcPr>
            <w:tcW w:w="999" w:type="dxa"/>
            <w:tcBorders>
              <w:top w:val="nil"/>
              <w:bottom w:val="single" w:sz="4" w:space="0" w:color="auto"/>
            </w:tcBorders>
          </w:tcPr>
          <w:p w:rsidR="00E11341" w:rsidRPr="00D31CE5" w:rsidRDefault="00E11341" w:rsidP="00E11341">
            <w:pPr>
              <w:autoSpaceDE w:val="0"/>
              <w:autoSpaceDN w:val="0"/>
              <w:adjustRightInd w:val="0"/>
              <w:spacing w:line="360" w:lineRule="auto"/>
              <w:rPr>
                <w:rStyle w:val="hps"/>
                <w:color w:val="333333"/>
                <w:sz w:val="16"/>
                <w:szCs w:val="16"/>
                <w:lang w:val="pt-PT"/>
              </w:rPr>
            </w:pPr>
            <w:r>
              <w:rPr>
                <w:rStyle w:val="hps"/>
                <w:color w:val="333333"/>
                <w:sz w:val="16"/>
                <w:szCs w:val="16"/>
                <w:lang w:val="pt-PT"/>
              </w:rPr>
              <w:t>IND2</w:t>
            </w:r>
          </w:p>
        </w:tc>
        <w:tc>
          <w:tcPr>
            <w:tcW w:w="1236" w:type="dxa"/>
            <w:tcBorders>
              <w:top w:val="nil"/>
              <w:bottom w:val="single" w:sz="4" w:space="0" w:color="auto"/>
            </w:tcBorders>
          </w:tcPr>
          <w:p w:rsidR="00E11341" w:rsidRPr="00EB340A" w:rsidRDefault="00E11341" w:rsidP="00E11341">
            <w:pPr>
              <w:autoSpaceDE w:val="0"/>
              <w:autoSpaceDN w:val="0"/>
              <w:adjustRightInd w:val="0"/>
              <w:spacing w:line="360" w:lineRule="auto"/>
              <w:jc w:val="center"/>
              <w:rPr>
                <w:rStyle w:val="hps"/>
                <w:color w:val="333333"/>
                <w:sz w:val="16"/>
                <w:szCs w:val="16"/>
              </w:rPr>
            </w:pPr>
            <w:r w:rsidRPr="00E11341">
              <w:rPr>
                <w:rFonts w:eastAsia="Calibri"/>
                <w:sz w:val="16"/>
                <w:szCs w:val="16"/>
              </w:rPr>
              <w:t>0,000</w:t>
            </w:r>
          </w:p>
        </w:tc>
        <w:tc>
          <w:tcPr>
            <w:tcW w:w="850" w:type="dxa"/>
            <w:tcBorders>
              <w:top w:val="nil"/>
              <w:bottom w:val="single" w:sz="4" w:space="0" w:color="auto"/>
            </w:tcBorders>
          </w:tcPr>
          <w:p w:rsidR="00E11341" w:rsidRPr="00EB340A" w:rsidRDefault="00E11341" w:rsidP="00E11341">
            <w:pPr>
              <w:autoSpaceDE w:val="0"/>
              <w:autoSpaceDN w:val="0"/>
              <w:adjustRightInd w:val="0"/>
              <w:spacing w:line="360" w:lineRule="auto"/>
              <w:jc w:val="center"/>
              <w:rPr>
                <w:sz w:val="16"/>
                <w:szCs w:val="16"/>
                <w:lang w:val="en-US"/>
              </w:rPr>
            </w:pPr>
            <w:r w:rsidRPr="00E11341">
              <w:rPr>
                <w:sz w:val="16"/>
                <w:szCs w:val="16"/>
                <w:lang w:val="en-US"/>
              </w:rPr>
              <w:t>0,256</w:t>
            </w:r>
          </w:p>
        </w:tc>
        <w:tc>
          <w:tcPr>
            <w:tcW w:w="851" w:type="dxa"/>
            <w:tcBorders>
              <w:top w:val="nil"/>
              <w:bottom w:val="single" w:sz="4" w:space="0" w:color="auto"/>
            </w:tcBorders>
          </w:tcPr>
          <w:p w:rsidR="00E11341" w:rsidRPr="00EB340A" w:rsidRDefault="00E11341" w:rsidP="00E11341">
            <w:pPr>
              <w:autoSpaceDE w:val="0"/>
              <w:autoSpaceDN w:val="0"/>
              <w:adjustRightInd w:val="0"/>
              <w:spacing w:line="360" w:lineRule="auto"/>
              <w:jc w:val="center"/>
              <w:rPr>
                <w:rFonts w:eastAsia="Calibri"/>
                <w:sz w:val="16"/>
                <w:szCs w:val="16"/>
              </w:rPr>
            </w:pPr>
            <w:r w:rsidRPr="00EB340A">
              <w:rPr>
                <w:sz w:val="16"/>
                <w:szCs w:val="16"/>
                <w:lang w:val="en-US"/>
              </w:rPr>
              <w:t>-</w:t>
            </w:r>
          </w:p>
        </w:tc>
        <w:tc>
          <w:tcPr>
            <w:tcW w:w="1842" w:type="dxa"/>
            <w:tcBorders>
              <w:top w:val="nil"/>
              <w:bottom w:val="single" w:sz="4" w:space="0" w:color="auto"/>
            </w:tcBorders>
          </w:tcPr>
          <w:p w:rsidR="00E11341" w:rsidRPr="00EB340A" w:rsidRDefault="00E11341" w:rsidP="00E11341">
            <w:pPr>
              <w:autoSpaceDE w:val="0"/>
              <w:autoSpaceDN w:val="0"/>
              <w:adjustRightInd w:val="0"/>
              <w:spacing w:line="360" w:lineRule="auto"/>
              <w:jc w:val="center"/>
              <w:rPr>
                <w:sz w:val="16"/>
                <w:szCs w:val="16"/>
              </w:rPr>
            </w:pPr>
            <w:r w:rsidRPr="00E11341">
              <w:rPr>
                <w:rFonts w:eastAsia="Calibri"/>
                <w:sz w:val="16"/>
                <w:szCs w:val="16"/>
              </w:rPr>
              <w:t>0,004</w:t>
            </w:r>
          </w:p>
        </w:tc>
      </w:tr>
    </w:tbl>
    <w:p w:rsidR="00E11341" w:rsidRDefault="00E11341" w:rsidP="00E11341">
      <w:pPr>
        <w:autoSpaceDE w:val="0"/>
        <w:autoSpaceDN w:val="0"/>
        <w:adjustRightInd w:val="0"/>
        <w:spacing w:line="360" w:lineRule="auto"/>
        <w:rPr>
          <w:rStyle w:val="hps"/>
          <w:color w:val="333333"/>
          <w:sz w:val="16"/>
          <w:szCs w:val="16"/>
        </w:rPr>
      </w:pP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oMath>
      <w:r>
        <w:rPr>
          <w:rStyle w:val="hps"/>
          <w:color w:val="333333"/>
          <w:sz w:val="16"/>
          <w:szCs w:val="16"/>
        </w:rPr>
        <w:t xml:space="preserve">: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w:proofErr w:type="gramStart"/>
            <m:r>
              <w:rPr>
                <w:rStyle w:val="hps"/>
                <w:rFonts w:ascii="Cambria Math" w:hAnsi="Cambria Math"/>
                <w:color w:val="333333"/>
                <w:sz w:val="16"/>
                <w:szCs w:val="16"/>
              </w:rPr>
              <m:t>(</m:t>
            </m:r>
            <w:proofErr w:type="gramEnd"/>
            <m:r>
              <w:rPr>
                <w:rStyle w:val="hps"/>
                <w:rFonts w:ascii="Cambria Math" w:hAnsi="Cambria Math"/>
                <w:color w:val="333333"/>
                <w:sz w:val="16"/>
                <w:szCs w:val="16"/>
              </w:rPr>
              <m:t>i)</m:t>
            </m:r>
          </m:sub>
        </m:sSub>
      </m:oMath>
      <w:r>
        <w:rPr>
          <w:rStyle w:val="hps"/>
          <w:color w:val="333333"/>
          <w:sz w:val="16"/>
          <w:szCs w:val="16"/>
        </w:rPr>
        <w:t xml:space="preserve"> não Granger-causa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(j)</m:t>
            </m:r>
          </m:sub>
        </m:sSub>
      </m:oMath>
      <w:r>
        <w:rPr>
          <w:rStyle w:val="hps"/>
          <w:color w:val="333333"/>
          <w:sz w:val="16"/>
          <w:szCs w:val="16"/>
        </w:rPr>
        <w:t xml:space="preserve">, com </w:t>
      </w:r>
      <m:oMath>
        <m:r>
          <w:rPr>
            <w:rStyle w:val="hps"/>
            <w:rFonts w:ascii="Cambria Math" w:hAnsi="Cambria Math"/>
            <w:color w:val="333333"/>
            <w:sz w:val="16"/>
            <w:szCs w:val="16"/>
          </w:rPr>
          <m:t>i≠j</m:t>
        </m:r>
      </m:oMath>
      <w:r w:rsidRPr="009C392D">
        <w:rPr>
          <w:rStyle w:val="hps"/>
          <w:color w:val="333333"/>
          <w:sz w:val="16"/>
          <w:szCs w:val="16"/>
        </w:rPr>
        <w:t>.</w:t>
      </w:r>
    </w:p>
    <w:p w:rsidR="00E11341" w:rsidRDefault="00E11341" w:rsidP="00E11341">
      <w:pPr>
        <w:autoSpaceDE w:val="0"/>
        <w:autoSpaceDN w:val="0"/>
        <w:adjustRightInd w:val="0"/>
        <w:spacing w:line="360" w:lineRule="auto"/>
        <w:rPr>
          <w:rStyle w:val="hps"/>
          <w:color w:val="333333"/>
          <w:sz w:val="16"/>
          <w:szCs w:val="16"/>
        </w:rPr>
      </w:pPr>
      <w:r>
        <w:rPr>
          <w:rStyle w:val="hps"/>
          <w:color w:val="333333"/>
          <w:sz w:val="16"/>
          <w:szCs w:val="16"/>
        </w:rPr>
        <w:t xml:space="preserve">Teste Conjunto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r>
          <w:rPr>
            <w:rStyle w:val="hps"/>
            <w:rFonts w:ascii="Cambria Math" w:hAnsi="Cambria Math"/>
            <w:color w:val="333333"/>
            <w:sz w:val="16"/>
            <w:szCs w:val="16"/>
          </w:rPr>
          <m:t xml:space="preserve">: </m:t>
        </m:r>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w:proofErr w:type="gramStart"/>
            <m:r>
              <w:rPr>
                <w:rStyle w:val="hps"/>
                <w:rFonts w:ascii="Cambria Math" w:hAnsi="Cambria Math"/>
                <w:color w:val="333333"/>
                <w:sz w:val="16"/>
                <w:szCs w:val="16"/>
              </w:rPr>
              <m:t>(</m:t>
            </m:r>
            <w:proofErr w:type="gramEnd"/>
            <m:r>
              <w:rPr>
                <w:rStyle w:val="hps"/>
                <w:rFonts w:ascii="Cambria Math" w:hAnsi="Cambria Math"/>
                <w:color w:val="333333"/>
                <w:sz w:val="16"/>
                <w:szCs w:val="16"/>
              </w:rPr>
              <m:t>i)</m:t>
            </m:r>
          </m:sub>
        </m:sSub>
      </m:oMath>
      <w:r>
        <w:rPr>
          <w:rStyle w:val="hps"/>
          <w:color w:val="333333"/>
          <w:sz w:val="16"/>
          <w:szCs w:val="16"/>
        </w:rPr>
        <w:t xml:space="preserve"> não Granger-causa nenhum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(j)</m:t>
            </m:r>
          </m:sub>
        </m:sSub>
      </m:oMath>
      <w:r>
        <w:rPr>
          <w:rStyle w:val="hps"/>
          <w:color w:val="333333"/>
          <w:sz w:val="16"/>
          <w:szCs w:val="16"/>
        </w:rPr>
        <w:t xml:space="preserve">, com </w:t>
      </w:r>
      <m:oMath>
        <m:r>
          <w:rPr>
            <w:rStyle w:val="hps"/>
            <w:rFonts w:ascii="Cambria Math" w:hAnsi="Cambria Math"/>
            <w:color w:val="333333"/>
            <w:sz w:val="16"/>
            <w:szCs w:val="16"/>
          </w:rPr>
          <m:t>i≠j</m:t>
        </m:r>
      </m:oMath>
      <w:r w:rsidRPr="009C392D">
        <w:rPr>
          <w:rStyle w:val="hps"/>
          <w:color w:val="333333"/>
          <w:sz w:val="16"/>
          <w:szCs w:val="16"/>
        </w:rPr>
        <w:t>.</w:t>
      </w:r>
    </w:p>
    <w:p w:rsidR="00E11341" w:rsidRPr="00E56F36" w:rsidRDefault="00E11341" w:rsidP="00E11341">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C02BEF" w:rsidRDefault="00C02BEF" w:rsidP="00C02BEF">
      <w:pPr>
        <w:autoSpaceDE w:val="0"/>
        <w:autoSpaceDN w:val="0"/>
        <w:adjustRightInd w:val="0"/>
        <w:spacing w:line="360" w:lineRule="auto"/>
        <w:ind w:firstLine="708"/>
        <w:jc w:val="both"/>
      </w:pPr>
      <w:bookmarkStart w:id="0" w:name="_GoBack"/>
      <w:bookmarkEnd w:id="0"/>
      <w:r>
        <w:t xml:space="preserve">A exclusão do dólar na </w:t>
      </w:r>
      <w:proofErr w:type="gramStart"/>
      <w:r w:rsidRPr="003930DC">
        <w:rPr>
          <w:i/>
        </w:rPr>
        <w:t>proxy</w:t>
      </w:r>
      <w:proofErr w:type="gramEnd"/>
      <w:r>
        <w:t xml:space="preserve"> do IND2, não altera os resultados de transbordamento de volatilidade, ou seja, existe causalidade no sentido de Granger da volatilidade cambial para a volatilidade do Ibovespa.</w:t>
      </w:r>
    </w:p>
    <w:p w:rsidR="000716C1" w:rsidRPr="007F3736" w:rsidRDefault="000716C1" w:rsidP="000716C1">
      <w:pPr>
        <w:autoSpaceDE w:val="0"/>
        <w:autoSpaceDN w:val="0"/>
        <w:adjustRightInd w:val="0"/>
        <w:spacing w:line="360" w:lineRule="auto"/>
      </w:pPr>
      <w:r>
        <w:rPr>
          <w:b/>
        </w:rPr>
        <w:t>Tabela 7.</w:t>
      </w:r>
      <w:r w:rsidRPr="009E75FB">
        <w:t xml:space="preserve"> </w:t>
      </w:r>
      <w:r>
        <w:rPr>
          <w:b/>
        </w:rPr>
        <w:t xml:space="preserve">Teste de causalidade de Granger de segunda ordem – modelo </w:t>
      </w:r>
      <w:proofErr w:type="gramStart"/>
      <w:r>
        <w:rPr>
          <w:b/>
        </w:rPr>
        <w:t>3</w:t>
      </w:r>
      <w:proofErr w:type="gramEnd"/>
      <w:r w:rsidRPr="009E75FB">
        <w:rPr>
          <w:b/>
        </w:rPr>
        <w:t xml:space="preserve"> </w:t>
      </w:r>
    </w:p>
    <w:tbl>
      <w:tblPr>
        <w:tblStyle w:val="Tabelacomgrade"/>
        <w:tblW w:w="5495" w:type="dxa"/>
        <w:tblBorders>
          <w:top w:val="double" w:sz="4" w:space="0" w:color="auto"/>
          <w:left w:val="none" w:sz="0" w:space="0" w:color="auto"/>
          <w:bottom w:val="double" w:sz="4" w:space="0" w:color="auto"/>
          <w:right w:val="none" w:sz="0" w:space="0" w:color="auto"/>
        </w:tblBorders>
        <w:tblLook w:val="04A0"/>
      </w:tblPr>
      <w:tblGrid>
        <w:gridCol w:w="999"/>
        <w:gridCol w:w="1236"/>
        <w:gridCol w:w="850"/>
        <w:gridCol w:w="2410"/>
      </w:tblGrid>
      <w:tr w:rsidR="000716C1" w:rsidRPr="00884BFC" w:rsidTr="007A5B2A">
        <w:tc>
          <w:tcPr>
            <w:tcW w:w="999" w:type="dxa"/>
            <w:tcBorders>
              <w:top w:val="double" w:sz="4" w:space="0" w:color="auto"/>
              <w:bottom w:val="single" w:sz="4" w:space="0" w:color="auto"/>
              <w:right w:val="nil"/>
            </w:tcBorders>
          </w:tcPr>
          <w:p w:rsidR="000716C1" w:rsidRPr="00D31CE5" w:rsidRDefault="000716C1" w:rsidP="007A5B2A">
            <w:pPr>
              <w:autoSpaceDE w:val="0"/>
              <w:autoSpaceDN w:val="0"/>
              <w:adjustRightInd w:val="0"/>
              <w:spacing w:line="360" w:lineRule="auto"/>
              <w:jc w:val="center"/>
              <w:rPr>
                <w:sz w:val="16"/>
                <w:szCs w:val="16"/>
              </w:rPr>
            </w:pPr>
          </w:p>
        </w:tc>
        <w:tc>
          <w:tcPr>
            <w:tcW w:w="4496" w:type="dxa"/>
            <w:gridSpan w:val="3"/>
            <w:tcBorders>
              <w:top w:val="double" w:sz="4" w:space="0" w:color="auto"/>
              <w:left w:val="nil"/>
              <w:bottom w:val="single" w:sz="4" w:space="0" w:color="auto"/>
            </w:tcBorders>
          </w:tcPr>
          <w:p w:rsidR="000716C1" w:rsidRPr="00EB340A" w:rsidRDefault="000716C1" w:rsidP="007A5B2A">
            <w:pPr>
              <w:autoSpaceDE w:val="0"/>
              <w:autoSpaceDN w:val="0"/>
              <w:adjustRightInd w:val="0"/>
              <w:spacing w:line="360" w:lineRule="auto"/>
              <w:jc w:val="center"/>
              <w:rPr>
                <w:sz w:val="20"/>
                <w:szCs w:val="20"/>
              </w:rPr>
            </w:pPr>
            <w:r w:rsidRPr="00EB340A">
              <w:rPr>
                <w:sz w:val="20"/>
                <w:szCs w:val="20"/>
              </w:rPr>
              <w:t>Teste de CG de Segunda Ordem com 10 Defasagens</w:t>
            </w:r>
          </w:p>
        </w:tc>
      </w:tr>
      <w:tr w:rsidR="000716C1" w:rsidRPr="00884BFC" w:rsidTr="007A5B2A">
        <w:tc>
          <w:tcPr>
            <w:tcW w:w="999" w:type="dxa"/>
            <w:tcBorders>
              <w:top w:val="single" w:sz="4" w:space="0" w:color="auto"/>
            </w:tcBorders>
          </w:tcPr>
          <w:p w:rsidR="000716C1" w:rsidRPr="00D31CE5" w:rsidRDefault="000716C1" w:rsidP="007A5B2A">
            <w:pPr>
              <w:autoSpaceDE w:val="0"/>
              <w:autoSpaceDN w:val="0"/>
              <w:adjustRightInd w:val="0"/>
              <w:spacing w:line="360" w:lineRule="auto"/>
              <w:jc w:val="center"/>
              <w:rPr>
                <w:sz w:val="16"/>
                <w:szCs w:val="16"/>
              </w:rPr>
            </w:pPr>
          </w:p>
        </w:tc>
        <w:tc>
          <w:tcPr>
            <w:tcW w:w="1236" w:type="dxa"/>
            <w:tcBorders>
              <w:top w:val="single" w:sz="4" w:space="0" w:color="auto"/>
            </w:tcBorders>
          </w:tcPr>
          <w:p w:rsidR="000716C1" w:rsidRPr="00D31CE5" w:rsidRDefault="000716C1" w:rsidP="007A5B2A">
            <w:pPr>
              <w:autoSpaceDE w:val="0"/>
              <w:autoSpaceDN w:val="0"/>
              <w:adjustRightInd w:val="0"/>
              <w:spacing w:line="360" w:lineRule="auto"/>
              <w:jc w:val="center"/>
              <w:rPr>
                <w:sz w:val="16"/>
                <w:szCs w:val="16"/>
              </w:rPr>
            </w:pPr>
            <w:r>
              <w:rPr>
                <w:rStyle w:val="hps"/>
                <w:color w:val="333333"/>
                <w:sz w:val="16"/>
                <w:szCs w:val="16"/>
                <w:lang w:val="pt-PT"/>
              </w:rPr>
              <w:t>IBOVESPA</w:t>
            </w:r>
          </w:p>
        </w:tc>
        <w:tc>
          <w:tcPr>
            <w:tcW w:w="850" w:type="dxa"/>
            <w:tcBorders>
              <w:top w:val="single" w:sz="4" w:space="0" w:color="auto"/>
            </w:tcBorders>
          </w:tcPr>
          <w:p w:rsidR="000716C1" w:rsidRPr="00D31CE5" w:rsidRDefault="000716C1" w:rsidP="007A5B2A">
            <w:pPr>
              <w:autoSpaceDE w:val="0"/>
              <w:autoSpaceDN w:val="0"/>
              <w:adjustRightInd w:val="0"/>
              <w:spacing w:line="360" w:lineRule="auto"/>
              <w:jc w:val="center"/>
              <w:rPr>
                <w:sz w:val="16"/>
                <w:szCs w:val="16"/>
              </w:rPr>
            </w:pPr>
            <w:r>
              <w:rPr>
                <w:rStyle w:val="hps"/>
                <w:color w:val="333333"/>
                <w:sz w:val="16"/>
                <w:szCs w:val="16"/>
                <w:lang w:val="pt-PT"/>
              </w:rPr>
              <w:t>Dólar</w:t>
            </w:r>
          </w:p>
        </w:tc>
        <w:tc>
          <w:tcPr>
            <w:tcW w:w="2410" w:type="dxa"/>
            <w:tcBorders>
              <w:top w:val="single" w:sz="4" w:space="0" w:color="auto"/>
            </w:tcBorders>
          </w:tcPr>
          <w:p w:rsidR="000716C1" w:rsidRDefault="000716C1" w:rsidP="007A5B2A">
            <w:pPr>
              <w:autoSpaceDE w:val="0"/>
              <w:autoSpaceDN w:val="0"/>
              <w:adjustRightInd w:val="0"/>
              <w:spacing w:line="360" w:lineRule="auto"/>
              <w:jc w:val="center"/>
              <w:rPr>
                <w:sz w:val="16"/>
                <w:szCs w:val="16"/>
              </w:rPr>
            </w:pPr>
            <w:r>
              <w:rPr>
                <w:sz w:val="16"/>
                <w:szCs w:val="16"/>
              </w:rPr>
              <w:t>Teste Conjunto</w:t>
            </w:r>
          </w:p>
        </w:tc>
      </w:tr>
      <w:tr w:rsidR="000716C1" w:rsidRPr="00884BFC" w:rsidTr="007A5B2A">
        <w:tc>
          <w:tcPr>
            <w:tcW w:w="999" w:type="dxa"/>
            <w:tcBorders>
              <w:bottom w:val="nil"/>
            </w:tcBorders>
          </w:tcPr>
          <w:p w:rsidR="000716C1" w:rsidRPr="00D31CE5" w:rsidRDefault="000716C1" w:rsidP="007A5B2A">
            <w:pPr>
              <w:autoSpaceDE w:val="0"/>
              <w:autoSpaceDN w:val="0"/>
              <w:adjustRightInd w:val="0"/>
              <w:spacing w:line="360" w:lineRule="auto"/>
              <w:rPr>
                <w:rStyle w:val="hps"/>
                <w:color w:val="333333"/>
                <w:sz w:val="16"/>
                <w:szCs w:val="16"/>
                <w:lang w:val="pt-PT"/>
              </w:rPr>
            </w:pPr>
            <w:r>
              <w:rPr>
                <w:rStyle w:val="hps"/>
                <w:color w:val="333333"/>
                <w:sz w:val="16"/>
                <w:szCs w:val="16"/>
                <w:lang w:val="pt-PT"/>
              </w:rPr>
              <w:t>IBOVESPA</w:t>
            </w:r>
          </w:p>
        </w:tc>
        <w:tc>
          <w:tcPr>
            <w:tcW w:w="1236" w:type="dxa"/>
            <w:tcBorders>
              <w:bottom w:val="nil"/>
            </w:tcBorders>
          </w:tcPr>
          <w:p w:rsidR="000716C1" w:rsidRPr="00EB340A" w:rsidRDefault="000716C1" w:rsidP="007A5B2A">
            <w:pPr>
              <w:autoSpaceDE w:val="0"/>
              <w:autoSpaceDN w:val="0"/>
              <w:adjustRightInd w:val="0"/>
              <w:spacing w:line="360" w:lineRule="auto"/>
              <w:jc w:val="center"/>
              <w:rPr>
                <w:sz w:val="16"/>
                <w:szCs w:val="16"/>
                <w:lang w:val="en-US"/>
              </w:rPr>
            </w:pPr>
            <w:r w:rsidRPr="00EB340A">
              <w:rPr>
                <w:sz w:val="16"/>
                <w:szCs w:val="16"/>
                <w:lang w:val="en-US"/>
              </w:rPr>
              <w:t>-</w:t>
            </w:r>
          </w:p>
        </w:tc>
        <w:tc>
          <w:tcPr>
            <w:tcW w:w="850" w:type="dxa"/>
            <w:tcBorders>
              <w:bottom w:val="nil"/>
            </w:tcBorders>
          </w:tcPr>
          <w:p w:rsidR="000716C1" w:rsidRPr="00EB340A" w:rsidRDefault="000716C1" w:rsidP="007A5B2A">
            <w:pPr>
              <w:autoSpaceDE w:val="0"/>
              <w:autoSpaceDN w:val="0"/>
              <w:adjustRightInd w:val="0"/>
              <w:spacing w:line="360" w:lineRule="auto"/>
              <w:jc w:val="center"/>
              <w:rPr>
                <w:sz w:val="16"/>
                <w:szCs w:val="16"/>
              </w:rPr>
            </w:pPr>
            <w:r w:rsidRPr="000716C1">
              <w:rPr>
                <w:rFonts w:eastAsia="Calibri"/>
                <w:sz w:val="16"/>
                <w:szCs w:val="16"/>
              </w:rPr>
              <w:t>0,713</w:t>
            </w:r>
          </w:p>
        </w:tc>
        <w:tc>
          <w:tcPr>
            <w:tcW w:w="2410" w:type="dxa"/>
            <w:tcBorders>
              <w:bottom w:val="nil"/>
            </w:tcBorders>
          </w:tcPr>
          <w:p w:rsidR="000716C1" w:rsidRPr="00EB340A" w:rsidRDefault="000716C1" w:rsidP="007A5B2A">
            <w:pPr>
              <w:autoSpaceDE w:val="0"/>
              <w:autoSpaceDN w:val="0"/>
              <w:adjustRightInd w:val="0"/>
              <w:spacing w:line="360" w:lineRule="auto"/>
              <w:jc w:val="center"/>
              <w:rPr>
                <w:sz w:val="16"/>
                <w:szCs w:val="16"/>
              </w:rPr>
            </w:pPr>
            <w:r w:rsidRPr="000716C1">
              <w:rPr>
                <w:rFonts w:eastAsia="Calibri"/>
                <w:sz w:val="16"/>
                <w:szCs w:val="16"/>
              </w:rPr>
              <w:t>0,713</w:t>
            </w:r>
          </w:p>
        </w:tc>
      </w:tr>
      <w:tr w:rsidR="000716C1" w:rsidRPr="00884BFC" w:rsidTr="007A5B2A">
        <w:tc>
          <w:tcPr>
            <w:tcW w:w="999" w:type="dxa"/>
            <w:tcBorders>
              <w:top w:val="nil"/>
              <w:bottom w:val="single" w:sz="4" w:space="0" w:color="auto"/>
            </w:tcBorders>
          </w:tcPr>
          <w:p w:rsidR="000716C1" w:rsidRPr="00D31CE5" w:rsidRDefault="000716C1" w:rsidP="007A5B2A">
            <w:pPr>
              <w:autoSpaceDE w:val="0"/>
              <w:autoSpaceDN w:val="0"/>
              <w:adjustRightInd w:val="0"/>
              <w:spacing w:line="360" w:lineRule="auto"/>
              <w:rPr>
                <w:rStyle w:val="hps"/>
                <w:color w:val="333333"/>
                <w:sz w:val="16"/>
                <w:szCs w:val="16"/>
                <w:lang w:val="pt-PT"/>
              </w:rPr>
            </w:pPr>
            <w:r>
              <w:rPr>
                <w:rStyle w:val="hps"/>
                <w:color w:val="333333"/>
                <w:sz w:val="16"/>
                <w:szCs w:val="16"/>
                <w:lang w:val="pt-PT"/>
              </w:rPr>
              <w:t>Dólar</w:t>
            </w:r>
          </w:p>
        </w:tc>
        <w:tc>
          <w:tcPr>
            <w:tcW w:w="1236" w:type="dxa"/>
            <w:tcBorders>
              <w:top w:val="nil"/>
              <w:bottom w:val="single" w:sz="4" w:space="0" w:color="auto"/>
            </w:tcBorders>
          </w:tcPr>
          <w:p w:rsidR="000716C1" w:rsidRPr="00EB340A" w:rsidRDefault="000716C1" w:rsidP="007A5B2A">
            <w:pPr>
              <w:autoSpaceDE w:val="0"/>
              <w:autoSpaceDN w:val="0"/>
              <w:adjustRightInd w:val="0"/>
              <w:spacing w:line="360" w:lineRule="auto"/>
              <w:jc w:val="center"/>
              <w:rPr>
                <w:rStyle w:val="hps"/>
                <w:color w:val="333333"/>
                <w:sz w:val="16"/>
                <w:szCs w:val="16"/>
              </w:rPr>
            </w:pPr>
            <w:r w:rsidRPr="000716C1">
              <w:rPr>
                <w:rFonts w:eastAsia="Calibri"/>
                <w:sz w:val="16"/>
                <w:szCs w:val="16"/>
              </w:rPr>
              <w:t>0,042</w:t>
            </w:r>
          </w:p>
        </w:tc>
        <w:tc>
          <w:tcPr>
            <w:tcW w:w="850" w:type="dxa"/>
            <w:tcBorders>
              <w:top w:val="nil"/>
              <w:bottom w:val="single" w:sz="4" w:space="0" w:color="auto"/>
            </w:tcBorders>
          </w:tcPr>
          <w:p w:rsidR="000716C1" w:rsidRPr="00EB340A" w:rsidRDefault="000716C1" w:rsidP="007A5B2A">
            <w:pPr>
              <w:autoSpaceDE w:val="0"/>
              <w:autoSpaceDN w:val="0"/>
              <w:adjustRightInd w:val="0"/>
              <w:spacing w:line="360" w:lineRule="auto"/>
              <w:jc w:val="center"/>
              <w:rPr>
                <w:sz w:val="16"/>
                <w:szCs w:val="16"/>
                <w:lang w:val="en-US"/>
              </w:rPr>
            </w:pPr>
            <w:r w:rsidRPr="00EB340A">
              <w:rPr>
                <w:sz w:val="16"/>
                <w:szCs w:val="16"/>
                <w:lang w:val="en-US"/>
              </w:rPr>
              <w:t>-</w:t>
            </w:r>
          </w:p>
        </w:tc>
        <w:tc>
          <w:tcPr>
            <w:tcW w:w="2410" w:type="dxa"/>
            <w:tcBorders>
              <w:top w:val="nil"/>
              <w:bottom w:val="single" w:sz="4" w:space="0" w:color="auto"/>
            </w:tcBorders>
          </w:tcPr>
          <w:p w:rsidR="000716C1" w:rsidRPr="00EB340A" w:rsidRDefault="000716C1" w:rsidP="007A5B2A">
            <w:pPr>
              <w:autoSpaceDE w:val="0"/>
              <w:autoSpaceDN w:val="0"/>
              <w:adjustRightInd w:val="0"/>
              <w:spacing w:line="360" w:lineRule="auto"/>
              <w:jc w:val="center"/>
              <w:rPr>
                <w:sz w:val="16"/>
                <w:szCs w:val="16"/>
              </w:rPr>
            </w:pPr>
            <w:r w:rsidRPr="000716C1">
              <w:rPr>
                <w:rFonts w:eastAsia="Calibri"/>
                <w:sz w:val="16"/>
                <w:szCs w:val="16"/>
              </w:rPr>
              <w:t>0,042</w:t>
            </w:r>
          </w:p>
        </w:tc>
      </w:tr>
    </w:tbl>
    <w:p w:rsidR="000716C1" w:rsidRDefault="000716C1" w:rsidP="000716C1">
      <w:pPr>
        <w:autoSpaceDE w:val="0"/>
        <w:autoSpaceDN w:val="0"/>
        <w:adjustRightInd w:val="0"/>
        <w:spacing w:line="360" w:lineRule="auto"/>
        <w:rPr>
          <w:rStyle w:val="hps"/>
          <w:color w:val="333333"/>
          <w:sz w:val="16"/>
          <w:szCs w:val="16"/>
        </w:rPr>
      </w:pP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oMath>
      <w:r>
        <w:rPr>
          <w:rStyle w:val="hps"/>
          <w:color w:val="333333"/>
          <w:sz w:val="16"/>
          <w:szCs w:val="16"/>
        </w:rPr>
        <w:t xml:space="preserve">: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w:proofErr w:type="gramStart"/>
            <m:r>
              <w:rPr>
                <w:rStyle w:val="hps"/>
                <w:rFonts w:ascii="Cambria Math" w:hAnsi="Cambria Math"/>
                <w:color w:val="333333"/>
                <w:sz w:val="16"/>
                <w:szCs w:val="16"/>
              </w:rPr>
              <m:t>(</m:t>
            </m:r>
            <w:proofErr w:type="gramEnd"/>
            <m:r>
              <w:rPr>
                <w:rStyle w:val="hps"/>
                <w:rFonts w:ascii="Cambria Math" w:hAnsi="Cambria Math"/>
                <w:color w:val="333333"/>
                <w:sz w:val="16"/>
                <w:szCs w:val="16"/>
              </w:rPr>
              <m:t>i)</m:t>
            </m:r>
          </m:sub>
        </m:sSub>
      </m:oMath>
      <w:r>
        <w:rPr>
          <w:rStyle w:val="hps"/>
          <w:color w:val="333333"/>
          <w:sz w:val="16"/>
          <w:szCs w:val="16"/>
        </w:rPr>
        <w:t xml:space="preserve"> não Granger-causa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(j)</m:t>
            </m:r>
          </m:sub>
        </m:sSub>
      </m:oMath>
      <w:r>
        <w:rPr>
          <w:rStyle w:val="hps"/>
          <w:color w:val="333333"/>
          <w:sz w:val="16"/>
          <w:szCs w:val="16"/>
        </w:rPr>
        <w:t xml:space="preserve">, com </w:t>
      </w:r>
      <m:oMath>
        <m:r>
          <w:rPr>
            <w:rStyle w:val="hps"/>
            <w:rFonts w:ascii="Cambria Math" w:hAnsi="Cambria Math"/>
            <w:color w:val="333333"/>
            <w:sz w:val="16"/>
            <w:szCs w:val="16"/>
          </w:rPr>
          <m:t>i≠j</m:t>
        </m:r>
      </m:oMath>
      <w:r w:rsidRPr="009C392D">
        <w:rPr>
          <w:rStyle w:val="hps"/>
          <w:color w:val="333333"/>
          <w:sz w:val="16"/>
          <w:szCs w:val="16"/>
        </w:rPr>
        <w:t>.</w:t>
      </w:r>
    </w:p>
    <w:p w:rsidR="000716C1" w:rsidRDefault="000716C1" w:rsidP="000716C1">
      <w:pPr>
        <w:autoSpaceDE w:val="0"/>
        <w:autoSpaceDN w:val="0"/>
        <w:adjustRightInd w:val="0"/>
        <w:spacing w:line="360" w:lineRule="auto"/>
        <w:rPr>
          <w:rStyle w:val="hps"/>
          <w:color w:val="333333"/>
          <w:sz w:val="16"/>
          <w:szCs w:val="16"/>
        </w:rPr>
      </w:pPr>
      <w:r>
        <w:rPr>
          <w:rStyle w:val="hps"/>
          <w:color w:val="333333"/>
          <w:sz w:val="16"/>
          <w:szCs w:val="16"/>
        </w:rPr>
        <w:t xml:space="preserve">Teste Conjunto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r>
          <w:rPr>
            <w:rStyle w:val="hps"/>
            <w:rFonts w:ascii="Cambria Math" w:hAnsi="Cambria Math"/>
            <w:color w:val="333333"/>
            <w:sz w:val="16"/>
            <w:szCs w:val="16"/>
          </w:rPr>
          <m:t xml:space="preserve">: </m:t>
        </m:r>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w:proofErr w:type="gramStart"/>
            <m:r>
              <w:rPr>
                <w:rStyle w:val="hps"/>
                <w:rFonts w:ascii="Cambria Math" w:hAnsi="Cambria Math"/>
                <w:color w:val="333333"/>
                <w:sz w:val="16"/>
                <w:szCs w:val="16"/>
              </w:rPr>
              <m:t>(</m:t>
            </m:r>
            <w:proofErr w:type="gramEnd"/>
            <m:r>
              <w:rPr>
                <w:rStyle w:val="hps"/>
                <w:rFonts w:ascii="Cambria Math" w:hAnsi="Cambria Math"/>
                <w:color w:val="333333"/>
                <w:sz w:val="16"/>
                <w:szCs w:val="16"/>
              </w:rPr>
              <m:t>i)</m:t>
            </m:r>
          </m:sub>
        </m:sSub>
      </m:oMath>
      <w:r>
        <w:rPr>
          <w:rStyle w:val="hps"/>
          <w:color w:val="333333"/>
          <w:sz w:val="16"/>
          <w:szCs w:val="16"/>
        </w:rPr>
        <w:t xml:space="preserve"> não Granger-c</w:t>
      </w:r>
      <w:proofErr w:type="spellStart"/>
      <w:r>
        <w:rPr>
          <w:rStyle w:val="hps"/>
          <w:color w:val="333333"/>
          <w:sz w:val="16"/>
          <w:szCs w:val="16"/>
        </w:rPr>
        <w:t>ausa</w:t>
      </w:r>
      <w:proofErr w:type="spellEnd"/>
      <w:r>
        <w:rPr>
          <w:rStyle w:val="hps"/>
          <w:color w:val="333333"/>
          <w:sz w:val="16"/>
          <w:szCs w:val="16"/>
        </w:rPr>
        <w:t xml:space="preserve"> nenhum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(j)</m:t>
            </m:r>
          </m:sub>
        </m:sSub>
      </m:oMath>
      <w:r>
        <w:rPr>
          <w:rStyle w:val="hps"/>
          <w:color w:val="333333"/>
          <w:sz w:val="16"/>
          <w:szCs w:val="16"/>
        </w:rPr>
        <w:t xml:space="preserve">, com </w:t>
      </w:r>
      <m:oMath>
        <m:r>
          <w:rPr>
            <w:rStyle w:val="hps"/>
            <w:rFonts w:ascii="Cambria Math" w:hAnsi="Cambria Math"/>
            <w:color w:val="333333"/>
            <w:sz w:val="16"/>
            <w:szCs w:val="16"/>
          </w:rPr>
          <m:t>i≠j</m:t>
        </m:r>
      </m:oMath>
      <w:r w:rsidRPr="009C392D">
        <w:rPr>
          <w:rStyle w:val="hps"/>
          <w:color w:val="333333"/>
          <w:sz w:val="16"/>
          <w:szCs w:val="16"/>
        </w:rPr>
        <w:t>.</w:t>
      </w:r>
    </w:p>
    <w:p w:rsidR="000716C1" w:rsidRPr="00E56F36" w:rsidRDefault="000716C1" w:rsidP="000716C1">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C02BEF" w:rsidRDefault="00C02BEF" w:rsidP="00C02BEF">
      <w:pPr>
        <w:autoSpaceDE w:val="0"/>
        <w:autoSpaceDN w:val="0"/>
        <w:adjustRightInd w:val="0"/>
        <w:spacing w:line="360" w:lineRule="auto"/>
        <w:ind w:firstLine="708"/>
        <w:jc w:val="both"/>
      </w:pPr>
      <w:r>
        <w:t xml:space="preserve">Quando consideramos o dólar como </w:t>
      </w:r>
      <w:proofErr w:type="spellStart"/>
      <w:proofErr w:type="gramStart"/>
      <w:r w:rsidR="003930DC" w:rsidRPr="003930DC">
        <w:rPr>
          <w:i/>
        </w:rPr>
        <w:t>proxy</w:t>
      </w:r>
      <w:proofErr w:type="spellEnd"/>
      <w:proofErr w:type="gramEnd"/>
      <w:r>
        <w:t xml:space="preserve"> para um choque cambial, os resultados se mantem, ou seja, existe evidência estatísticamente signicante de efeitos de spillover da volatilidade do dólar causando no sentido de Granger, a volatilidade do Ibovespa. Esses resultados atestam os efeitos de </w:t>
      </w:r>
      <w:r w:rsidRPr="00C02BEF">
        <w:rPr>
          <w:i/>
        </w:rPr>
        <w:t>lead-lag</w:t>
      </w:r>
      <w:r>
        <w:t xml:space="preserve"> para volatilidades do mercado cambial para o mercado de ações brasileiro, ou seja, existe uma precedência estatisticamente signicante da volatilidade do mercado cambial, como líder, seguido em defasagem pelo mercado acionário.</w:t>
      </w:r>
    </w:p>
    <w:p w:rsidR="001A5707" w:rsidRDefault="001A5707" w:rsidP="00C02BEF">
      <w:pPr>
        <w:autoSpaceDE w:val="0"/>
        <w:autoSpaceDN w:val="0"/>
        <w:adjustRightInd w:val="0"/>
        <w:spacing w:line="360" w:lineRule="auto"/>
        <w:ind w:firstLine="708"/>
        <w:jc w:val="both"/>
      </w:pPr>
    </w:p>
    <w:p w:rsidR="001A5707" w:rsidRPr="00FF3324" w:rsidRDefault="001A5707" w:rsidP="001A5707">
      <w:pPr>
        <w:pStyle w:val="PargrafodaLista"/>
        <w:numPr>
          <w:ilvl w:val="1"/>
          <w:numId w:val="45"/>
        </w:numPr>
        <w:autoSpaceDE w:val="0"/>
        <w:autoSpaceDN w:val="0"/>
        <w:adjustRightInd w:val="0"/>
        <w:rPr>
          <w:rFonts w:eastAsia="Calibri"/>
          <w:b/>
          <w:bCs/>
        </w:rPr>
      </w:pPr>
      <w:r w:rsidRPr="00FF3324">
        <w:rPr>
          <w:rFonts w:eastAsia="Calibri"/>
          <w:b/>
          <w:bCs/>
        </w:rPr>
        <w:t>Análises comparativas</w:t>
      </w:r>
    </w:p>
    <w:p w:rsidR="00D47BB0" w:rsidRPr="00FF3324" w:rsidRDefault="00D47BB0" w:rsidP="005325DA">
      <w:pPr>
        <w:autoSpaceDE w:val="0"/>
        <w:autoSpaceDN w:val="0"/>
        <w:adjustRightInd w:val="0"/>
        <w:spacing w:line="360" w:lineRule="auto"/>
        <w:ind w:firstLine="708"/>
        <w:jc w:val="both"/>
      </w:pPr>
    </w:p>
    <w:p w:rsidR="001A5707" w:rsidRDefault="001A5707" w:rsidP="001A5707">
      <w:pPr>
        <w:autoSpaceDE w:val="0"/>
        <w:autoSpaceDN w:val="0"/>
        <w:adjustRightInd w:val="0"/>
        <w:spacing w:line="360" w:lineRule="auto"/>
        <w:ind w:firstLine="708"/>
        <w:jc w:val="both"/>
      </w:pPr>
      <w:proofErr w:type="gramStart"/>
      <w:r>
        <w:t>Nesse se</w:t>
      </w:r>
      <w:r w:rsidR="007915CC">
        <w:t>ção</w:t>
      </w:r>
      <w:proofErr w:type="gramEnd"/>
      <w:r>
        <w:t>, com a evid</w:t>
      </w:r>
      <w:r w:rsidR="007915CC">
        <w:t>ê</w:t>
      </w:r>
      <w:r>
        <w:t>ncia de exist</w:t>
      </w:r>
      <w:r w:rsidR="007915CC">
        <w:t>ê</w:t>
      </w:r>
      <w:r>
        <w:t xml:space="preserve">ncia de efeitos de </w:t>
      </w:r>
      <w:proofErr w:type="spellStart"/>
      <w:r w:rsidRPr="007915CC">
        <w:rPr>
          <w:i/>
        </w:rPr>
        <w:t>spillovers</w:t>
      </w:r>
      <w:proofErr w:type="spellEnd"/>
      <w:r>
        <w:t xml:space="preserve"> observado, sempre ocorrendo do efeito </w:t>
      </w:r>
      <w:proofErr w:type="spellStart"/>
      <w:r w:rsidR="007915CC" w:rsidRPr="007915CC">
        <w:rPr>
          <w:i/>
        </w:rPr>
        <w:t>l</w:t>
      </w:r>
      <w:r w:rsidRPr="007915CC">
        <w:rPr>
          <w:i/>
        </w:rPr>
        <w:t>ead-</w:t>
      </w:r>
      <w:r w:rsidR="007915CC" w:rsidRPr="007915CC">
        <w:rPr>
          <w:i/>
        </w:rPr>
        <w:t>l</w:t>
      </w:r>
      <w:r w:rsidRPr="007915CC">
        <w:rPr>
          <w:i/>
        </w:rPr>
        <w:t>ag</w:t>
      </w:r>
      <w:proofErr w:type="spellEnd"/>
      <w:r>
        <w:t>, na dire</w:t>
      </w:r>
      <w:r w:rsidR="007915CC">
        <w:t>ção</w:t>
      </w:r>
      <w:r>
        <w:t xml:space="preserve"> dos choques cambiais para a volatilidade do Ibovespa, um conjunto de compara</w:t>
      </w:r>
      <w:r w:rsidR="007915CC">
        <w:t>ções</w:t>
      </w:r>
      <w:r>
        <w:t xml:space="preserve"> estat</w:t>
      </w:r>
      <w:r w:rsidR="007915CC">
        <w:t>ísticas</w:t>
      </w:r>
      <w:r>
        <w:t xml:space="preserve"> s</w:t>
      </w:r>
      <w:r w:rsidR="007915CC">
        <w:t>ã</w:t>
      </w:r>
      <w:r>
        <w:t>o implementadas com a</w:t>
      </w:r>
      <w:r w:rsidR="00FF3324">
        <w:t xml:space="preserve"> </w:t>
      </w:r>
      <w:r w:rsidR="007915CC">
        <w:t>fi</w:t>
      </w:r>
      <w:r>
        <w:t>nalidade de identi</w:t>
      </w:r>
      <w:r w:rsidR="007915CC">
        <w:t>fi</w:t>
      </w:r>
      <w:r>
        <w:t>car qual transbordamento</w:t>
      </w:r>
      <w:r w:rsidR="007915CC">
        <w:t xml:space="preserve"> </w:t>
      </w:r>
      <w:r>
        <w:t>cambial, ou seja, qual correla</w:t>
      </w:r>
      <w:r w:rsidR="007915CC">
        <w:t>ção</w:t>
      </w:r>
      <w:r>
        <w:t xml:space="preserve"> condicional estimada, </w:t>
      </w:r>
      <w:r w:rsidR="007915CC">
        <w:t>em termos de magnitude</w:t>
      </w:r>
      <w:r>
        <w:t xml:space="preserve"> </w:t>
      </w:r>
      <w:r w:rsidR="007915CC">
        <w:t>é</w:t>
      </w:r>
      <w:r>
        <w:t xml:space="preserve"> mais representa</w:t>
      </w:r>
      <w:r w:rsidR="007915CC">
        <w:t>tivo</w:t>
      </w:r>
      <w:r>
        <w:t>. Para tanto aplicamos testes de m</w:t>
      </w:r>
      <w:r w:rsidR="007915CC">
        <w:t>é</w:t>
      </w:r>
      <w:r>
        <w:t>dia</w:t>
      </w:r>
      <w:r w:rsidR="007915CC">
        <w:rPr>
          <w:rStyle w:val="Refdenotaderodap"/>
        </w:rPr>
        <w:footnoteReference w:id="8"/>
      </w:r>
      <w:r w:rsidR="00FF3324">
        <w:t xml:space="preserve"> </w:t>
      </w:r>
      <w:r>
        <w:t>para infer</w:t>
      </w:r>
      <w:r w:rsidR="007915CC">
        <w:t>ê</w:t>
      </w:r>
      <w:r>
        <w:t>ncia dessas compara</w:t>
      </w:r>
      <w:r w:rsidR="007915CC">
        <w:t>ções</w:t>
      </w:r>
      <w:r>
        <w:t>.</w:t>
      </w:r>
    </w:p>
    <w:p w:rsidR="00FF3324" w:rsidRDefault="00FF3324" w:rsidP="00FF3324">
      <w:pPr>
        <w:autoSpaceDE w:val="0"/>
        <w:autoSpaceDN w:val="0"/>
        <w:adjustRightInd w:val="0"/>
        <w:spacing w:line="360" w:lineRule="auto"/>
        <w:ind w:firstLine="708"/>
        <w:jc w:val="both"/>
      </w:pPr>
      <w:r>
        <w:lastRenderedPageBreak/>
        <w:t>Conforme o gr</w:t>
      </w:r>
      <w:r w:rsidR="007915CC">
        <w:t>áfi</w:t>
      </w:r>
      <w:r>
        <w:t>co apresentado a seguir (Figura 5), temos uma primeira indica</w:t>
      </w:r>
      <w:r w:rsidR="007915CC">
        <w:t>ção</w:t>
      </w:r>
      <w:r>
        <w:t xml:space="preserve"> gr</w:t>
      </w:r>
      <w:r w:rsidR="007915CC">
        <w:t>áfi</w:t>
      </w:r>
      <w:r>
        <w:t>ca de que a correla</w:t>
      </w:r>
      <w:r w:rsidR="007915CC">
        <w:t>ção</w:t>
      </w:r>
      <w:r>
        <w:t xml:space="preserve"> condicional estima</w:t>
      </w:r>
      <w:r w:rsidR="007915CC">
        <w:t xml:space="preserve">da </w:t>
      </w:r>
      <w:r>
        <w:t>de maior magnitude est</w:t>
      </w:r>
      <w:r w:rsidR="007915CC">
        <w:t>á</w:t>
      </w:r>
      <w:r>
        <w:t xml:space="preserve"> associada ao D</w:t>
      </w:r>
      <w:r w:rsidR="007915CC">
        <w:t>ó</w:t>
      </w:r>
      <w:r>
        <w:t xml:space="preserve">lar exclusivamente, a </w:t>
      </w:r>
      <w:proofErr w:type="spellStart"/>
      <w:proofErr w:type="gramStart"/>
      <w:r w:rsidRPr="003930DC">
        <w:rPr>
          <w:i/>
        </w:rPr>
        <w:t>proxy</w:t>
      </w:r>
      <w:proofErr w:type="spellEnd"/>
      <w:proofErr w:type="gramEnd"/>
      <w:r>
        <w:t xml:space="preserve"> IND1 de um choque cambial mais generalizado apresenta temporalmente, menor magnitude. A exclus</w:t>
      </w:r>
      <w:r w:rsidR="007915CC">
        <w:t>ã</w:t>
      </w:r>
      <w:r>
        <w:t>o do D</w:t>
      </w:r>
      <w:r w:rsidR="007915CC">
        <w:t>ó</w:t>
      </w:r>
      <w:r>
        <w:t>lar no IND2</w:t>
      </w:r>
      <w:r w:rsidR="003930DC">
        <w:t xml:space="preserve"> indica</w:t>
      </w:r>
      <w:r>
        <w:t xml:space="preserve"> uma correla</w:t>
      </w:r>
      <w:r w:rsidR="007915CC">
        <w:t>ção</w:t>
      </w:r>
      <w:r>
        <w:t xml:space="preserve"> condicional estimada ainda menor que a do choque IND1.</w:t>
      </w:r>
    </w:p>
    <w:p w:rsidR="000057D8" w:rsidRPr="00A23468" w:rsidRDefault="000057D8" w:rsidP="000057D8">
      <w:pPr>
        <w:autoSpaceDE w:val="0"/>
        <w:autoSpaceDN w:val="0"/>
        <w:adjustRightInd w:val="0"/>
        <w:spacing w:line="360" w:lineRule="auto"/>
        <w:rPr>
          <w:b/>
          <w:noProof/>
        </w:rPr>
      </w:pPr>
      <w:r w:rsidRPr="00A23468">
        <w:rPr>
          <w:b/>
          <w:noProof/>
        </w:rPr>
        <w:t xml:space="preserve">Figura </w:t>
      </w:r>
      <w:r>
        <w:rPr>
          <w:b/>
          <w:noProof/>
        </w:rPr>
        <w:t>5</w:t>
      </w:r>
      <w:r w:rsidRPr="00A23468">
        <w:rPr>
          <w:b/>
          <w:noProof/>
        </w:rPr>
        <w:t xml:space="preserve">. </w:t>
      </w:r>
      <w:r>
        <w:rPr>
          <w:b/>
          <w:noProof/>
        </w:rPr>
        <w:t>Correlações condicionais de choques cambiais</w:t>
      </w:r>
      <w:r w:rsidRPr="00A23468">
        <w:rPr>
          <w:b/>
          <w:noProof/>
        </w:rPr>
        <w:t>.</w:t>
      </w:r>
    </w:p>
    <w:p w:rsidR="000057D8" w:rsidRDefault="000057D8" w:rsidP="000057D8">
      <w:pPr>
        <w:autoSpaceDE w:val="0"/>
        <w:autoSpaceDN w:val="0"/>
        <w:adjustRightInd w:val="0"/>
        <w:spacing w:line="360" w:lineRule="auto"/>
        <w:ind w:firstLine="708"/>
        <w:jc w:val="both"/>
      </w:pPr>
      <w:r>
        <w:rPr>
          <w:noProof/>
        </w:rPr>
        <w:drawing>
          <wp:inline distT="0" distB="0" distL="0" distR="0">
            <wp:extent cx="6122670" cy="358584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122670" cy="3585845"/>
                    </a:xfrm>
                    <a:prstGeom prst="rect">
                      <a:avLst/>
                    </a:prstGeom>
                    <a:noFill/>
                    <a:ln w="9525">
                      <a:noFill/>
                      <a:miter lim="800000"/>
                      <a:headEnd/>
                      <a:tailEnd/>
                    </a:ln>
                  </pic:spPr>
                </pic:pic>
              </a:graphicData>
            </a:graphic>
          </wp:inline>
        </w:drawing>
      </w:r>
    </w:p>
    <w:p w:rsidR="000057D8" w:rsidRPr="00E56F36" w:rsidRDefault="000057D8" w:rsidP="000057D8">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0057D8" w:rsidRDefault="000057D8" w:rsidP="000057D8">
      <w:pPr>
        <w:autoSpaceDE w:val="0"/>
        <w:autoSpaceDN w:val="0"/>
        <w:adjustRightInd w:val="0"/>
        <w:spacing w:line="360" w:lineRule="auto"/>
        <w:ind w:firstLine="708"/>
        <w:jc w:val="both"/>
      </w:pPr>
    </w:p>
    <w:p w:rsidR="007915CC" w:rsidRDefault="00FF3324" w:rsidP="00FF3324">
      <w:pPr>
        <w:autoSpaceDE w:val="0"/>
        <w:autoSpaceDN w:val="0"/>
        <w:adjustRightInd w:val="0"/>
        <w:spacing w:line="360" w:lineRule="auto"/>
        <w:ind w:firstLine="708"/>
        <w:jc w:val="both"/>
      </w:pPr>
      <w:r>
        <w:t>Como o IND1 representa um conjunto de todos os c</w:t>
      </w:r>
      <w:r w:rsidR="007915CC">
        <w:t>â</w:t>
      </w:r>
      <w:r>
        <w:t>mbios considerados e IND2 exclui o d</w:t>
      </w:r>
      <w:r w:rsidR="007915CC">
        <w:t>ó</w:t>
      </w:r>
      <w:r>
        <w:t>lar, foi poss</w:t>
      </w:r>
      <w:r w:rsidR="007915CC">
        <w:t>í</w:t>
      </w:r>
      <w:r>
        <w:t>vel entender a import</w:t>
      </w:r>
      <w:r w:rsidR="007915CC">
        <w:t>â</w:t>
      </w:r>
      <w:r>
        <w:t>ncia do d</w:t>
      </w:r>
      <w:r w:rsidR="007915CC">
        <w:t>ó</w:t>
      </w:r>
      <w:r>
        <w:t>lar por meio desses dois controles. A evid</w:t>
      </w:r>
      <w:r w:rsidR="007915CC">
        <w:t>ê</w:t>
      </w:r>
      <w:r>
        <w:t>ncia gr</w:t>
      </w:r>
      <w:r w:rsidR="007915CC">
        <w:t>áfica é</w:t>
      </w:r>
      <w:r>
        <w:t xml:space="preserve"> corroborada pelos testes que indicam sempre uma maior correla</w:t>
      </w:r>
      <w:r w:rsidR="007915CC">
        <w:t>ção</w:t>
      </w:r>
      <w:r>
        <w:t xml:space="preserve"> condicional associada </w:t>
      </w:r>
    </w:p>
    <w:p w:rsidR="00FF3324" w:rsidRDefault="007915CC" w:rsidP="007915CC">
      <w:pPr>
        <w:autoSpaceDE w:val="0"/>
        <w:autoSpaceDN w:val="0"/>
        <w:adjustRightInd w:val="0"/>
        <w:spacing w:line="360" w:lineRule="auto"/>
        <w:jc w:val="both"/>
      </w:pPr>
      <w:proofErr w:type="gramStart"/>
      <w:r>
        <w:t>á</w:t>
      </w:r>
      <w:proofErr w:type="gramEnd"/>
      <w:r w:rsidR="00FF3324">
        <w:t xml:space="preserve"> presen</w:t>
      </w:r>
      <w:r>
        <w:t>ç</w:t>
      </w:r>
      <w:r w:rsidR="00FF3324">
        <w:t>a do d</w:t>
      </w:r>
      <w:r>
        <w:t>ó</w:t>
      </w:r>
      <w:r w:rsidR="00FF3324">
        <w:t>lar, sejam em conjunto com as demais taxas de cambio, seja isoladamente, com a maior correla</w:t>
      </w:r>
      <w:r>
        <w:t>ção</w:t>
      </w:r>
      <w:r w:rsidR="00FF3324">
        <w:t xml:space="preserve"> condicional negativa observada. Ou seja, quanto maior a volatilidade cambial menor volatilidade do mercado acion</w:t>
      </w:r>
      <w:r>
        <w:t>á</w:t>
      </w:r>
      <w:r w:rsidR="00FF3324">
        <w:t>rio brasileiro, esse resultado est</w:t>
      </w:r>
      <w:r>
        <w:t>á</w:t>
      </w:r>
      <w:r w:rsidR="00FF3324">
        <w:t xml:space="preserve"> em linha com os resultados encontrados por </w:t>
      </w:r>
      <w:proofErr w:type="spellStart"/>
      <w:r w:rsidR="00FF3324">
        <w:t>Gold-berg</w:t>
      </w:r>
      <w:proofErr w:type="spellEnd"/>
      <w:r w:rsidR="00FF3324">
        <w:t xml:space="preserve"> (1993), </w:t>
      </w:r>
      <w:proofErr w:type="spellStart"/>
      <w:r w:rsidR="00FF3324">
        <w:t>Darby</w:t>
      </w:r>
      <w:proofErr w:type="spellEnd"/>
      <w:r w:rsidR="00FF3324">
        <w:t xml:space="preserve"> </w:t>
      </w:r>
      <w:proofErr w:type="spellStart"/>
      <w:proofErr w:type="gramStart"/>
      <w:r w:rsidR="00FF3324">
        <w:t>et</w:t>
      </w:r>
      <w:proofErr w:type="spellEnd"/>
      <w:proofErr w:type="gramEnd"/>
      <w:r w:rsidR="00FF3324">
        <w:t xml:space="preserve"> al. (1999), </w:t>
      </w:r>
      <w:proofErr w:type="spellStart"/>
      <w:r w:rsidR="00FF3324">
        <w:t>Carruth</w:t>
      </w:r>
      <w:proofErr w:type="spellEnd"/>
      <w:r w:rsidR="00FF3324">
        <w:t xml:space="preserve">, </w:t>
      </w:r>
      <w:proofErr w:type="spellStart"/>
      <w:r w:rsidR="00FF3324">
        <w:t>Dickerson</w:t>
      </w:r>
      <w:proofErr w:type="spellEnd"/>
      <w:r w:rsidR="00FF3324">
        <w:t xml:space="preserve"> e Henley (2000), </w:t>
      </w:r>
      <w:proofErr w:type="spellStart"/>
      <w:r w:rsidR="00FF3324">
        <w:t>Amihud</w:t>
      </w:r>
      <w:proofErr w:type="spellEnd"/>
      <w:r w:rsidR="00FF3324">
        <w:t xml:space="preserve"> (1994) e </w:t>
      </w:r>
      <w:proofErr w:type="spellStart"/>
      <w:r w:rsidR="00FF3324">
        <w:t>Bartov</w:t>
      </w:r>
      <w:proofErr w:type="spellEnd"/>
      <w:r w:rsidR="00FF3324">
        <w:t xml:space="preserve"> e </w:t>
      </w:r>
      <w:proofErr w:type="spellStart"/>
      <w:r w:rsidR="00FF3324">
        <w:t>Bodnar</w:t>
      </w:r>
      <w:proofErr w:type="spellEnd"/>
      <w:r w:rsidR="00FF3324">
        <w:t xml:space="preserve"> (1994).</w:t>
      </w:r>
    </w:p>
    <w:p w:rsidR="000057D8" w:rsidRDefault="000057D8" w:rsidP="007915CC">
      <w:pPr>
        <w:autoSpaceDE w:val="0"/>
        <w:autoSpaceDN w:val="0"/>
        <w:adjustRightInd w:val="0"/>
        <w:spacing w:line="360" w:lineRule="auto"/>
        <w:jc w:val="both"/>
      </w:pPr>
    </w:p>
    <w:p w:rsidR="000057D8" w:rsidRDefault="000057D8" w:rsidP="007915CC">
      <w:pPr>
        <w:autoSpaceDE w:val="0"/>
        <w:autoSpaceDN w:val="0"/>
        <w:adjustRightInd w:val="0"/>
        <w:spacing w:line="360" w:lineRule="auto"/>
        <w:jc w:val="both"/>
      </w:pPr>
    </w:p>
    <w:p w:rsidR="000057D8" w:rsidRPr="007F3736" w:rsidRDefault="000057D8" w:rsidP="000057D8">
      <w:pPr>
        <w:autoSpaceDE w:val="0"/>
        <w:autoSpaceDN w:val="0"/>
        <w:adjustRightInd w:val="0"/>
        <w:spacing w:line="360" w:lineRule="auto"/>
      </w:pPr>
      <w:r>
        <w:rPr>
          <w:b/>
        </w:rPr>
        <w:lastRenderedPageBreak/>
        <w:t>Tabela 8.</w:t>
      </w:r>
      <w:r w:rsidRPr="009E75FB">
        <w:t xml:space="preserve"> </w:t>
      </w:r>
      <w:r>
        <w:rPr>
          <w:b/>
        </w:rPr>
        <w:t>Teste T para comparações</w:t>
      </w:r>
      <w:r w:rsidRPr="009E75FB">
        <w:rPr>
          <w:b/>
        </w:rPr>
        <w:t xml:space="preserve"> </w:t>
      </w:r>
    </w:p>
    <w:tbl>
      <w:tblPr>
        <w:tblStyle w:val="Tabelacomgrade"/>
        <w:tblW w:w="4644" w:type="dxa"/>
        <w:tblBorders>
          <w:top w:val="double" w:sz="4" w:space="0" w:color="auto"/>
          <w:left w:val="none" w:sz="0" w:space="0" w:color="auto"/>
          <w:bottom w:val="double" w:sz="4" w:space="0" w:color="auto"/>
          <w:right w:val="none" w:sz="0" w:space="0" w:color="auto"/>
        </w:tblBorders>
        <w:tblLayout w:type="fixed"/>
        <w:tblLook w:val="04A0"/>
      </w:tblPr>
      <w:tblGrid>
        <w:gridCol w:w="1809"/>
        <w:gridCol w:w="2835"/>
      </w:tblGrid>
      <w:tr w:rsidR="000057D8" w:rsidRPr="00884BFC" w:rsidTr="000057D8">
        <w:tc>
          <w:tcPr>
            <w:tcW w:w="1809" w:type="dxa"/>
            <w:tcBorders>
              <w:top w:val="single" w:sz="4" w:space="0" w:color="auto"/>
            </w:tcBorders>
          </w:tcPr>
          <w:p w:rsidR="000057D8" w:rsidRPr="00D31CE5" w:rsidRDefault="000057D8" w:rsidP="007A5B2A">
            <w:pPr>
              <w:autoSpaceDE w:val="0"/>
              <w:autoSpaceDN w:val="0"/>
              <w:adjustRightInd w:val="0"/>
              <w:spacing w:line="360" w:lineRule="auto"/>
              <w:jc w:val="center"/>
              <w:rPr>
                <w:sz w:val="16"/>
                <w:szCs w:val="16"/>
              </w:rPr>
            </w:pPr>
            <w:r>
              <w:rPr>
                <w:sz w:val="16"/>
                <w:szCs w:val="16"/>
              </w:rPr>
              <w:t>Resultado do Teste</w:t>
            </w:r>
          </w:p>
        </w:tc>
        <w:tc>
          <w:tcPr>
            <w:tcW w:w="2835" w:type="dxa"/>
            <w:tcBorders>
              <w:top w:val="single" w:sz="4" w:space="0" w:color="auto"/>
            </w:tcBorders>
          </w:tcPr>
          <w:p w:rsidR="000057D8" w:rsidRPr="00D31CE5" w:rsidRDefault="000057D8" w:rsidP="007A5B2A">
            <w:pPr>
              <w:autoSpaceDE w:val="0"/>
              <w:autoSpaceDN w:val="0"/>
              <w:adjustRightInd w:val="0"/>
              <w:spacing w:line="360" w:lineRule="auto"/>
              <w:jc w:val="center"/>
              <w:rPr>
                <w:sz w:val="16"/>
                <w:szCs w:val="16"/>
              </w:rPr>
            </w:pPr>
            <w:r>
              <w:rPr>
                <w:rStyle w:val="hps"/>
                <w:color w:val="333333"/>
                <w:sz w:val="16"/>
                <w:szCs w:val="16"/>
                <w:lang w:val="pt-PT"/>
              </w:rPr>
              <w:t>Correlações Condicionais</w:t>
            </w:r>
          </w:p>
        </w:tc>
      </w:tr>
      <w:tr w:rsidR="000057D8" w:rsidRPr="00884BFC" w:rsidTr="000057D8">
        <w:tc>
          <w:tcPr>
            <w:tcW w:w="1809" w:type="dxa"/>
            <w:tcBorders>
              <w:bottom w:val="nil"/>
            </w:tcBorders>
          </w:tcPr>
          <w:p w:rsidR="000057D8" w:rsidRPr="00D31CE5" w:rsidRDefault="000057D8" w:rsidP="000057D8">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1</w:t>
            </w:r>
          </w:p>
        </w:tc>
        <w:tc>
          <w:tcPr>
            <w:tcW w:w="2835" w:type="dxa"/>
            <w:tcBorders>
              <w:bottom w:val="nil"/>
            </w:tcBorders>
          </w:tcPr>
          <w:p w:rsidR="000057D8" w:rsidRPr="00EB340A" w:rsidRDefault="000057D8" w:rsidP="007A5B2A">
            <w:pPr>
              <w:autoSpaceDE w:val="0"/>
              <w:autoSpaceDN w:val="0"/>
              <w:adjustRightInd w:val="0"/>
              <w:spacing w:line="360" w:lineRule="auto"/>
              <w:jc w:val="center"/>
              <w:rPr>
                <w:sz w:val="16"/>
                <w:szCs w:val="16"/>
                <w:lang w:val="en-US"/>
              </w:rPr>
            </w:pPr>
            <w:proofErr w:type="spellStart"/>
            <w:r>
              <w:rPr>
                <w:sz w:val="16"/>
                <w:szCs w:val="16"/>
                <w:lang w:val="en-US"/>
              </w:rPr>
              <w:t>Ibovespa</w:t>
            </w:r>
            <w:proofErr w:type="spellEnd"/>
            <w:r>
              <w:rPr>
                <w:sz w:val="16"/>
                <w:szCs w:val="16"/>
                <w:lang w:val="en-US"/>
              </w:rPr>
              <w:t>, IND1 &gt; Ibovespa,IND2</w:t>
            </w:r>
          </w:p>
        </w:tc>
      </w:tr>
      <w:tr w:rsidR="000057D8" w:rsidRPr="00884BFC" w:rsidTr="000057D8">
        <w:tc>
          <w:tcPr>
            <w:tcW w:w="1809" w:type="dxa"/>
            <w:tcBorders>
              <w:top w:val="nil"/>
              <w:bottom w:val="nil"/>
            </w:tcBorders>
          </w:tcPr>
          <w:p w:rsidR="000057D8" w:rsidRDefault="000057D8" w:rsidP="000057D8">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0</w:t>
            </w:r>
          </w:p>
        </w:tc>
        <w:tc>
          <w:tcPr>
            <w:tcW w:w="2835" w:type="dxa"/>
            <w:tcBorders>
              <w:top w:val="nil"/>
              <w:bottom w:val="nil"/>
            </w:tcBorders>
          </w:tcPr>
          <w:p w:rsidR="000057D8" w:rsidRPr="000716C1" w:rsidRDefault="000057D8" w:rsidP="000057D8">
            <w:pPr>
              <w:autoSpaceDE w:val="0"/>
              <w:autoSpaceDN w:val="0"/>
              <w:adjustRightInd w:val="0"/>
              <w:spacing w:line="360" w:lineRule="auto"/>
              <w:jc w:val="center"/>
              <w:rPr>
                <w:rFonts w:eastAsia="Calibri"/>
                <w:sz w:val="16"/>
                <w:szCs w:val="16"/>
              </w:rPr>
            </w:pPr>
            <w:r>
              <w:rPr>
                <w:rFonts w:eastAsia="Calibri"/>
                <w:sz w:val="16"/>
                <w:szCs w:val="16"/>
              </w:rPr>
              <w:t>Ibovespa, IND1</w:t>
            </w:r>
            <m:oMath>
              <m:r>
                <w:rPr>
                  <w:rFonts w:ascii="Cambria Math" w:eastAsia="Calibri" w:hAnsi="Cambria Math"/>
                  <w:sz w:val="16"/>
                  <w:szCs w:val="16"/>
                </w:rPr>
                <m:t xml:space="preserve"> ≤ </m:t>
              </m:r>
            </m:oMath>
            <w:proofErr w:type="gramStart"/>
            <w:r>
              <w:rPr>
                <w:rFonts w:eastAsia="Calibri"/>
                <w:sz w:val="16"/>
                <w:szCs w:val="16"/>
              </w:rPr>
              <w:t>Ibovespa,</w:t>
            </w:r>
            <w:proofErr w:type="gramEnd"/>
            <w:r>
              <w:rPr>
                <w:rFonts w:eastAsia="Calibri"/>
                <w:sz w:val="16"/>
                <w:szCs w:val="16"/>
              </w:rPr>
              <w:t>Dólar</w:t>
            </w:r>
          </w:p>
        </w:tc>
      </w:tr>
      <w:tr w:rsidR="000057D8" w:rsidRPr="00884BFC" w:rsidTr="000057D8">
        <w:tc>
          <w:tcPr>
            <w:tcW w:w="1809" w:type="dxa"/>
            <w:tcBorders>
              <w:top w:val="nil"/>
              <w:bottom w:val="single" w:sz="4" w:space="0" w:color="auto"/>
            </w:tcBorders>
          </w:tcPr>
          <w:p w:rsidR="000057D8" w:rsidRPr="00D31CE5" w:rsidRDefault="000057D8" w:rsidP="000057D8">
            <w:pPr>
              <w:autoSpaceDE w:val="0"/>
              <w:autoSpaceDN w:val="0"/>
              <w:adjustRightInd w:val="0"/>
              <w:spacing w:line="360" w:lineRule="auto"/>
              <w:jc w:val="center"/>
              <w:rPr>
                <w:rStyle w:val="hps"/>
                <w:color w:val="333333"/>
                <w:sz w:val="16"/>
                <w:szCs w:val="16"/>
                <w:lang w:val="pt-PT"/>
              </w:rPr>
            </w:pPr>
            <w:r>
              <w:rPr>
                <w:rStyle w:val="hps"/>
                <w:color w:val="333333"/>
                <w:sz w:val="16"/>
                <w:szCs w:val="16"/>
                <w:lang w:val="pt-PT"/>
              </w:rPr>
              <w:t>0</w:t>
            </w:r>
          </w:p>
        </w:tc>
        <w:tc>
          <w:tcPr>
            <w:tcW w:w="2835" w:type="dxa"/>
            <w:tcBorders>
              <w:top w:val="nil"/>
              <w:bottom w:val="single" w:sz="4" w:space="0" w:color="auto"/>
            </w:tcBorders>
          </w:tcPr>
          <w:p w:rsidR="000057D8" w:rsidRPr="00EB340A" w:rsidRDefault="000057D8" w:rsidP="007A5B2A">
            <w:pPr>
              <w:autoSpaceDE w:val="0"/>
              <w:autoSpaceDN w:val="0"/>
              <w:adjustRightInd w:val="0"/>
              <w:spacing w:line="360" w:lineRule="auto"/>
              <w:jc w:val="center"/>
              <w:rPr>
                <w:rStyle w:val="hps"/>
                <w:color w:val="333333"/>
                <w:sz w:val="16"/>
                <w:szCs w:val="16"/>
              </w:rPr>
            </w:pPr>
            <w:proofErr w:type="gramStart"/>
            <w:r>
              <w:rPr>
                <w:rStyle w:val="hps"/>
                <w:color w:val="333333"/>
                <w:sz w:val="16"/>
                <w:szCs w:val="16"/>
              </w:rPr>
              <w:t>Ibovespa,</w:t>
            </w:r>
            <w:proofErr w:type="gramEnd"/>
            <w:r>
              <w:rPr>
                <w:rStyle w:val="hps"/>
                <w:color w:val="333333"/>
                <w:sz w:val="16"/>
                <w:szCs w:val="16"/>
              </w:rPr>
              <w:t xml:space="preserve">IND2 </w:t>
            </w:r>
            <m:oMath>
              <m:r>
                <w:rPr>
                  <w:rFonts w:ascii="Cambria Math" w:eastAsia="Calibri" w:hAnsi="Cambria Math"/>
                  <w:sz w:val="16"/>
                  <w:szCs w:val="16"/>
                </w:rPr>
                <m:t>≤</m:t>
              </m:r>
            </m:oMath>
            <w:r>
              <w:rPr>
                <w:sz w:val="16"/>
                <w:szCs w:val="16"/>
              </w:rPr>
              <w:t xml:space="preserve"> Ibovespa, Dólar</w:t>
            </w:r>
          </w:p>
        </w:tc>
      </w:tr>
    </w:tbl>
    <w:p w:rsidR="000057D8" w:rsidRDefault="000057D8" w:rsidP="000057D8">
      <w:pPr>
        <w:autoSpaceDE w:val="0"/>
        <w:autoSpaceDN w:val="0"/>
        <w:adjustRightInd w:val="0"/>
        <w:spacing w:line="360" w:lineRule="auto"/>
        <w:rPr>
          <w:rStyle w:val="hps"/>
          <w:color w:val="333333"/>
          <w:sz w:val="16"/>
          <w:szCs w:val="16"/>
        </w:rPr>
      </w:pP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oMath>
      <w:r>
        <w:rPr>
          <w:rStyle w:val="hps"/>
          <w:color w:val="333333"/>
          <w:sz w:val="16"/>
          <w:szCs w:val="16"/>
        </w:rPr>
        <w:t xml:space="preserve">: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w:proofErr w:type="gramStart"/>
            <m:r>
              <w:rPr>
                <w:rStyle w:val="hps"/>
                <w:rFonts w:ascii="Cambria Math" w:hAnsi="Cambria Math"/>
                <w:color w:val="333333"/>
                <w:sz w:val="16"/>
                <w:szCs w:val="16"/>
              </w:rPr>
              <m:t>(</m:t>
            </m:r>
            <w:proofErr w:type="gramEnd"/>
            <m:r>
              <w:rPr>
                <w:rStyle w:val="hps"/>
                <w:rFonts w:ascii="Cambria Math" w:hAnsi="Cambria Math"/>
                <w:color w:val="333333"/>
                <w:sz w:val="16"/>
                <w:szCs w:val="16"/>
              </w:rPr>
              <m:t>i)</m:t>
            </m:r>
          </m:sub>
        </m:sSub>
      </m:oMath>
      <w:r>
        <w:rPr>
          <w:rStyle w:val="hps"/>
          <w:color w:val="333333"/>
          <w:sz w:val="16"/>
          <w:szCs w:val="16"/>
        </w:rPr>
        <w:t xml:space="preserve"> </w:t>
      </w:r>
      <m:oMath>
        <m:r>
          <w:rPr>
            <w:rFonts w:ascii="Cambria Math" w:eastAsia="Calibri" w:hAnsi="Cambria Math"/>
            <w:sz w:val="16"/>
            <w:szCs w:val="16"/>
          </w:rPr>
          <m:t>≤</m:t>
        </m:r>
        <m:sSub>
          <m:sSubPr>
            <m:ctrlPr>
              <w:rPr>
                <w:rStyle w:val="hps"/>
                <w:rFonts w:ascii="Cambria Math" w:hAnsi="Cambria Math"/>
                <w:i/>
                <w:color w:val="333333"/>
                <w:sz w:val="16"/>
                <w:szCs w:val="16"/>
              </w:rPr>
            </m:ctrlPr>
          </m:sSubPr>
          <m:e>
            <m:r>
              <w:rPr>
                <w:rStyle w:val="hps"/>
                <w:rFonts w:ascii="Cambria Math" w:hAnsi="Cambria Math"/>
                <w:color w:val="333333"/>
                <w:sz w:val="16"/>
                <w:szCs w:val="16"/>
              </w:rPr>
              <m:t>Y</m:t>
            </m:r>
          </m:e>
          <m:sub>
            <m:r>
              <w:rPr>
                <w:rStyle w:val="hps"/>
                <w:rFonts w:ascii="Cambria Math" w:hAnsi="Cambria Math"/>
                <w:color w:val="333333"/>
                <w:sz w:val="16"/>
                <w:szCs w:val="16"/>
              </w:rPr>
              <m:t>(j)</m:t>
            </m:r>
          </m:sub>
        </m:sSub>
      </m:oMath>
      <w:r>
        <w:rPr>
          <w:rStyle w:val="hps"/>
          <w:color w:val="333333"/>
          <w:sz w:val="16"/>
          <w:szCs w:val="16"/>
        </w:rPr>
        <w:t xml:space="preserve">, com </w:t>
      </w:r>
      <m:oMath>
        <m:r>
          <w:rPr>
            <w:rStyle w:val="hps"/>
            <w:rFonts w:ascii="Cambria Math" w:hAnsi="Cambria Math"/>
            <w:color w:val="333333"/>
            <w:sz w:val="16"/>
            <w:szCs w:val="16"/>
          </w:rPr>
          <m:t>i≠j</m:t>
        </m:r>
      </m:oMath>
      <w:r w:rsidRPr="009C392D">
        <w:rPr>
          <w:rStyle w:val="hps"/>
          <w:color w:val="333333"/>
          <w:sz w:val="16"/>
          <w:szCs w:val="16"/>
        </w:rPr>
        <w:t>.</w:t>
      </w:r>
    </w:p>
    <w:p w:rsidR="000057D8" w:rsidRDefault="000057D8" w:rsidP="000057D8">
      <w:pPr>
        <w:autoSpaceDE w:val="0"/>
        <w:autoSpaceDN w:val="0"/>
        <w:adjustRightInd w:val="0"/>
        <w:spacing w:line="360" w:lineRule="auto"/>
        <w:rPr>
          <w:rStyle w:val="hps"/>
          <w:color w:val="333333"/>
          <w:sz w:val="16"/>
          <w:szCs w:val="16"/>
        </w:rPr>
      </w:pPr>
      <w:proofErr w:type="gramStart"/>
      <w:r>
        <w:rPr>
          <w:rStyle w:val="hps"/>
          <w:color w:val="333333"/>
          <w:sz w:val="16"/>
          <w:szCs w:val="16"/>
        </w:rPr>
        <w:t>1</w:t>
      </w:r>
      <w:proofErr w:type="gramEnd"/>
      <w:r>
        <w:rPr>
          <w:rStyle w:val="hps"/>
          <w:color w:val="333333"/>
          <w:sz w:val="16"/>
          <w:szCs w:val="16"/>
        </w:rPr>
        <w:t xml:space="preserve">: Rejeita-se  </w:t>
      </w:r>
      <m:oMath>
        <m:sSub>
          <m:sSubPr>
            <m:ctrlPr>
              <w:rPr>
                <w:rStyle w:val="hps"/>
                <w:rFonts w:ascii="Cambria Math" w:hAnsi="Cambria Math"/>
                <w:i/>
                <w:color w:val="333333"/>
                <w:sz w:val="16"/>
                <w:szCs w:val="16"/>
              </w:rPr>
            </m:ctrlPr>
          </m:sSubPr>
          <m:e>
            <m:r>
              <w:rPr>
                <w:rStyle w:val="hps"/>
                <w:rFonts w:ascii="Cambria Math" w:hAnsi="Cambria Math"/>
                <w:color w:val="333333"/>
                <w:sz w:val="16"/>
                <w:szCs w:val="16"/>
              </w:rPr>
              <m:t>H</m:t>
            </m:r>
          </m:e>
          <m:sub>
            <m:r>
              <w:rPr>
                <w:rStyle w:val="hps"/>
                <w:rFonts w:ascii="Cambria Math" w:hAnsi="Cambria Math"/>
                <w:color w:val="333333"/>
                <w:sz w:val="16"/>
                <w:szCs w:val="16"/>
              </w:rPr>
              <m:t>0</m:t>
            </m:r>
          </m:sub>
        </m:sSub>
        <m:r>
          <w:rPr>
            <w:rStyle w:val="hps"/>
            <w:rFonts w:ascii="Cambria Math" w:hAnsi="Cambria Math"/>
            <w:color w:val="333333"/>
            <w:sz w:val="16"/>
            <w:szCs w:val="16"/>
          </w:rPr>
          <m:t xml:space="preserve"> </m:t>
        </m:r>
      </m:oMath>
      <w:r>
        <w:rPr>
          <w:rStyle w:val="hps"/>
          <w:color w:val="333333"/>
          <w:sz w:val="16"/>
          <w:szCs w:val="16"/>
        </w:rPr>
        <w:t xml:space="preserve"> ao nível de significância de 5%</w:t>
      </w:r>
      <w:r w:rsidRPr="009C392D">
        <w:rPr>
          <w:rStyle w:val="hps"/>
          <w:color w:val="333333"/>
          <w:sz w:val="16"/>
          <w:szCs w:val="16"/>
        </w:rPr>
        <w:t>.</w:t>
      </w:r>
    </w:p>
    <w:p w:rsidR="000057D8" w:rsidRDefault="000057D8" w:rsidP="000057D8">
      <w:pPr>
        <w:autoSpaceDE w:val="0"/>
        <w:autoSpaceDN w:val="0"/>
        <w:adjustRightInd w:val="0"/>
        <w:spacing w:line="360" w:lineRule="auto"/>
        <w:rPr>
          <w:rStyle w:val="hps"/>
          <w:i/>
          <w:color w:val="333333"/>
        </w:rPr>
      </w:pPr>
      <w:r w:rsidRPr="00E56F36">
        <w:rPr>
          <w:rStyle w:val="hps"/>
          <w:color w:val="333333"/>
        </w:rPr>
        <w:t xml:space="preserve">Fonte: </w:t>
      </w:r>
      <w:r w:rsidRPr="00E56F36">
        <w:rPr>
          <w:rStyle w:val="hps"/>
          <w:i/>
          <w:color w:val="333333"/>
        </w:rPr>
        <w:t>Elaboração própria.</w:t>
      </w:r>
    </w:p>
    <w:p w:rsidR="00EF780E" w:rsidRPr="00A23468" w:rsidRDefault="00EF780E" w:rsidP="00EF780E">
      <w:pPr>
        <w:autoSpaceDE w:val="0"/>
        <w:autoSpaceDN w:val="0"/>
        <w:adjustRightInd w:val="0"/>
        <w:spacing w:line="360" w:lineRule="auto"/>
        <w:rPr>
          <w:b/>
          <w:noProof/>
        </w:rPr>
      </w:pPr>
      <w:r w:rsidRPr="00A23468">
        <w:rPr>
          <w:b/>
          <w:noProof/>
        </w:rPr>
        <w:t xml:space="preserve">Figura </w:t>
      </w:r>
      <w:r>
        <w:rPr>
          <w:b/>
          <w:noProof/>
        </w:rPr>
        <w:t>6</w:t>
      </w:r>
      <w:r w:rsidRPr="00A23468">
        <w:rPr>
          <w:b/>
          <w:noProof/>
        </w:rPr>
        <w:t xml:space="preserve">. </w:t>
      </w:r>
      <w:r>
        <w:rPr>
          <w:b/>
          <w:noProof/>
        </w:rPr>
        <w:t>Correlações condicionais, volatilidades e Índice Ibovespa</w:t>
      </w:r>
      <w:r w:rsidRPr="00A23468">
        <w:rPr>
          <w:b/>
          <w:noProof/>
        </w:rPr>
        <w:t>.</w:t>
      </w:r>
    </w:p>
    <w:p w:rsidR="00EF780E" w:rsidRDefault="00EF780E" w:rsidP="00FF3324">
      <w:pPr>
        <w:autoSpaceDE w:val="0"/>
        <w:autoSpaceDN w:val="0"/>
        <w:adjustRightInd w:val="0"/>
        <w:spacing w:line="360" w:lineRule="auto"/>
        <w:ind w:firstLine="708"/>
        <w:jc w:val="both"/>
      </w:pPr>
    </w:p>
    <w:p w:rsidR="00EF780E" w:rsidRDefault="00EF780E" w:rsidP="00EF780E">
      <w:pPr>
        <w:autoSpaceDE w:val="0"/>
        <w:autoSpaceDN w:val="0"/>
        <w:adjustRightInd w:val="0"/>
        <w:spacing w:line="360" w:lineRule="auto"/>
        <w:ind w:firstLine="708"/>
      </w:pPr>
      <w:r>
        <w:rPr>
          <w:noProof/>
        </w:rPr>
        <w:drawing>
          <wp:inline distT="0" distB="0" distL="0" distR="0">
            <wp:extent cx="6114415" cy="2019935"/>
            <wp:effectExtent l="19050" t="0" r="635"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6114415" cy="2019935"/>
                    </a:xfrm>
                    <a:prstGeom prst="rect">
                      <a:avLst/>
                    </a:prstGeom>
                    <a:noFill/>
                    <a:ln w="9525">
                      <a:noFill/>
                      <a:miter lim="800000"/>
                      <a:headEnd/>
                      <a:tailEnd/>
                    </a:ln>
                  </pic:spPr>
                </pic:pic>
              </a:graphicData>
            </a:graphic>
          </wp:inline>
        </w:drawing>
      </w:r>
    </w:p>
    <w:p w:rsidR="00EF780E" w:rsidRPr="00E56F36" w:rsidRDefault="00EF780E" w:rsidP="00EF780E">
      <w:pPr>
        <w:autoSpaceDE w:val="0"/>
        <w:autoSpaceDN w:val="0"/>
        <w:adjustRightInd w:val="0"/>
        <w:spacing w:line="360" w:lineRule="auto"/>
        <w:rPr>
          <w:rStyle w:val="hps"/>
          <w:color w:val="333333"/>
        </w:rPr>
      </w:pPr>
      <w:r w:rsidRPr="00E56F36">
        <w:rPr>
          <w:rStyle w:val="hps"/>
          <w:color w:val="333333"/>
        </w:rPr>
        <w:t xml:space="preserve">Fonte: </w:t>
      </w:r>
      <w:r w:rsidRPr="00E56F36">
        <w:rPr>
          <w:rStyle w:val="hps"/>
          <w:i/>
          <w:color w:val="333333"/>
        </w:rPr>
        <w:t>Elaboração própria.</w:t>
      </w:r>
    </w:p>
    <w:p w:rsidR="00EF780E" w:rsidRDefault="00EF780E" w:rsidP="00FF3324">
      <w:pPr>
        <w:autoSpaceDE w:val="0"/>
        <w:autoSpaceDN w:val="0"/>
        <w:adjustRightInd w:val="0"/>
        <w:spacing w:line="360" w:lineRule="auto"/>
        <w:ind w:firstLine="708"/>
        <w:jc w:val="both"/>
      </w:pPr>
    </w:p>
    <w:p w:rsidR="00FF3324" w:rsidRDefault="00FF3324" w:rsidP="00FF3324">
      <w:pPr>
        <w:autoSpaceDE w:val="0"/>
        <w:autoSpaceDN w:val="0"/>
        <w:adjustRightInd w:val="0"/>
        <w:spacing w:line="360" w:lineRule="auto"/>
        <w:ind w:firstLine="708"/>
        <w:jc w:val="both"/>
      </w:pPr>
      <w:r>
        <w:t xml:space="preserve">Conforme apresentado anteriormente, a </w:t>
      </w:r>
      <w:proofErr w:type="spellStart"/>
      <w:r>
        <w:t>magintude</w:t>
      </w:r>
      <w:proofErr w:type="spellEnd"/>
      <w:r>
        <w:t xml:space="preserve"> da correla</w:t>
      </w:r>
      <w:r w:rsidR="007915CC">
        <w:t>ção</w:t>
      </w:r>
      <w:r>
        <w:t xml:space="preserve"> condicional dos choques cambiais s</w:t>
      </w:r>
      <w:r w:rsidR="007915CC">
        <w:t>ã</w:t>
      </w:r>
      <w:r>
        <w:t>o sempre maiores na presen</w:t>
      </w:r>
      <w:r w:rsidR="007915CC">
        <w:t>ç</w:t>
      </w:r>
      <w:r>
        <w:t>a do D</w:t>
      </w:r>
      <w:r w:rsidR="007915CC">
        <w:t>ó</w:t>
      </w:r>
      <w:r>
        <w:t>lar, cabe</w:t>
      </w:r>
      <w:proofErr w:type="gramStart"/>
      <w:r>
        <w:t xml:space="preserve"> contudo</w:t>
      </w:r>
      <w:proofErr w:type="gramEnd"/>
      <w:r>
        <w:t xml:space="preserve"> ressaltar </w:t>
      </w:r>
      <w:proofErr w:type="spellStart"/>
      <w:r>
        <w:t>co-movimentos</w:t>
      </w:r>
      <w:proofErr w:type="spellEnd"/>
      <w:r>
        <w:t xml:space="preserve"> das correla</w:t>
      </w:r>
      <w:r w:rsidR="007915CC">
        <w:t>ções</w:t>
      </w:r>
      <w:r>
        <w:t xml:space="preserve"> cambiais em per</w:t>
      </w:r>
      <w:r w:rsidR="007915CC">
        <w:t>í</w:t>
      </w:r>
      <w:r>
        <w:t>odo</w:t>
      </w:r>
      <w:r w:rsidR="007915CC">
        <w:t>s de volatilidade atípica</w:t>
      </w:r>
      <w:r>
        <w:t>, como est</w:t>
      </w:r>
      <w:r w:rsidR="007915CC">
        <w:t>á</w:t>
      </w:r>
      <w:r>
        <w:t xml:space="preserve"> em destaque no gr</w:t>
      </w:r>
      <w:r w:rsidR="007915CC">
        <w:t>áfico</w:t>
      </w:r>
      <w:r>
        <w:t xml:space="preserve"> da</w:t>
      </w:r>
      <w:r w:rsidR="007915CC">
        <w:t xml:space="preserve"> fi</w:t>
      </w:r>
      <w:r>
        <w:t>gura 6.</w:t>
      </w:r>
      <w:r w:rsidR="007915CC">
        <w:t xml:space="preserve"> É</w:t>
      </w:r>
      <w:r>
        <w:t xml:space="preserve"> poss</w:t>
      </w:r>
      <w:r w:rsidR="007915CC">
        <w:t>í</w:t>
      </w:r>
      <w:r>
        <w:t>vel observar, com nos per</w:t>
      </w:r>
      <w:r w:rsidR="007915CC">
        <w:t>í</w:t>
      </w:r>
      <w:r>
        <w:t>odos em destaque, que a alta da volatilidade do Ibovespa est</w:t>
      </w:r>
      <w:r w:rsidR="007915CC">
        <w:t>á</w:t>
      </w:r>
      <w:r>
        <w:t xml:space="preserve"> associada com aumento da magnitude da correla</w:t>
      </w:r>
      <w:r w:rsidR="007915CC">
        <w:t>ção</w:t>
      </w:r>
      <w:r>
        <w:t xml:space="preserve"> condicional da volatilidade do D</w:t>
      </w:r>
      <w:r w:rsidR="007915CC">
        <w:t>ó</w:t>
      </w:r>
      <w:r>
        <w:t>lar com Ibovespa, enquanto no mesmo per</w:t>
      </w:r>
      <w:r w:rsidR="007915CC">
        <w:t>í</w:t>
      </w:r>
      <w:r>
        <w:t xml:space="preserve">odo em destaque, qualquer que fosse a </w:t>
      </w:r>
      <w:proofErr w:type="spellStart"/>
      <w:proofErr w:type="gramStart"/>
      <w:r w:rsidRPr="003930DC">
        <w:rPr>
          <w:i/>
        </w:rPr>
        <w:t>proxy</w:t>
      </w:r>
      <w:proofErr w:type="spellEnd"/>
      <w:proofErr w:type="gramEnd"/>
      <w:r>
        <w:t xml:space="preserve"> de choque cambial adotada, IND1 ou IND2, apresentam redu</w:t>
      </w:r>
      <w:r w:rsidR="007915CC">
        <w:t>ção</w:t>
      </w:r>
      <w:r>
        <w:t xml:space="preserve"> da sua </w:t>
      </w:r>
      <w:proofErr w:type="spellStart"/>
      <w:r>
        <w:t>magintude</w:t>
      </w:r>
      <w:proofErr w:type="spellEnd"/>
      <w:r>
        <w:t xml:space="preserve"> e at</w:t>
      </w:r>
      <w:r w:rsidR="007915CC">
        <w:t>é</w:t>
      </w:r>
      <w:r>
        <w:t xml:space="preserve"> mesmo invers</w:t>
      </w:r>
      <w:r w:rsidR="007915CC">
        <w:t>ã</w:t>
      </w:r>
      <w:r>
        <w:t>o do sinal da correla</w:t>
      </w:r>
      <w:r w:rsidR="007915CC">
        <w:t>ção</w:t>
      </w:r>
      <w:r>
        <w:t>. Esse fato estilizado, para sua total compreens</w:t>
      </w:r>
      <w:r w:rsidR="00504F52">
        <w:t>ã</w:t>
      </w:r>
      <w:r>
        <w:t xml:space="preserve">o, deve ser tema de um estudo de eventos nos moldes de </w:t>
      </w:r>
      <w:proofErr w:type="spellStart"/>
      <w:r>
        <w:t>Boehmer</w:t>
      </w:r>
      <w:proofErr w:type="spellEnd"/>
      <w:r>
        <w:t xml:space="preserve">, </w:t>
      </w:r>
      <w:proofErr w:type="spellStart"/>
      <w:r>
        <w:t>Masumeci</w:t>
      </w:r>
      <w:proofErr w:type="spellEnd"/>
      <w:r>
        <w:t xml:space="preserve"> e </w:t>
      </w:r>
      <w:proofErr w:type="spellStart"/>
      <w:r>
        <w:t>Poulsen</w:t>
      </w:r>
      <w:proofErr w:type="spellEnd"/>
      <w:r>
        <w:t xml:space="preserve"> (1991).</w:t>
      </w:r>
    </w:p>
    <w:p w:rsidR="007915CC" w:rsidRDefault="007915CC" w:rsidP="00FF3324">
      <w:pPr>
        <w:autoSpaceDE w:val="0"/>
        <w:autoSpaceDN w:val="0"/>
        <w:adjustRightInd w:val="0"/>
        <w:spacing w:line="360" w:lineRule="auto"/>
        <w:ind w:firstLine="708"/>
        <w:jc w:val="both"/>
      </w:pPr>
    </w:p>
    <w:p w:rsidR="00FF3324" w:rsidRPr="00FF3324" w:rsidRDefault="00FF3324" w:rsidP="00FF3324">
      <w:pPr>
        <w:pStyle w:val="PargrafodaLista"/>
        <w:numPr>
          <w:ilvl w:val="0"/>
          <w:numId w:val="45"/>
        </w:numPr>
        <w:autoSpaceDE w:val="0"/>
        <w:autoSpaceDN w:val="0"/>
        <w:adjustRightInd w:val="0"/>
        <w:rPr>
          <w:rFonts w:eastAsia="Calibri"/>
          <w:b/>
          <w:bCs/>
        </w:rPr>
      </w:pPr>
      <w:r w:rsidRPr="00FF3324">
        <w:rPr>
          <w:rFonts w:eastAsia="Calibri"/>
          <w:b/>
          <w:bCs/>
        </w:rPr>
        <w:t>Conclusões</w:t>
      </w:r>
    </w:p>
    <w:p w:rsidR="00FF3324" w:rsidRDefault="00FF3324" w:rsidP="001A5707">
      <w:pPr>
        <w:autoSpaceDE w:val="0"/>
        <w:autoSpaceDN w:val="0"/>
        <w:adjustRightInd w:val="0"/>
        <w:spacing w:line="360" w:lineRule="auto"/>
        <w:ind w:firstLine="708"/>
        <w:jc w:val="both"/>
      </w:pPr>
    </w:p>
    <w:p w:rsidR="00FF3324" w:rsidRDefault="00FF3324" w:rsidP="00FF3324">
      <w:pPr>
        <w:autoSpaceDE w:val="0"/>
        <w:autoSpaceDN w:val="0"/>
        <w:adjustRightInd w:val="0"/>
        <w:spacing w:line="360" w:lineRule="auto"/>
        <w:ind w:firstLine="708"/>
        <w:jc w:val="both"/>
      </w:pPr>
      <w:r>
        <w:t>O presente estudo se prop</w:t>
      </w:r>
      <w:r w:rsidR="00504F52">
        <w:t>ô</w:t>
      </w:r>
      <w:r>
        <w:t>s em sua primeira parte construir um referencial te</w:t>
      </w:r>
      <w:r w:rsidR="00504F52">
        <w:t>ó</w:t>
      </w:r>
      <w:r>
        <w:t xml:space="preserve">rico da literatura que tratar dos efeitos de </w:t>
      </w:r>
      <w:proofErr w:type="spellStart"/>
      <w:r w:rsidRPr="00504F52">
        <w:rPr>
          <w:i/>
        </w:rPr>
        <w:t>spillover</w:t>
      </w:r>
      <w:proofErr w:type="spellEnd"/>
      <w:r>
        <w:t xml:space="preserve"> e </w:t>
      </w:r>
      <w:proofErr w:type="spellStart"/>
      <w:r w:rsidR="00504F52" w:rsidRPr="00504F52">
        <w:rPr>
          <w:i/>
        </w:rPr>
        <w:t>l</w:t>
      </w:r>
      <w:r w:rsidRPr="00504F52">
        <w:rPr>
          <w:i/>
        </w:rPr>
        <w:t>ead-</w:t>
      </w:r>
      <w:r w:rsidR="00504F52" w:rsidRPr="00504F52">
        <w:rPr>
          <w:i/>
        </w:rPr>
        <w:t>l</w:t>
      </w:r>
      <w:r w:rsidRPr="00504F52">
        <w:rPr>
          <w:i/>
        </w:rPr>
        <w:t>ag</w:t>
      </w:r>
      <w:proofErr w:type="spellEnd"/>
      <w:r>
        <w:t xml:space="preserve"> em suas diferentes abordagens.</w:t>
      </w:r>
    </w:p>
    <w:p w:rsidR="00FF3324" w:rsidRDefault="00FF3324" w:rsidP="00FF3324">
      <w:pPr>
        <w:autoSpaceDE w:val="0"/>
        <w:autoSpaceDN w:val="0"/>
        <w:adjustRightInd w:val="0"/>
        <w:spacing w:line="360" w:lineRule="auto"/>
        <w:ind w:firstLine="708"/>
        <w:jc w:val="both"/>
      </w:pPr>
      <w:r>
        <w:t>O estudo veri</w:t>
      </w:r>
      <w:r w:rsidR="00504F52">
        <w:t>fi</w:t>
      </w:r>
      <w:r>
        <w:t>cou a possibilidade de constru</w:t>
      </w:r>
      <w:r w:rsidR="00504F52">
        <w:t>ção</w:t>
      </w:r>
      <w:r>
        <w:t xml:space="preserve"> de </w:t>
      </w:r>
      <w:proofErr w:type="spellStart"/>
      <w:r w:rsidRPr="003930DC">
        <w:rPr>
          <w:i/>
        </w:rPr>
        <w:t>proxies</w:t>
      </w:r>
      <w:proofErr w:type="spellEnd"/>
      <w:r>
        <w:t xml:space="preserve"> para choques cambiais a partir do uso de ACP, de forma que tais retornos representativos constru</w:t>
      </w:r>
      <w:r w:rsidR="00504F52">
        <w:t>í</w:t>
      </w:r>
      <w:r>
        <w:t>dos apresentassem din</w:t>
      </w:r>
      <w:r w:rsidR="00504F52">
        <w:t>â</w:t>
      </w:r>
      <w:r>
        <w:t xml:space="preserve">mica </w:t>
      </w:r>
      <w:r>
        <w:lastRenderedPageBreak/>
        <w:t>temporal consistente com os fatos estilizados de retornos, o que possibilitou seu uso para estimar os efeitos de transbordamento de diferentes tipos de choques cambiais: exclusivamente do D</w:t>
      </w:r>
      <w:r w:rsidR="00504F52">
        <w:t>ó</w:t>
      </w:r>
      <w:r>
        <w:t>lar, a combina</w:t>
      </w:r>
      <w:r w:rsidR="00504F52">
        <w:t>ção</w:t>
      </w:r>
      <w:r>
        <w:t xml:space="preserve"> de 48 taxas cambiais e todas as 47 taxas cambiais excluindo-se o D</w:t>
      </w:r>
      <w:r w:rsidR="00504F52">
        <w:t>ó</w:t>
      </w:r>
      <w:r>
        <w:t>lar.</w:t>
      </w:r>
    </w:p>
    <w:p w:rsidR="00FF3324" w:rsidRDefault="00FF3324" w:rsidP="00FF3324">
      <w:pPr>
        <w:autoSpaceDE w:val="0"/>
        <w:autoSpaceDN w:val="0"/>
        <w:adjustRightInd w:val="0"/>
        <w:spacing w:line="360" w:lineRule="auto"/>
        <w:ind w:firstLine="708"/>
        <w:jc w:val="both"/>
      </w:pPr>
      <w:r>
        <w:t>As estima</w:t>
      </w:r>
      <w:r w:rsidR="00504F52">
        <w:t>ções</w:t>
      </w:r>
      <w:r>
        <w:t xml:space="preserve"> de modelos MGARCH BEKK que eliminaram autocorrela</w:t>
      </w:r>
      <w:r w:rsidR="00504F52">
        <w:t>ção</w:t>
      </w:r>
      <w:r>
        <w:t xml:space="preserve"> dos res</w:t>
      </w:r>
      <w:r w:rsidR="00504F52">
        <w:t>í</w:t>
      </w:r>
      <w:r>
        <w:t>duos padronizados e de seus quadrados indicam que tais modelos foram capazes de produzir uma boa representa</w:t>
      </w:r>
      <w:r w:rsidR="00504F52">
        <w:t>ção</w:t>
      </w:r>
      <w:r>
        <w:t xml:space="preserve"> dos processos geradores das s</w:t>
      </w:r>
      <w:r w:rsidR="00504F52">
        <w:t>é</w:t>
      </w:r>
      <w:r>
        <w:t>ries. Esses modelos produziram correla</w:t>
      </w:r>
      <w:r w:rsidR="00504F52">
        <w:t>ções</w:t>
      </w:r>
      <w:r>
        <w:t xml:space="preserve"> condicionais, as quais com din</w:t>
      </w:r>
      <w:r w:rsidR="00504F52">
        <w:t>â</w:t>
      </w:r>
      <w:r>
        <w:t>mica temporal permitiram concluir que os transbordamentos n</w:t>
      </w:r>
      <w:r w:rsidR="00504F52">
        <w:t>ã</w:t>
      </w:r>
      <w:r>
        <w:t>o s</w:t>
      </w:r>
      <w:r w:rsidR="00504F52">
        <w:t>ã</w:t>
      </w:r>
      <w:r>
        <w:t xml:space="preserve">o eventos </w:t>
      </w:r>
      <w:r w:rsidR="00504F52">
        <w:t>estáticos</w:t>
      </w:r>
      <w:r>
        <w:t>. Os testes de causalidade de Granger (teste HH) de segunda ordem n</w:t>
      </w:r>
      <w:r w:rsidR="00504F52">
        <w:t>ã</w:t>
      </w:r>
      <w:r>
        <w:t>o s</w:t>
      </w:r>
      <w:r w:rsidR="00504F52">
        <w:t>ó</w:t>
      </w:r>
      <w:r>
        <w:t xml:space="preserve"> validaram a exist</w:t>
      </w:r>
      <w:r w:rsidR="00504F52">
        <w:t>ê</w:t>
      </w:r>
      <w:r>
        <w:t xml:space="preserve">ncia de </w:t>
      </w:r>
      <w:proofErr w:type="spellStart"/>
      <w:r w:rsidRPr="00504F52">
        <w:rPr>
          <w:i/>
        </w:rPr>
        <w:t>spillover</w:t>
      </w:r>
      <w:proofErr w:type="spellEnd"/>
      <w:r>
        <w:t xml:space="preserve"> cambiais quanto tamb</w:t>
      </w:r>
      <w:r w:rsidR="00504F52">
        <w:t>é</w:t>
      </w:r>
      <w:r>
        <w:t>m da presen</w:t>
      </w:r>
      <w:r w:rsidR="00504F52">
        <w:t>ça</w:t>
      </w:r>
      <w:r>
        <w:t xml:space="preserve"> de efeitos </w:t>
      </w:r>
      <w:proofErr w:type="spellStart"/>
      <w:r w:rsidR="00504F52" w:rsidRPr="00504F52">
        <w:rPr>
          <w:i/>
        </w:rPr>
        <w:t>l</w:t>
      </w:r>
      <w:r w:rsidRPr="00504F52">
        <w:rPr>
          <w:i/>
        </w:rPr>
        <w:t>ead-</w:t>
      </w:r>
      <w:r w:rsidR="00504F52" w:rsidRPr="00504F52">
        <w:rPr>
          <w:i/>
        </w:rPr>
        <w:t>l</w:t>
      </w:r>
      <w:r w:rsidRPr="00504F52">
        <w:rPr>
          <w:i/>
        </w:rPr>
        <w:t>ag</w:t>
      </w:r>
      <w:proofErr w:type="spellEnd"/>
      <w:r>
        <w:t xml:space="preserve"> de volatilidade entre os mercados cambiais e acion</w:t>
      </w:r>
      <w:r w:rsidR="00504F52">
        <w:t>á</w:t>
      </w:r>
      <w:r>
        <w:t>rios no Brasil. Os resultados mostram que a causalidade no sentido de Granger sempre ocorre dos choques cambiais para o Ibovespa, ou seja, existe uma preced</w:t>
      </w:r>
      <w:r w:rsidR="00504F52">
        <w:t>ê</w:t>
      </w:r>
      <w:r>
        <w:t>ncia estatisticamente signi</w:t>
      </w:r>
      <w:r w:rsidR="00504F52">
        <w:t>fi</w:t>
      </w:r>
      <w:r>
        <w:t>cante entre transbordamentos de volatilidades cambiais e volatilidade do Ibovespa.</w:t>
      </w:r>
    </w:p>
    <w:p w:rsidR="00FF3324" w:rsidRDefault="00FF3324" w:rsidP="00FF3324">
      <w:pPr>
        <w:autoSpaceDE w:val="0"/>
        <w:autoSpaceDN w:val="0"/>
        <w:adjustRightInd w:val="0"/>
        <w:spacing w:line="360" w:lineRule="auto"/>
        <w:ind w:firstLine="708"/>
        <w:jc w:val="both"/>
      </w:pPr>
      <w:r>
        <w:t>As correla</w:t>
      </w:r>
      <w:r w:rsidR="00504F52">
        <w:t>ções</w:t>
      </w:r>
      <w:r>
        <w:t xml:space="preserve"> condicionais estimadas apresentam valores negativos para as </w:t>
      </w:r>
      <w:proofErr w:type="spellStart"/>
      <w:r>
        <w:t>proxies</w:t>
      </w:r>
      <w:proofErr w:type="spellEnd"/>
      <w:r>
        <w:t xml:space="preserve"> de choques cambiais. Ou seja, esses resultados indicam que aumentos da volatilidade cambial est</w:t>
      </w:r>
      <w:r w:rsidR="00504F52">
        <w:t>ã</w:t>
      </w:r>
      <w:r>
        <w:t>o associados a uma redu</w:t>
      </w:r>
      <w:r w:rsidR="00504F52">
        <w:t>ção</w:t>
      </w:r>
      <w:r>
        <w:t xml:space="preserve"> da volatilidade do </w:t>
      </w:r>
      <w:r w:rsidR="00504F52">
        <w:t>í</w:t>
      </w:r>
      <w:r>
        <w:t>ndice Ibovespa, o que est</w:t>
      </w:r>
      <w:r w:rsidR="00504F52">
        <w:t>á</w:t>
      </w:r>
      <w:r>
        <w:t xml:space="preserve"> em linhas com uma grande parte da literatura observada para o caso de outros pa</w:t>
      </w:r>
      <w:r w:rsidR="00504F52">
        <w:t>í</w:t>
      </w:r>
      <w:r>
        <w:t>ses.</w:t>
      </w:r>
    </w:p>
    <w:p w:rsidR="00D47BB0" w:rsidRDefault="00FF3324" w:rsidP="00FF3324">
      <w:pPr>
        <w:autoSpaceDE w:val="0"/>
        <w:autoSpaceDN w:val="0"/>
        <w:adjustRightInd w:val="0"/>
        <w:spacing w:line="360" w:lineRule="auto"/>
        <w:ind w:firstLine="708"/>
        <w:jc w:val="both"/>
      </w:pPr>
      <w:r>
        <w:t>Os testes comparando essas correla</w:t>
      </w:r>
      <w:r w:rsidR="00504F52">
        <w:t>ções</w:t>
      </w:r>
      <w:r>
        <w:t xml:space="preserve"> condicionais estimadas permitiram evidenciar a </w:t>
      </w:r>
      <w:proofErr w:type="spellStart"/>
      <w:r>
        <w:t>im-port</w:t>
      </w:r>
      <w:r w:rsidR="00504F52">
        <w:t>â</w:t>
      </w:r>
      <w:r>
        <w:t>ncia</w:t>
      </w:r>
      <w:proofErr w:type="spellEnd"/>
      <w:r>
        <w:t xml:space="preserve"> da volatilidade do D</w:t>
      </w:r>
      <w:r w:rsidR="00504F52">
        <w:t>ó</w:t>
      </w:r>
      <w:r>
        <w:t xml:space="preserve">lar em termos de transbordamento, em particular com o uso das outras </w:t>
      </w:r>
      <w:proofErr w:type="spellStart"/>
      <w:r w:rsidRPr="003930DC">
        <w:rPr>
          <w:i/>
        </w:rPr>
        <w:t>proxies</w:t>
      </w:r>
      <w:proofErr w:type="spellEnd"/>
      <w:r>
        <w:t xml:space="preserve"> de choques cambias com diferentes combina</w:t>
      </w:r>
      <w:r w:rsidR="00504F52">
        <w:t>ções</w:t>
      </w:r>
      <w:r>
        <w:t xml:space="preserve"> de moedas. A presen</w:t>
      </w:r>
      <w:r w:rsidR="00504F52">
        <w:t>ça</w:t>
      </w:r>
      <w:r>
        <w:t xml:space="preserve"> do D</w:t>
      </w:r>
      <w:r w:rsidR="00504F52">
        <w:t>ó</w:t>
      </w:r>
      <w:r>
        <w:t>lar est</w:t>
      </w:r>
      <w:r w:rsidR="00504F52">
        <w:t>á</w:t>
      </w:r>
      <w:r>
        <w:t xml:space="preserve"> associada uma maior </w:t>
      </w:r>
      <w:proofErr w:type="spellStart"/>
      <w:r>
        <w:t>magintude</w:t>
      </w:r>
      <w:proofErr w:type="spellEnd"/>
      <w:r>
        <w:t xml:space="preserve"> de correla</w:t>
      </w:r>
      <w:r w:rsidR="00504F52">
        <w:t>ção</w:t>
      </w:r>
      <w:r>
        <w:t xml:space="preserve"> condicional estimada, seja exclusivamente considerado o retorno do D</w:t>
      </w:r>
      <w:r w:rsidR="00504F52">
        <w:t>ó</w:t>
      </w:r>
      <w:r>
        <w:t>lar ou em conjunto com as 47 taxas de cambio utilizadas no estudo. O estudo ainda destaca o aumento da correla</w:t>
      </w:r>
      <w:r w:rsidR="00504F52">
        <w:t>ção</w:t>
      </w:r>
      <w:r>
        <w:t xml:space="preserve"> condicional de volatilidade estima entre o D</w:t>
      </w:r>
      <w:r w:rsidR="00504F52">
        <w:t>ó</w:t>
      </w:r>
      <w:r>
        <w:t>lar e o Ibovespa em per</w:t>
      </w:r>
      <w:r w:rsidR="00504F52">
        <w:t>í</w:t>
      </w:r>
      <w:r>
        <w:t xml:space="preserve">odos de aumento da volatilidade do Ibovespa, um evento oposto quando considerada as demais </w:t>
      </w:r>
      <w:proofErr w:type="spellStart"/>
      <w:r w:rsidRPr="003930DC">
        <w:rPr>
          <w:i/>
        </w:rPr>
        <w:t>proxies</w:t>
      </w:r>
      <w:proofErr w:type="spellEnd"/>
      <w:r>
        <w:t xml:space="preserve"> cambiais. N</w:t>
      </w:r>
      <w:r w:rsidR="00504F52">
        <w:t>ã</w:t>
      </w:r>
      <w:r>
        <w:t>o obstante as quest</w:t>
      </w:r>
      <w:r w:rsidR="00504F52">
        <w:t>õ</w:t>
      </w:r>
      <w:r>
        <w:t>es salientadas, conclu</w:t>
      </w:r>
      <w:r w:rsidR="00504F52">
        <w:t>í</w:t>
      </w:r>
      <w:r>
        <w:t>mos o estudo ressaltando seu car</w:t>
      </w:r>
      <w:r w:rsidR="00504F52">
        <w:t>á</w:t>
      </w:r>
      <w:r>
        <w:t>ter pioneiro para a investiga</w:t>
      </w:r>
      <w:r w:rsidR="00504F52">
        <w:t>ção</w:t>
      </w:r>
      <w:r>
        <w:t xml:space="preserve"> de </w:t>
      </w:r>
      <w:proofErr w:type="spellStart"/>
      <w:r w:rsidR="00504F52" w:rsidRPr="00504F52">
        <w:rPr>
          <w:i/>
        </w:rPr>
        <w:t>s</w:t>
      </w:r>
      <w:r w:rsidRPr="00504F52">
        <w:rPr>
          <w:i/>
        </w:rPr>
        <w:t>pillovers</w:t>
      </w:r>
      <w:proofErr w:type="spellEnd"/>
      <w:r>
        <w:t xml:space="preserve"> e efeitos </w:t>
      </w:r>
      <w:proofErr w:type="spellStart"/>
      <w:r w:rsidR="00504F52" w:rsidRPr="00504F52">
        <w:rPr>
          <w:i/>
        </w:rPr>
        <w:t>l</w:t>
      </w:r>
      <w:r w:rsidRPr="00504F52">
        <w:rPr>
          <w:i/>
        </w:rPr>
        <w:t>ead-</w:t>
      </w:r>
      <w:r w:rsidR="00504F52" w:rsidRPr="00504F52">
        <w:rPr>
          <w:i/>
        </w:rPr>
        <w:t>l</w:t>
      </w:r>
      <w:r w:rsidRPr="00504F52">
        <w:rPr>
          <w:i/>
        </w:rPr>
        <w:t>ag</w:t>
      </w:r>
      <w:proofErr w:type="spellEnd"/>
      <w:r>
        <w:t xml:space="preserve"> de diferentes tipos de choques cambiais estimados em um mesmo modelo, e em particular para o caso brasileiro.</w:t>
      </w:r>
    </w:p>
    <w:p w:rsidR="008A29D8" w:rsidRPr="00504F52" w:rsidRDefault="008A29D8" w:rsidP="008A29D8">
      <w:pPr>
        <w:jc w:val="both"/>
      </w:pPr>
    </w:p>
    <w:p w:rsidR="00F73FEF" w:rsidRPr="000A2F04" w:rsidRDefault="000B7EE9" w:rsidP="00F73FEF">
      <w:pPr>
        <w:rPr>
          <w:b/>
          <w:lang w:val="en-US"/>
        </w:rPr>
      </w:pPr>
      <w:proofErr w:type="spellStart"/>
      <w:r w:rsidRPr="000A2F04">
        <w:rPr>
          <w:b/>
          <w:lang w:val="en-US"/>
        </w:rPr>
        <w:t>Refer</w:t>
      </w:r>
      <w:r w:rsidR="00FF3324">
        <w:rPr>
          <w:b/>
          <w:lang w:val="en-US"/>
        </w:rPr>
        <w:t>ências</w:t>
      </w:r>
      <w:proofErr w:type="spellEnd"/>
      <w:r w:rsidR="00FF3324">
        <w:rPr>
          <w:b/>
          <w:lang w:val="en-US"/>
        </w:rPr>
        <w:t xml:space="preserve"> </w:t>
      </w:r>
      <w:proofErr w:type="spellStart"/>
      <w:r w:rsidR="00FF3324">
        <w:rPr>
          <w:b/>
          <w:lang w:val="en-US"/>
        </w:rPr>
        <w:t>bibliográficas</w:t>
      </w:r>
      <w:proofErr w:type="spellEnd"/>
    </w:p>
    <w:p w:rsidR="00BD11F6" w:rsidRDefault="00BD11F6" w:rsidP="00BD11F6">
      <w:pPr>
        <w:autoSpaceDE w:val="0"/>
        <w:autoSpaceDN w:val="0"/>
        <w:adjustRightInd w:val="0"/>
        <w:spacing w:line="360" w:lineRule="auto"/>
        <w:jc w:val="both"/>
        <w:rPr>
          <w:color w:val="000000"/>
          <w:lang w:val="en-US"/>
        </w:rPr>
      </w:pP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AJAYI, R. A.; MOUGOU</w:t>
      </w:r>
      <w:r>
        <w:rPr>
          <w:color w:val="000000"/>
          <w:lang w:val="en-US"/>
        </w:rPr>
        <w:t xml:space="preserve"> </w:t>
      </w:r>
      <w:r w:rsidRPr="0070099E">
        <w:rPr>
          <w:color w:val="000000"/>
          <w:lang w:val="en-US"/>
        </w:rPr>
        <w:t>E, M.</w:t>
      </w:r>
      <w:proofErr w:type="gramEnd"/>
      <w:r w:rsidRPr="0070099E">
        <w:rPr>
          <w:color w:val="000000"/>
          <w:lang w:val="en-US"/>
        </w:rPr>
        <w:t xml:space="preserve"> On the dynamic relation between stock prices and exchange</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rates</w:t>
      </w:r>
      <w:proofErr w:type="gramEnd"/>
      <w:r w:rsidRPr="0070099E">
        <w:rPr>
          <w:color w:val="000000"/>
          <w:lang w:val="en-US"/>
        </w:rPr>
        <w:t xml:space="preserve">. </w:t>
      </w:r>
      <w:proofErr w:type="gramStart"/>
      <w:r w:rsidRPr="007A5B2A">
        <w:rPr>
          <w:i/>
          <w:color w:val="000000"/>
          <w:lang w:val="en-US"/>
        </w:rPr>
        <w:t>Journal of Financial Research</w:t>
      </w:r>
      <w:r w:rsidRPr="0070099E">
        <w:rPr>
          <w:color w:val="000000"/>
          <w:lang w:val="en-US"/>
        </w:rPr>
        <w:t>, Wiley Online Library, v. 19, n. 2, p. 193</w:t>
      </w:r>
      <w:r>
        <w:rPr>
          <w:color w:val="000000"/>
          <w:lang w:val="en-US"/>
        </w:rPr>
        <w:t>-</w:t>
      </w:r>
      <w:r w:rsidRPr="0070099E">
        <w:rPr>
          <w:color w:val="000000"/>
          <w:lang w:val="en-US"/>
        </w:rPr>
        <w:t>207, 1996.</w:t>
      </w:r>
      <w:proofErr w:type="gramEnd"/>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ALAGANAR, V.; BHAR, R. Empirical properties of currency risk in country index portfolios.</w:t>
      </w:r>
      <w:proofErr w:type="gramEnd"/>
    </w:p>
    <w:p w:rsidR="0070099E" w:rsidRPr="0070099E" w:rsidRDefault="0070099E" w:rsidP="0070099E">
      <w:pPr>
        <w:autoSpaceDE w:val="0"/>
        <w:autoSpaceDN w:val="0"/>
        <w:adjustRightInd w:val="0"/>
        <w:spacing w:line="360" w:lineRule="auto"/>
        <w:jc w:val="both"/>
        <w:rPr>
          <w:color w:val="000000"/>
          <w:lang w:val="en-US"/>
        </w:rPr>
      </w:pPr>
      <w:proofErr w:type="gramStart"/>
      <w:r w:rsidRPr="007A5B2A">
        <w:rPr>
          <w:i/>
          <w:color w:val="000000"/>
          <w:lang w:val="en-US"/>
        </w:rPr>
        <w:t>The Quarterly Review of Economics and Finance</w:t>
      </w:r>
      <w:r w:rsidRPr="0070099E">
        <w:rPr>
          <w:color w:val="000000"/>
          <w:lang w:val="en-US"/>
        </w:rPr>
        <w:t>, Elsevier, v. 47, n. 1, p. 159</w:t>
      </w:r>
      <w:r>
        <w:rPr>
          <w:color w:val="000000"/>
          <w:lang w:val="en-US"/>
        </w:rPr>
        <w:t>-</w:t>
      </w:r>
      <w:r w:rsidRPr="0070099E">
        <w:rPr>
          <w:color w:val="000000"/>
          <w:lang w:val="en-US"/>
        </w:rPr>
        <w:t>174, 2007.</w:t>
      </w:r>
      <w:proofErr w:type="gramEnd"/>
    </w:p>
    <w:p w:rsidR="0070099E" w:rsidRPr="007A5B2A" w:rsidRDefault="0070099E" w:rsidP="0070099E">
      <w:pPr>
        <w:autoSpaceDE w:val="0"/>
        <w:autoSpaceDN w:val="0"/>
        <w:adjustRightInd w:val="0"/>
        <w:spacing w:line="360" w:lineRule="auto"/>
        <w:jc w:val="both"/>
        <w:rPr>
          <w:i/>
          <w:color w:val="000000"/>
          <w:lang w:val="en-US"/>
        </w:rPr>
      </w:pPr>
      <w:proofErr w:type="gramStart"/>
      <w:r w:rsidRPr="0070099E">
        <w:rPr>
          <w:color w:val="000000"/>
          <w:lang w:val="en-US"/>
        </w:rPr>
        <w:lastRenderedPageBreak/>
        <w:t>AMIHUD, Y. Exchange rates and the valuation of equity shares.</w:t>
      </w:r>
      <w:proofErr w:type="gramEnd"/>
      <w:r w:rsidRPr="0070099E">
        <w:rPr>
          <w:color w:val="000000"/>
          <w:lang w:val="en-US"/>
        </w:rPr>
        <w:t xml:space="preserve"> </w:t>
      </w:r>
      <w:r w:rsidRPr="007A5B2A">
        <w:rPr>
          <w:i/>
          <w:color w:val="000000"/>
          <w:lang w:val="en-US"/>
        </w:rPr>
        <w:t>Exchange rates and corporate</w:t>
      </w:r>
    </w:p>
    <w:p w:rsidR="0070099E" w:rsidRPr="0070099E" w:rsidRDefault="0070099E" w:rsidP="0070099E">
      <w:pPr>
        <w:autoSpaceDE w:val="0"/>
        <w:autoSpaceDN w:val="0"/>
        <w:adjustRightInd w:val="0"/>
        <w:spacing w:line="360" w:lineRule="auto"/>
        <w:jc w:val="both"/>
        <w:rPr>
          <w:color w:val="000000"/>
          <w:lang w:val="en-US"/>
        </w:rPr>
      </w:pPr>
      <w:proofErr w:type="gramStart"/>
      <w:r w:rsidRPr="007A5B2A">
        <w:rPr>
          <w:i/>
          <w:color w:val="000000"/>
          <w:lang w:val="en-US"/>
        </w:rPr>
        <w:t>performance</w:t>
      </w:r>
      <w:proofErr w:type="gramEnd"/>
      <w:r w:rsidRPr="0070099E">
        <w:rPr>
          <w:color w:val="000000"/>
          <w:lang w:val="en-US"/>
        </w:rPr>
        <w:t>, Irwin New York, v. 11, p. 49</w:t>
      </w:r>
      <w:r>
        <w:rPr>
          <w:color w:val="000000"/>
          <w:lang w:val="en-US"/>
        </w:rPr>
        <w:t>-</w:t>
      </w:r>
      <w:r w:rsidRPr="0070099E">
        <w:rPr>
          <w:color w:val="000000"/>
          <w:lang w:val="en-US"/>
        </w:rPr>
        <w:t>59, 1994.</w:t>
      </w:r>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BARTOV, E.; BODNAR, G. M. Firm valuation, earnings expectations, and the exchange-rate</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exposure</w:t>
      </w:r>
      <w:proofErr w:type="gramEnd"/>
      <w:r>
        <w:rPr>
          <w:color w:val="000000"/>
          <w:lang w:val="en-US"/>
        </w:rPr>
        <w:t xml:space="preserve"> eff</w:t>
      </w:r>
      <w:r w:rsidRPr="0070099E">
        <w:rPr>
          <w:color w:val="000000"/>
          <w:lang w:val="en-US"/>
        </w:rPr>
        <w:t xml:space="preserve">ect. </w:t>
      </w:r>
      <w:r w:rsidRPr="007A5B2A">
        <w:rPr>
          <w:i/>
          <w:color w:val="000000"/>
          <w:lang w:val="en-US"/>
        </w:rPr>
        <w:t>The journal of Finance</w:t>
      </w:r>
      <w:r w:rsidRPr="0070099E">
        <w:rPr>
          <w:color w:val="000000"/>
          <w:lang w:val="en-US"/>
        </w:rPr>
        <w:t>, Wiley Online Library, v. 49, n. 5, p. 1755</w:t>
      </w:r>
      <w:r>
        <w:rPr>
          <w:color w:val="000000"/>
          <w:lang w:val="en-US"/>
        </w:rPr>
        <w:t>-</w:t>
      </w:r>
      <w:r w:rsidRPr="0070099E">
        <w:rPr>
          <w:color w:val="000000"/>
          <w:lang w:val="en-US"/>
        </w:rPr>
        <w:t>1785, 1994.</w:t>
      </w:r>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BLACK, F. Studies of stock price volatility changes, proceedings of the 1976 meetings of the</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business</w:t>
      </w:r>
      <w:proofErr w:type="gramEnd"/>
      <w:r w:rsidRPr="0070099E">
        <w:rPr>
          <w:color w:val="000000"/>
          <w:lang w:val="en-US"/>
        </w:rPr>
        <w:t xml:space="preserve"> and economic statistics section. 177-191. In: American Statistical association. [</w:t>
      </w:r>
      <w:proofErr w:type="spellStart"/>
      <w:r w:rsidRPr="0070099E">
        <w:rPr>
          <w:color w:val="000000"/>
          <w:lang w:val="en-US"/>
        </w:rPr>
        <w:t>S.l</w:t>
      </w:r>
      <w:proofErr w:type="spellEnd"/>
      <w:r w:rsidRPr="0070099E">
        <w:rPr>
          <w:color w:val="000000"/>
          <w:lang w:val="en-US"/>
        </w:rPr>
        <w:t xml:space="preserve">.: </w:t>
      </w:r>
      <w:proofErr w:type="spellStart"/>
      <w:r w:rsidRPr="0070099E">
        <w:rPr>
          <w:color w:val="000000"/>
          <w:lang w:val="en-US"/>
        </w:rPr>
        <w:t>s.n</w:t>
      </w:r>
      <w:proofErr w:type="spellEnd"/>
      <w:r w:rsidRPr="0070099E">
        <w:rPr>
          <w:color w:val="000000"/>
          <w:lang w:val="en-US"/>
        </w:rPr>
        <w:t>.],</w:t>
      </w:r>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1976.</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 xml:space="preserve">BODART, V.; REDING, P. </w:t>
      </w:r>
      <w:r w:rsidRPr="007A5B2A">
        <w:rPr>
          <w:i/>
          <w:color w:val="000000"/>
          <w:lang w:val="en-US"/>
        </w:rPr>
        <w:t>Exchange rate regime.</w:t>
      </w:r>
      <w:proofErr w:type="gramEnd"/>
      <w:r w:rsidRPr="007A5B2A">
        <w:rPr>
          <w:i/>
          <w:color w:val="000000"/>
          <w:lang w:val="en-US"/>
        </w:rPr>
        <w:t xml:space="preserve"> </w:t>
      </w:r>
      <w:proofErr w:type="gramStart"/>
      <w:r w:rsidRPr="007A5B2A">
        <w:rPr>
          <w:i/>
          <w:color w:val="000000"/>
          <w:lang w:val="en-US"/>
        </w:rPr>
        <w:t>Volatility and International Correlation</w:t>
      </w:r>
      <w:r w:rsidRPr="0070099E">
        <w:rPr>
          <w:color w:val="000000"/>
          <w:lang w:val="en-US"/>
        </w:rPr>
        <w:t>, 1999.</w:t>
      </w:r>
      <w:proofErr w:type="gramEnd"/>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BOEHMER, E.; MASUMECI, J.; POULSEN, A. B. Event-study methodology under conditions</w:t>
      </w:r>
      <w:r>
        <w:rPr>
          <w:color w:val="000000"/>
          <w:lang w:val="en-US"/>
        </w:rPr>
        <w:t xml:space="preserve"> </w:t>
      </w:r>
      <w:r w:rsidRPr="0070099E">
        <w:rPr>
          <w:color w:val="000000"/>
          <w:lang w:val="en-US"/>
        </w:rPr>
        <w:t>of event-induced variance.</w:t>
      </w:r>
      <w:proofErr w:type="gramEnd"/>
      <w:r w:rsidRPr="0070099E">
        <w:rPr>
          <w:color w:val="000000"/>
          <w:lang w:val="en-US"/>
        </w:rPr>
        <w:t xml:space="preserve"> </w:t>
      </w:r>
      <w:r w:rsidRPr="007A5B2A">
        <w:rPr>
          <w:i/>
          <w:color w:val="000000"/>
          <w:lang w:val="en-US"/>
        </w:rPr>
        <w:t>Journal of Financial economics</w:t>
      </w:r>
      <w:r w:rsidRPr="0070099E">
        <w:rPr>
          <w:color w:val="000000"/>
          <w:lang w:val="en-US"/>
        </w:rPr>
        <w:t>, Elsevier, v. 30, n. 2, p. 253</w:t>
      </w:r>
      <w:r>
        <w:rPr>
          <w:color w:val="000000"/>
          <w:lang w:val="en-US"/>
        </w:rPr>
        <w:t>-</w:t>
      </w:r>
      <w:r w:rsidRPr="0070099E">
        <w:rPr>
          <w:color w:val="000000"/>
          <w:lang w:val="en-US"/>
        </w:rPr>
        <w:t>272, 1991.</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BOLLERSLEV.</w:t>
      </w:r>
      <w:proofErr w:type="gramEnd"/>
      <w:r w:rsidRPr="0070099E">
        <w:rPr>
          <w:color w:val="000000"/>
          <w:lang w:val="en-US"/>
        </w:rPr>
        <w:t xml:space="preserve"> </w:t>
      </w:r>
      <w:proofErr w:type="gramStart"/>
      <w:r w:rsidRPr="0070099E">
        <w:rPr>
          <w:color w:val="000000"/>
          <w:lang w:val="en-US"/>
        </w:rPr>
        <w:t>Generalized autoregressive condi</w:t>
      </w:r>
      <w:r w:rsidR="007A5B2A">
        <w:rPr>
          <w:color w:val="000000"/>
          <w:lang w:val="en-US"/>
        </w:rPr>
        <w:t xml:space="preserve">tional </w:t>
      </w:r>
      <w:proofErr w:type="spellStart"/>
      <w:r w:rsidR="007A5B2A">
        <w:rPr>
          <w:color w:val="000000"/>
          <w:lang w:val="en-US"/>
        </w:rPr>
        <w:t>heteroskedasticity</w:t>
      </w:r>
      <w:proofErr w:type="spellEnd"/>
      <w:r w:rsidR="007A5B2A">
        <w:rPr>
          <w:color w:val="000000"/>
          <w:lang w:val="en-US"/>
        </w:rPr>
        <w:t>.</w:t>
      </w:r>
      <w:proofErr w:type="gramEnd"/>
      <w:r w:rsidR="007A5B2A">
        <w:rPr>
          <w:color w:val="000000"/>
          <w:lang w:val="en-US"/>
        </w:rPr>
        <w:t xml:space="preserve"> </w:t>
      </w:r>
      <w:r w:rsidRPr="007A5B2A">
        <w:rPr>
          <w:i/>
          <w:color w:val="000000"/>
          <w:lang w:val="en-US"/>
        </w:rPr>
        <w:t>Journal of econometrics</w:t>
      </w:r>
      <w:r w:rsidRPr="0070099E">
        <w:rPr>
          <w:color w:val="000000"/>
          <w:lang w:val="en-US"/>
        </w:rPr>
        <w:t>, Elsevier, v. 31, n. 3, p. 307</w:t>
      </w:r>
      <w:r>
        <w:rPr>
          <w:color w:val="000000"/>
          <w:lang w:val="en-US"/>
        </w:rPr>
        <w:t>-</w:t>
      </w:r>
      <w:r w:rsidRPr="0070099E">
        <w:rPr>
          <w:color w:val="000000"/>
          <w:lang w:val="en-US"/>
        </w:rPr>
        <w:t>327, 1986.</w:t>
      </w:r>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 xml:space="preserve">BOLLERSLEV, T. </w:t>
      </w:r>
      <w:proofErr w:type="spellStart"/>
      <w:r w:rsidRPr="0070099E">
        <w:rPr>
          <w:color w:val="000000"/>
          <w:lang w:val="en-US"/>
        </w:rPr>
        <w:t>Modelling</w:t>
      </w:r>
      <w:proofErr w:type="spellEnd"/>
      <w:r w:rsidRPr="0070099E">
        <w:rPr>
          <w:color w:val="000000"/>
          <w:lang w:val="en-US"/>
        </w:rPr>
        <w:t xml:space="preserve"> the coherence in short-run nominal exchange rates: a multivariate</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generalized</w:t>
      </w:r>
      <w:proofErr w:type="gramEnd"/>
      <w:r w:rsidRPr="0070099E">
        <w:rPr>
          <w:color w:val="000000"/>
          <w:lang w:val="en-US"/>
        </w:rPr>
        <w:t xml:space="preserve"> arch model. </w:t>
      </w:r>
      <w:r w:rsidRPr="007A5B2A">
        <w:rPr>
          <w:i/>
          <w:color w:val="000000"/>
          <w:lang w:val="en-US"/>
        </w:rPr>
        <w:t>The review of economics and statistics</w:t>
      </w:r>
      <w:r w:rsidRPr="0070099E">
        <w:rPr>
          <w:color w:val="000000"/>
          <w:lang w:val="en-US"/>
        </w:rPr>
        <w:t>, JSTOR, p. 498</w:t>
      </w:r>
      <w:r>
        <w:rPr>
          <w:color w:val="000000"/>
          <w:lang w:val="en-US"/>
        </w:rPr>
        <w:t>-</w:t>
      </w:r>
      <w:r w:rsidRPr="0070099E">
        <w:rPr>
          <w:color w:val="000000"/>
          <w:lang w:val="en-US"/>
        </w:rPr>
        <w:t>505, 1990.</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BOLLERSLEV, T.; ENGLE, R. F.; WOOLDRIDGE, J. M.</w:t>
      </w:r>
      <w:proofErr w:type="gramEnd"/>
      <w:r w:rsidRPr="0070099E">
        <w:rPr>
          <w:color w:val="000000"/>
          <w:lang w:val="en-US"/>
        </w:rPr>
        <w:t xml:space="preserve"> A capital asset pricing model with</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time-varying</w:t>
      </w:r>
      <w:proofErr w:type="gramEnd"/>
      <w:r w:rsidRPr="0070099E">
        <w:rPr>
          <w:color w:val="000000"/>
          <w:lang w:val="en-US"/>
        </w:rPr>
        <w:t xml:space="preserve"> </w:t>
      </w:r>
      <w:proofErr w:type="spellStart"/>
      <w:r w:rsidRPr="0070099E">
        <w:rPr>
          <w:color w:val="000000"/>
          <w:lang w:val="en-US"/>
        </w:rPr>
        <w:t>covariances</w:t>
      </w:r>
      <w:proofErr w:type="spellEnd"/>
      <w:r w:rsidRPr="0070099E">
        <w:rPr>
          <w:color w:val="000000"/>
          <w:lang w:val="en-US"/>
        </w:rPr>
        <w:t xml:space="preserve">. </w:t>
      </w:r>
      <w:proofErr w:type="gramStart"/>
      <w:r w:rsidRPr="007A5B2A">
        <w:rPr>
          <w:i/>
          <w:color w:val="000000"/>
          <w:lang w:val="en-US"/>
        </w:rPr>
        <w:t>The Journal of Political Economy</w:t>
      </w:r>
      <w:r w:rsidRPr="0070099E">
        <w:rPr>
          <w:color w:val="000000"/>
          <w:lang w:val="en-US"/>
        </w:rPr>
        <w:t>, JSTOR, p. 116</w:t>
      </w:r>
      <w:r>
        <w:rPr>
          <w:color w:val="000000"/>
          <w:lang w:val="en-US"/>
        </w:rPr>
        <w:t>-</w:t>
      </w:r>
      <w:r w:rsidRPr="0070099E">
        <w:rPr>
          <w:color w:val="000000"/>
          <w:lang w:val="en-US"/>
        </w:rPr>
        <w:t>131, 1988.</w:t>
      </w:r>
      <w:proofErr w:type="gramEnd"/>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BOOTH, L.; ROTENBERG, W. Assessing foreign exchange exposure: Theory and application</w:t>
      </w:r>
      <w:r>
        <w:rPr>
          <w:color w:val="000000"/>
          <w:lang w:val="en-US"/>
        </w:rPr>
        <w:t xml:space="preserve"> </w:t>
      </w:r>
      <w:r w:rsidRPr="0070099E">
        <w:rPr>
          <w:color w:val="000000"/>
          <w:lang w:val="en-US"/>
        </w:rPr>
        <w:t xml:space="preserve">using </w:t>
      </w:r>
      <w:r>
        <w:rPr>
          <w:color w:val="000000"/>
          <w:lang w:val="en-US"/>
        </w:rPr>
        <w:t>Canadian fi</w:t>
      </w:r>
      <w:r w:rsidRPr="0070099E">
        <w:rPr>
          <w:color w:val="000000"/>
          <w:lang w:val="en-US"/>
        </w:rPr>
        <w:t xml:space="preserve">rms. </w:t>
      </w:r>
      <w:r w:rsidRPr="007A5B2A">
        <w:rPr>
          <w:i/>
          <w:color w:val="000000"/>
          <w:lang w:val="en-US"/>
        </w:rPr>
        <w:t>Journal of International Financial Management &amp; Accounting</w:t>
      </w:r>
      <w:r w:rsidRPr="0070099E">
        <w:rPr>
          <w:color w:val="000000"/>
          <w:lang w:val="en-US"/>
        </w:rPr>
        <w:t>, Wiley</w:t>
      </w:r>
      <w:r>
        <w:rPr>
          <w:color w:val="000000"/>
          <w:lang w:val="en-US"/>
        </w:rPr>
        <w:t xml:space="preserve"> </w:t>
      </w:r>
      <w:r w:rsidRPr="0070099E">
        <w:rPr>
          <w:color w:val="000000"/>
          <w:lang w:val="en-US"/>
        </w:rPr>
        <w:t>Online Library, v. 2, n. 1, p. 1</w:t>
      </w:r>
      <w:r>
        <w:rPr>
          <w:color w:val="000000"/>
          <w:lang w:val="en-US"/>
        </w:rPr>
        <w:t>-</w:t>
      </w:r>
      <w:r w:rsidRPr="0070099E">
        <w:rPr>
          <w:color w:val="000000"/>
          <w:lang w:val="en-US"/>
        </w:rPr>
        <w:t>22, 1990.</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BOTOSAN, C. A.; PLUMLEE, M. A.; XIE, Y.</w:t>
      </w:r>
      <w:proofErr w:type="gramEnd"/>
      <w:r w:rsidRPr="0070099E">
        <w:rPr>
          <w:color w:val="000000"/>
          <w:lang w:val="en-US"/>
        </w:rPr>
        <w:t xml:space="preserve"> The role of information precision in determining</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the</w:t>
      </w:r>
      <w:proofErr w:type="gramEnd"/>
      <w:r w:rsidRPr="0070099E">
        <w:rPr>
          <w:color w:val="000000"/>
          <w:lang w:val="en-US"/>
        </w:rPr>
        <w:t xml:space="preserve"> cost of equity capital. </w:t>
      </w:r>
      <w:proofErr w:type="gramStart"/>
      <w:r w:rsidRPr="007A5B2A">
        <w:rPr>
          <w:i/>
          <w:color w:val="000000"/>
          <w:lang w:val="en-US"/>
        </w:rPr>
        <w:t>Review of Accounting Studies</w:t>
      </w:r>
      <w:r w:rsidRPr="0070099E">
        <w:rPr>
          <w:color w:val="000000"/>
          <w:lang w:val="en-US"/>
        </w:rPr>
        <w:t>, Springer, v. 9, n. 2-3, p. 233</w:t>
      </w:r>
      <w:r>
        <w:rPr>
          <w:color w:val="000000"/>
          <w:lang w:val="en-US"/>
        </w:rPr>
        <w:t>-</w:t>
      </w:r>
      <w:r w:rsidRPr="0070099E">
        <w:rPr>
          <w:color w:val="000000"/>
          <w:lang w:val="en-US"/>
        </w:rPr>
        <w:t>259, 2004.</w:t>
      </w:r>
      <w:proofErr w:type="gramEnd"/>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BRENNAN, M. J.; SUBRAHMANYAM, A. Investment analysis and price formation in securities</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markets</w:t>
      </w:r>
      <w:proofErr w:type="gramEnd"/>
      <w:r w:rsidRPr="0070099E">
        <w:rPr>
          <w:color w:val="000000"/>
          <w:lang w:val="en-US"/>
        </w:rPr>
        <w:t xml:space="preserve">. </w:t>
      </w:r>
      <w:r w:rsidRPr="007A5B2A">
        <w:rPr>
          <w:i/>
          <w:color w:val="000000"/>
          <w:lang w:val="en-US"/>
        </w:rPr>
        <w:t xml:space="preserve">Journal </w:t>
      </w:r>
      <w:proofErr w:type="gramStart"/>
      <w:r w:rsidRPr="007A5B2A">
        <w:rPr>
          <w:i/>
          <w:color w:val="000000"/>
          <w:lang w:val="en-US"/>
        </w:rPr>
        <w:t>of  Financial</w:t>
      </w:r>
      <w:proofErr w:type="gramEnd"/>
      <w:r w:rsidRPr="007A5B2A">
        <w:rPr>
          <w:i/>
          <w:color w:val="000000"/>
          <w:lang w:val="en-US"/>
        </w:rPr>
        <w:t xml:space="preserve"> economics</w:t>
      </w:r>
      <w:r w:rsidRPr="0070099E">
        <w:rPr>
          <w:color w:val="000000"/>
          <w:lang w:val="en-US"/>
        </w:rPr>
        <w:t>, Elsevier, v. 38, n. 3, p. 361</w:t>
      </w:r>
      <w:r>
        <w:rPr>
          <w:color w:val="000000"/>
          <w:lang w:val="en-US"/>
        </w:rPr>
        <w:t>-</w:t>
      </w:r>
      <w:r w:rsidRPr="0070099E">
        <w:rPr>
          <w:color w:val="000000"/>
          <w:lang w:val="en-US"/>
        </w:rPr>
        <w:t>381, 1995.</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BROOKS, C.; REW, A. G.; RITSON, S.</w:t>
      </w:r>
      <w:proofErr w:type="gramEnd"/>
      <w:r w:rsidRPr="0070099E">
        <w:rPr>
          <w:color w:val="000000"/>
          <w:lang w:val="en-US"/>
        </w:rPr>
        <w:t xml:space="preserve"> A trading strategy based on the lead</w:t>
      </w:r>
      <w:r>
        <w:rPr>
          <w:color w:val="000000"/>
          <w:lang w:val="en-US"/>
        </w:rPr>
        <w:t>-</w:t>
      </w:r>
      <w:r w:rsidRPr="0070099E">
        <w:rPr>
          <w:color w:val="000000"/>
          <w:lang w:val="en-US"/>
        </w:rPr>
        <w:t>lag relationship</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between</w:t>
      </w:r>
      <w:proofErr w:type="gramEnd"/>
      <w:r w:rsidRPr="0070099E">
        <w:rPr>
          <w:color w:val="000000"/>
          <w:lang w:val="en-US"/>
        </w:rPr>
        <w:t xml:space="preserve"> the spot index and futures contract for the </w:t>
      </w:r>
      <w:proofErr w:type="spellStart"/>
      <w:r w:rsidRPr="0070099E">
        <w:rPr>
          <w:color w:val="000000"/>
          <w:lang w:val="en-US"/>
        </w:rPr>
        <w:t>ftse</w:t>
      </w:r>
      <w:proofErr w:type="spellEnd"/>
      <w:r w:rsidRPr="0070099E">
        <w:rPr>
          <w:color w:val="000000"/>
          <w:lang w:val="en-US"/>
        </w:rPr>
        <w:t xml:space="preserve"> 100. </w:t>
      </w:r>
      <w:r w:rsidRPr="007A5B2A">
        <w:rPr>
          <w:i/>
          <w:color w:val="000000"/>
          <w:lang w:val="en-US"/>
        </w:rPr>
        <w:t>International Journal of Forecasting</w:t>
      </w:r>
      <w:r w:rsidRPr="0070099E">
        <w:rPr>
          <w:color w:val="000000"/>
          <w:lang w:val="en-US"/>
        </w:rPr>
        <w:t>,</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Elsevier, v. 17, n. 1, p. 31</w:t>
      </w:r>
      <w:r>
        <w:rPr>
          <w:color w:val="000000"/>
          <w:lang w:val="en-US"/>
        </w:rPr>
        <w:t>-</w:t>
      </w:r>
      <w:r w:rsidRPr="0070099E">
        <w:rPr>
          <w:color w:val="000000"/>
          <w:lang w:val="en-US"/>
        </w:rPr>
        <w:t>44, 2001.</w:t>
      </w:r>
      <w:proofErr w:type="gramEnd"/>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BUSHMAN, R. et al. Financial accounting information, organizational complexity and corporate</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governance</w:t>
      </w:r>
      <w:proofErr w:type="gramEnd"/>
      <w:r w:rsidRPr="0070099E">
        <w:rPr>
          <w:color w:val="000000"/>
          <w:lang w:val="en-US"/>
        </w:rPr>
        <w:t xml:space="preserve"> systems</w:t>
      </w:r>
      <w:r w:rsidRPr="007A5B2A">
        <w:rPr>
          <w:i/>
          <w:color w:val="000000"/>
          <w:lang w:val="en-US"/>
        </w:rPr>
        <w:t xml:space="preserve">. </w:t>
      </w:r>
      <w:proofErr w:type="gramStart"/>
      <w:r w:rsidRPr="007A5B2A">
        <w:rPr>
          <w:i/>
          <w:color w:val="000000"/>
          <w:lang w:val="en-US"/>
        </w:rPr>
        <w:t>Journal of Accounting and Economics</w:t>
      </w:r>
      <w:r w:rsidRPr="0070099E">
        <w:rPr>
          <w:color w:val="000000"/>
          <w:lang w:val="en-US"/>
        </w:rPr>
        <w:t>, Elsevier, v. 37, n. 2, p. 167</w:t>
      </w:r>
      <w:r>
        <w:rPr>
          <w:color w:val="000000"/>
          <w:lang w:val="en-US"/>
        </w:rPr>
        <w:t>-</w:t>
      </w:r>
      <w:r w:rsidRPr="0070099E">
        <w:rPr>
          <w:color w:val="000000"/>
          <w:lang w:val="en-US"/>
        </w:rPr>
        <w:t>201, 2004.</w:t>
      </w:r>
      <w:proofErr w:type="gramEnd"/>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 xml:space="preserve">BYRNE, A.; BROOKS, M. </w:t>
      </w:r>
      <w:r w:rsidRPr="007A5B2A">
        <w:rPr>
          <w:i/>
          <w:color w:val="000000"/>
          <w:lang w:val="en-US"/>
        </w:rPr>
        <w:t>Behavioral Finance: Theories and evidence</w:t>
      </w:r>
      <w:r w:rsidRPr="0070099E">
        <w:rPr>
          <w:color w:val="000000"/>
          <w:lang w:val="en-US"/>
        </w:rPr>
        <w:t>. CFA Institute, 2008.</w:t>
      </w:r>
    </w:p>
    <w:p w:rsidR="0070099E" w:rsidRPr="0070099E" w:rsidRDefault="0070099E" w:rsidP="0070099E">
      <w:pPr>
        <w:autoSpaceDE w:val="0"/>
        <w:autoSpaceDN w:val="0"/>
        <w:adjustRightInd w:val="0"/>
        <w:spacing w:line="360" w:lineRule="auto"/>
        <w:jc w:val="both"/>
        <w:rPr>
          <w:color w:val="000000"/>
        </w:rPr>
      </w:pPr>
      <w:r w:rsidRPr="0070099E">
        <w:rPr>
          <w:color w:val="000000"/>
        </w:rPr>
        <w:t>CALDEIRA, A. M.; SOUZA, R. C.; MACHADO, M. A. S. Identi</w:t>
      </w:r>
      <w:r w:rsidR="007A5B2A">
        <w:rPr>
          <w:color w:val="000000"/>
        </w:rPr>
        <w:t>fi</w:t>
      </w:r>
      <w:r w:rsidRPr="0070099E">
        <w:rPr>
          <w:color w:val="000000"/>
        </w:rPr>
        <w:t>ca</w:t>
      </w:r>
      <w:r>
        <w:rPr>
          <w:color w:val="000000"/>
        </w:rPr>
        <w:t>ção</w:t>
      </w:r>
      <w:r w:rsidRPr="0070099E">
        <w:rPr>
          <w:color w:val="000000"/>
        </w:rPr>
        <w:t xml:space="preserve"> autom</w:t>
      </w:r>
      <w:r>
        <w:rPr>
          <w:color w:val="000000"/>
        </w:rPr>
        <w:t>á</w:t>
      </w:r>
      <w:r w:rsidRPr="0070099E">
        <w:rPr>
          <w:color w:val="000000"/>
        </w:rPr>
        <w:t xml:space="preserve">tica das </w:t>
      </w:r>
      <w:proofErr w:type="gramStart"/>
      <w:r w:rsidRPr="0070099E">
        <w:rPr>
          <w:color w:val="000000"/>
        </w:rPr>
        <w:t>ordens</w:t>
      </w:r>
      <w:proofErr w:type="gramEnd"/>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rPr>
        <w:t>dos</w:t>
      </w:r>
      <w:proofErr w:type="gramEnd"/>
      <w:r w:rsidRPr="0070099E">
        <w:rPr>
          <w:color w:val="000000"/>
        </w:rPr>
        <w:t xml:space="preserve"> modelos </w:t>
      </w:r>
      <w:proofErr w:type="spellStart"/>
      <w:r w:rsidRPr="0070099E">
        <w:rPr>
          <w:color w:val="000000"/>
        </w:rPr>
        <w:t>garch</w:t>
      </w:r>
      <w:proofErr w:type="spellEnd"/>
      <w:r w:rsidRPr="0070099E">
        <w:rPr>
          <w:color w:val="000000"/>
        </w:rPr>
        <w:t xml:space="preserve"> utilizando redes neurais. </w:t>
      </w:r>
      <w:proofErr w:type="gramStart"/>
      <w:r w:rsidRPr="0070099E">
        <w:rPr>
          <w:color w:val="000000"/>
          <w:lang w:val="en-US"/>
        </w:rPr>
        <w:t>ENGEVISTA, v. 11, n. 2, 2010.</w:t>
      </w:r>
      <w:proofErr w:type="gramEnd"/>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CARRUTH, A.; DICKERSON, A.; HENLEY, A.</w:t>
      </w:r>
      <w:proofErr w:type="gramEnd"/>
      <w:r w:rsidRPr="0070099E">
        <w:rPr>
          <w:color w:val="000000"/>
          <w:lang w:val="en-US"/>
        </w:rPr>
        <w:t xml:space="preserve"> What do we know about investment </w:t>
      </w:r>
      <w:proofErr w:type="gramStart"/>
      <w:r w:rsidRPr="0070099E">
        <w:rPr>
          <w:color w:val="000000"/>
          <w:lang w:val="en-US"/>
        </w:rPr>
        <w:t>under</w:t>
      </w:r>
      <w:proofErr w:type="gramEnd"/>
    </w:p>
    <w:p w:rsid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uncertainty</w:t>
      </w:r>
      <w:proofErr w:type="gramEnd"/>
      <w:r w:rsidRPr="0070099E">
        <w:rPr>
          <w:color w:val="000000"/>
          <w:lang w:val="en-US"/>
        </w:rPr>
        <w:t xml:space="preserve">? </w:t>
      </w:r>
      <w:proofErr w:type="gramStart"/>
      <w:r w:rsidRPr="007A5B2A">
        <w:rPr>
          <w:i/>
          <w:color w:val="000000"/>
          <w:lang w:val="en-US"/>
        </w:rPr>
        <w:t>Journal of Economic Surveys</w:t>
      </w:r>
      <w:r w:rsidRPr="0070099E">
        <w:rPr>
          <w:color w:val="000000"/>
          <w:lang w:val="en-US"/>
        </w:rPr>
        <w:t>, Wiley Online Library, v. 14, n. 2, p. 119</w:t>
      </w:r>
      <w:r>
        <w:rPr>
          <w:color w:val="000000"/>
          <w:lang w:val="en-US"/>
        </w:rPr>
        <w:t>-</w:t>
      </w:r>
      <w:r w:rsidRPr="0070099E">
        <w:rPr>
          <w:color w:val="000000"/>
          <w:lang w:val="en-US"/>
        </w:rPr>
        <w:t>154, 2000.</w:t>
      </w:r>
      <w:proofErr w:type="gramEnd"/>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lastRenderedPageBreak/>
        <w:t>CHEN, J.; NAYLOR, M.; LU, X.</w:t>
      </w:r>
      <w:proofErr w:type="gramEnd"/>
      <w:r w:rsidRPr="0070099E">
        <w:rPr>
          <w:color w:val="000000"/>
          <w:lang w:val="en-US"/>
        </w:rPr>
        <w:t xml:space="preserve"> Some insights into the foreign exchange pricing puzzle: Evidence</w:t>
      </w:r>
      <w:r w:rsidR="003930DC">
        <w:rPr>
          <w:color w:val="000000"/>
          <w:lang w:val="en-US"/>
        </w:rPr>
        <w:t xml:space="preserve"> </w:t>
      </w:r>
      <w:r w:rsidRPr="0070099E">
        <w:rPr>
          <w:color w:val="000000"/>
          <w:lang w:val="en-US"/>
        </w:rPr>
        <w:t xml:space="preserve">from a small open economy. </w:t>
      </w:r>
      <w:proofErr w:type="gramStart"/>
      <w:r w:rsidRPr="0070099E">
        <w:rPr>
          <w:color w:val="000000"/>
          <w:lang w:val="en-US"/>
        </w:rPr>
        <w:t>Paci</w:t>
      </w:r>
      <w:r w:rsidR="003930DC">
        <w:rPr>
          <w:color w:val="000000"/>
          <w:lang w:val="en-US"/>
        </w:rPr>
        <w:t>fi</w:t>
      </w:r>
      <w:r w:rsidRPr="0070099E">
        <w:rPr>
          <w:color w:val="000000"/>
          <w:lang w:val="en-US"/>
        </w:rPr>
        <w:t xml:space="preserve">c-Basin </w:t>
      </w:r>
      <w:r w:rsidRPr="007A5B2A">
        <w:rPr>
          <w:i/>
          <w:color w:val="000000"/>
          <w:lang w:val="en-US"/>
        </w:rPr>
        <w:t>Finance Journal</w:t>
      </w:r>
      <w:r w:rsidRPr="0070099E">
        <w:rPr>
          <w:color w:val="000000"/>
          <w:lang w:val="en-US"/>
        </w:rPr>
        <w:t>, Elsevier, v. 12, n. 1, p. 41</w:t>
      </w:r>
      <w:r w:rsidR="003930DC">
        <w:rPr>
          <w:color w:val="000000"/>
          <w:lang w:val="en-US"/>
        </w:rPr>
        <w:t>-</w:t>
      </w:r>
      <w:r w:rsidRPr="0070099E">
        <w:rPr>
          <w:color w:val="000000"/>
          <w:lang w:val="en-US"/>
        </w:rPr>
        <w:t>64, 2004.</w:t>
      </w:r>
      <w:proofErr w:type="gramEnd"/>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CHEUNG, Y.-W.; NG, L. K.</w:t>
      </w:r>
      <w:proofErr w:type="gramEnd"/>
      <w:r w:rsidRPr="0070099E">
        <w:rPr>
          <w:color w:val="000000"/>
          <w:lang w:val="en-US"/>
        </w:rPr>
        <w:t xml:space="preserve"> A causality-in-variance test and its application to</w:t>
      </w:r>
      <w:r w:rsidR="003930DC">
        <w:rPr>
          <w:color w:val="000000"/>
          <w:lang w:val="en-US"/>
        </w:rPr>
        <w:t xml:space="preserve"> fi</w:t>
      </w:r>
      <w:r w:rsidRPr="0070099E">
        <w:rPr>
          <w:color w:val="000000"/>
          <w:lang w:val="en-US"/>
        </w:rPr>
        <w:t>nancial market</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prices</w:t>
      </w:r>
      <w:proofErr w:type="gramEnd"/>
      <w:r w:rsidRPr="0070099E">
        <w:rPr>
          <w:color w:val="000000"/>
          <w:lang w:val="en-US"/>
        </w:rPr>
        <w:t xml:space="preserve">. </w:t>
      </w:r>
      <w:proofErr w:type="gramStart"/>
      <w:r w:rsidRPr="007A5B2A">
        <w:rPr>
          <w:i/>
          <w:color w:val="000000"/>
          <w:lang w:val="en-US"/>
        </w:rPr>
        <w:t>Journal of Econometrics</w:t>
      </w:r>
      <w:r w:rsidRPr="0070099E">
        <w:rPr>
          <w:color w:val="000000"/>
          <w:lang w:val="en-US"/>
        </w:rPr>
        <w:t>, Elsevier, v. 72, n. 1, p. 33</w:t>
      </w:r>
      <w:r w:rsidR="003930DC">
        <w:rPr>
          <w:color w:val="000000"/>
          <w:lang w:val="en-US"/>
        </w:rPr>
        <w:t>-</w:t>
      </w:r>
      <w:r w:rsidRPr="0070099E">
        <w:rPr>
          <w:color w:val="000000"/>
          <w:lang w:val="en-US"/>
        </w:rPr>
        <w:t>48, 1996.</w:t>
      </w:r>
      <w:proofErr w:type="gramEnd"/>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 xml:space="preserve">CHKILI, W.; NGUYEN, D. K. Exchange rate movements and stock market </w:t>
      </w:r>
      <w:proofErr w:type="gramStart"/>
      <w:r w:rsidRPr="0070099E">
        <w:rPr>
          <w:color w:val="000000"/>
          <w:lang w:val="en-US"/>
        </w:rPr>
        <w:t>returns</w:t>
      </w:r>
      <w:proofErr w:type="gramEnd"/>
      <w:r w:rsidRPr="0070099E">
        <w:rPr>
          <w:color w:val="000000"/>
          <w:lang w:val="en-US"/>
        </w:rPr>
        <w:t xml:space="preserve"> in a</w:t>
      </w:r>
      <w:r w:rsidR="003930DC">
        <w:rPr>
          <w:color w:val="000000"/>
          <w:lang w:val="en-US"/>
        </w:rPr>
        <w:t xml:space="preserve"> </w:t>
      </w:r>
      <w:r w:rsidRPr="0070099E">
        <w:rPr>
          <w:color w:val="000000"/>
          <w:lang w:val="en-US"/>
        </w:rPr>
        <w:t xml:space="preserve">regime-switching environment: Evidence for </w:t>
      </w:r>
      <w:proofErr w:type="spellStart"/>
      <w:r w:rsidRPr="0070099E">
        <w:rPr>
          <w:color w:val="000000"/>
          <w:lang w:val="en-US"/>
        </w:rPr>
        <w:t>brics</w:t>
      </w:r>
      <w:proofErr w:type="spellEnd"/>
      <w:r w:rsidRPr="0070099E">
        <w:rPr>
          <w:color w:val="000000"/>
          <w:lang w:val="en-US"/>
        </w:rPr>
        <w:t xml:space="preserve"> countries. </w:t>
      </w:r>
      <w:proofErr w:type="gramStart"/>
      <w:r w:rsidRPr="007A5B2A">
        <w:rPr>
          <w:i/>
          <w:color w:val="000000"/>
          <w:lang w:val="en-US"/>
        </w:rPr>
        <w:t>Research in International Business</w:t>
      </w:r>
      <w:r w:rsidR="003930DC" w:rsidRPr="007A5B2A">
        <w:rPr>
          <w:i/>
          <w:color w:val="000000"/>
          <w:lang w:val="en-US"/>
        </w:rPr>
        <w:t xml:space="preserve"> </w:t>
      </w:r>
      <w:r w:rsidRPr="007A5B2A">
        <w:rPr>
          <w:i/>
          <w:color w:val="000000"/>
          <w:lang w:val="en-US"/>
        </w:rPr>
        <w:t>and Finance</w:t>
      </w:r>
      <w:r w:rsidRPr="0070099E">
        <w:rPr>
          <w:color w:val="000000"/>
          <w:lang w:val="en-US"/>
        </w:rPr>
        <w:t>, Elsevier, v. 31, p. 46</w:t>
      </w:r>
      <w:r w:rsidR="003930DC">
        <w:rPr>
          <w:color w:val="000000"/>
          <w:lang w:val="en-US"/>
        </w:rPr>
        <w:t>-</w:t>
      </w:r>
      <w:r w:rsidRPr="0070099E">
        <w:rPr>
          <w:color w:val="000000"/>
          <w:lang w:val="en-US"/>
        </w:rPr>
        <w:t>56, 2014.</w:t>
      </w:r>
      <w:proofErr w:type="gramEnd"/>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CHRISTIE, A. A. The stochastic behavior of common stock variances: Value, leverage and</w:t>
      </w:r>
      <w:r w:rsidR="003930DC">
        <w:rPr>
          <w:color w:val="000000"/>
          <w:lang w:val="en-US"/>
        </w:rPr>
        <w:t xml:space="preserve"> </w:t>
      </w:r>
      <w:r w:rsidRPr="0070099E">
        <w:rPr>
          <w:color w:val="000000"/>
          <w:lang w:val="en-US"/>
        </w:rPr>
        <w:t>interest</w:t>
      </w:r>
      <w:r w:rsidR="003930DC">
        <w:rPr>
          <w:color w:val="000000"/>
          <w:lang w:val="en-US"/>
        </w:rPr>
        <w:t xml:space="preserve"> </w:t>
      </w:r>
      <w:r w:rsidRPr="0070099E">
        <w:rPr>
          <w:color w:val="000000"/>
          <w:lang w:val="en-US"/>
        </w:rPr>
        <w:t>rate e</w:t>
      </w:r>
      <w:r w:rsidR="003930DC">
        <w:rPr>
          <w:color w:val="000000"/>
          <w:lang w:val="en-US"/>
        </w:rPr>
        <w:t xml:space="preserve"> </w:t>
      </w:r>
      <w:proofErr w:type="spellStart"/>
      <w:r w:rsidRPr="0070099E">
        <w:rPr>
          <w:color w:val="000000"/>
          <w:lang w:val="en-US"/>
        </w:rPr>
        <w:t>ects</w:t>
      </w:r>
      <w:proofErr w:type="spellEnd"/>
      <w:r w:rsidRPr="0070099E">
        <w:rPr>
          <w:color w:val="000000"/>
          <w:lang w:val="en-US"/>
        </w:rPr>
        <w:t xml:space="preserve">. </w:t>
      </w:r>
      <w:r w:rsidRPr="007A5B2A">
        <w:rPr>
          <w:i/>
          <w:color w:val="000000"/>
          <w:lang w:val="en-US"/>
        </w:rPr>
        <w:t xml:space="preserve">Journal </w:t>
      </w:r>
      <w:proofErr w:type="gramStart"/>
      <w:r w:rsidRPr="007A5B2A">
        <w:rPr>
          <w:i/>
          <w:color w:val="000000"/>
          <w:lang w:val="en-US"/>
        </w:rPr>
        <w:t xml:space="preserve">of </w:t>
      </w:r>
      <w:r w:rsidR="003930DC" w:rsidRPr="007A5B2A">
        <w:rPr>
          <w:i/>
          <w:color w:val="000000"/>
          <w:lang w:val="en-US"/>
        </w:rPr>
        <w:t xml:space="preserve"> Fi</w:t>
      </w:r>
      <w:r w:rsidRPr="007A5B2A">
        <w:rPr>
          <w:i/>
          <w:color w:val="000000"/>
          <w:lang w:val="en-US"/>
        </w:rPr>
        <w:t>nancial</w:t>
      </w:r>
      <w:proofErr w:type="gramEnd"/>
      <w:r w:rsidRPr="007A5B2A">
        <w:rPr>
          <w:i/>
          <w:color w:val="000000"/>
          <w:lang w:val="en-US"/>
        </w:rPr>
        <w:t xml:space="preserve"> Economics</w:t>
      </w:r>
      <w:r w:rsidRPr="0070099E">
        <w:rPr>
          <w:color w:val="000000"/>
          <w:lang w:val="en-US"/>
        </w:rPr>
        <w:t>, Elsevier, v. 10, n. 4, p. 407</w:t>
      </w:r>
      <w:r w:rsidR="003930DC">
        <w:rPr>
          <w:color w:val="000000"/>
          <w:lang w:val="en-US"/>
        </w:rPr>
        <w:t>-</w:t>
      </w:r>
      <w:r w:rsidRPr="0070099E">
        <w:rPr>
          <w:color w:val="000000"/>
          <w:lang w:val="en-US"/>
        </w:rPr>
        <w:t>432, 1982.</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 xml:space="preserve">COMTE, F.; LIEBERMAN, O. Asymptotic theory for multivariate </w:t>
      </w:r>
      <w:proofErr w:type="spellStart"/>
      <w:r w:rsidRPr="0070099E">
        <w:rPr>
          <w:color w:val="000000"/>
          <w:lang w:val="en-US"/>
        </w:rPr>
        <w:t>garch</w:t>
      </w:r>
      <w:proofErr w:type="spellEnd"/>
      <w:r w:rsidRPr="0070099E">
        <w:rPr>
          <w:color w:val="000000"/>
          <w:lang w:val="en-US"/>
        </w:rPr>
        <w:t xml:space="preserve"> processes.</w:t>
      </w:r>
      <w:proofErr w:type="gramEnd"/>
      <w:r w:rsidRPr="0070099E">
        <w:rPr>
          <w:color w:val="000000"/>
          <w:lang w:val="en-US"/>
        </w:rPr>
        <w:t xml:space="preserve"> </w:t>
      </w:r>
      <w:proofErr w:type="gramStart"/>
      <w:r w:rsidRPr="007A5B2A">
        <w:rPr>
          <w:i/>
          <w:color w:val="000000"/>
          <w:lang w:val="en-US"/>
        </w:rPr>
        <w:t>Journal of</w:t>
      </w:r>
      <w:r w:rsidR="003930DC" w:rsidRPr="007A5B2A">
        <w:rPr>
          <w:i/>
          <w:color w:val="000000"/>
          <w:lang w:val="en-US"/>
        </w:rPr>
        <w:t xml:space="preserve"> </w:t>
      </w:r>
      <w:r w:rsidRPr="007A5B2A">
        <w:rPr>
          <w:i/>
          <w:color w:val="000000"/>
          <w:lang w:val="en-US"/>
        </w:rPr>
        <w:t>Multivariate Analysis</w:t>
      </w:r>
      <w:r w:rsidRPr="0070099E">
        <w:rPr>
          <w:color w:val="000000"/>
          <w:lang w:val="en-US"/>
        </w:rPr>
        <w:t>, Elsevier, v. 84, n. 1, p. 61</w:t>
      </w:r>
      <w:r w:rsidR="003930DC">
        <w:rPr>
          <w:color w:val="000000"/>
          <w:lang w:val="en-US"/>
        </w:rPr>
        <w:t>-</w:t>
      </w:r>
      <w:r w:rsidRPr="0070099E">
        <w:rPr>
          <w:color w:val="000000"/>
          <w:lang w:val="en-US"/>
        </w:rPr>
        <w:t>84, 2003.</w:t>
      </w:r>
      <w:proofErr w:type="gramEnd"/>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 xml:space="preserve">DAIGLER, R. T. </w:t>
      </w:r>
      <w:r w:rsidRPr="00A4200B">
        <w:rPr>
          <w:i/>
          <w:color w:val="000000"/>
          <w:lang w:val="en-US"/>
        </w:rPr>
        <w:t>Intraday stock index futures arbitrage with time lag e</w:t>
      </w:r>
      <w:r w:rsidRPr="00A4200B">
        <w:rPr>
          <w:i/>
          <w:color w:val="000000"/>
          <w:lang w:val="en-US"/>
        </w:rPr>
        <w:br/>
        <w:t>e</w:t>
      </w:r>
      <w:r w:rsidR="00A4200B">
        <w:rPr>
          <w:i/>
          <w:color w:val="000000"/>
          <w:lang w:val="en-US"/>
        </w:rPr>
        <w:t>ffe</w:t>
      </w:r>
      <w:r w:rsidRPr="00A4200B">
        <w:rPr>
          <w:i/>
          <w:color w:val="000000"/>
          <w:lang w:val="en-US"/>
        </w:rPr>
        <w:t>cts</w:t>
      </w:r>
      <w:r w:rsidRPr="0070099E">
        <w:rPr>
          <w:color w:val="000000"/>
          <w:lang w:val="en-US"/>
        </w:rPr>
        <w:t xml:space="preserve">. </w:t>
      </w:r>
      <w:proofErr w:type="gramStart"/>
      <w:r w:rsidRPr="0070099E">
        <w:rPr>
          <w:color w:val="000000"/>
          <w:lang w:val="en-US"/>
        </w:rPr>
        <w:t>working</w:t>
      </w:r>
      <w:proofErr w:type="gramEnd"/>
      <w:r w:rsidRPr="0070099E">
        <w:rPr>
          <w:color w:val="000000"/>
          <w:lang w:val="en-US"/>
        </w:rPr>
        <w:t xml:space="preserve"> paper,</w:t>
      </w:r>
      <w:r w:rsidR="003930DC">
        <w:rPr>
          <w:color w:val="000000"/>
          <w:lang w:val="en-US"/>
        </w:rPr>
        <w:t xml:space="preserve"> </w:t>
      </w:r>
      <w:r w:rsidRPr="0070099E">
        <w:rPr>
          <w:color w:val="000000"/>
          <w:lang w:val="en-US"/>
        </w:rPr>
        <w:t>1990.</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DARBY, J. et al.</w:t>
      </w:r>
      <w:proofErr w:type="gramEnd"/>
      <w:r w:rsidRPr="0070099E">
        <w:rPr>
          <w:color w:val="000000"/>
          <w:lang w:val="en-US"/>
        </w:rPr>
        <w:t xml:space="preserve"> </w:t>
      </w:r>
      <w:proofErr w:type="gramStart"/>
      <w:r w:rsidRPr="0070099E">
        <w:rPr>
          <w:color w:val="000000"/>
          <w:lang w:val="en-US"/>
        </w:rPr>
        <w:t>The impact of exchange rate uncertainty on the level of investment.</w:t>
      </w:r>
      <w:proofErr w:type="gramEnd"/>
      <w:r w:rsidRPr="0070099E">
        <w:rPr>
          <w:color w:val="000000"/>
          <w:lang w:val="en-US"/>
        </w:rPr>
        <w:t xml:space="preserve"> </w:t>
      </w:r>
      <w:r w:rsidRPr="007A5B2A">
        <w:rPr>
          <w:i/>
          <w:color w:val="000000"/>
          <w:lang w:val="en-US"/>
        </w:rPr>
        <w:t>The</w:t>
      </w:r>
      <w:r w:rsidR="003930DC" w:rsidRPr="007A5B2A">
        <w:rPr>
          <w:i/>
          <w:color w:val="000000"/>
          <w:lang w:val="en-US"/>
        </w:rPr>
        <w:t xml:space="preserve"> </w:t>
      </w:r>
      <w:r w:rsidRPr="007A5B2A">
        <w:rPr>
          <w:i/>
          <w:color w:val="000000"/>
          <w:lang w:val="en-US"/>
        </w:rPr>
        <w:t>Economic Journal</w:t>
      </w:r>
      <w:r w:rsidRPr="0070099E">
        <w:rPr>
          <w:color w:val="000000"/>
          <w:lang w:val="en-US"/>
        </w:rPr>
        <w:t>, Wiley Online Library, v. 109, n. 454, p. 55</w:t>
      </w:r>
      <w:r w:rsidR="003930DC">
        <w:rPr>
          <w:color w:val="000000"/>
          <w:lang w:val="en-US"/>
        </w:rPr>
        <w:t>-</w:t>
      </w:r>
      <w:r w:rsidRPr="0070099E">
        <w:rPr>
          <w:color w:val="000000"/>
          <w:lang w:val="en-US"/>
        </w:rPr>
        <w:t>67, 1999.</w:t>
      </w:r>
    </w:p>
    <w:p w:rsidR="003930DC" w:rsidRDefault="0070099E" w:rsidP="0070099E">
      <w:pPr>
        <w:autoSpaceDE w:val="0"/>
        <w:autoSpaceDN w:val="0"/>
        <w:adjustRightInd w:val="0"/>
        <w:spacing w:line="360" w:lineRule="auto"/>
        <w:jc w:val="both"/>
        <w:rPr>
          <w:color w:val="000000"/>
          <w:lang w:val="en-US"/>
        </w:rPr>
      </w:pPr>
      <w:r w:rsidRPr="0070099E">
        <w:rPr>
          <w:color w:val="000000"/>
          <w:lang w:val="en-US"/>
        </w:rPr>
        <w:t>DIAMANDIS, P. F.; DRAKOS, A. A. Financial liberalization, exchange rates and stock prices:</w:t>
      </w:r>
      <w:r w:rsidR="003930DC">
        <w:rPr>
          <w:color w:val="000000"/>
          <w:lang w:val="en-US"/>
        </w:rPr>
        <w:t xml:space="preserve"> </w:t>
      </w:r>
      <w:r w:rsidRPr="0070099E">
        <w:rPr>
          <w:color w:val="000000"/>
          <w:lang w:val="en-US"/>
        </w:rPr>
        <w:t xml:space="preserve">Exogenous shocks in four </w:t>
      </w:r>
      <w:proofErr w:type="spellStart"/>
      <w:proofErr w:type="gramStart"/>
      <w:r w:rsidRPr="0070099E">
        <w:rPr>
          <w:color w:val="000000"/>
          <w:lang w:val="en-US"/>
        </w:rPr>
        <w:t>latin</w:t>
      </w:r>
      <w:proofErr w:type="spellEnd"/>
      <w:r w:rsidRPr="0070099E">
        <w:rPr>
          <w:color w:val="000000"/>
          <w:lang w:val="en-US"/>
        </w:rPr>
        <w:t xml:space="preserve"> </w:t>
      </w:r>
      <w:proofErr w:type="spellStart"/>
      <w:r w:rsidRPr="0070099E">
        <w:rPr>
          <w:color w:val="000000"/>
          <w:lang w:val="en-US"/>
        </w:rPr>
        <w:t>america</w:t>
      </w:r>
      <w:proofErr w:type="spellEnd"/>
      <w:proofErr w:type="gramEnd"/>
      <w:r w:rsidRPr="0070099E">
        <w:rPr>
          <w:color w:val="000000"/>
          <w:lang w:val="en-US"/>
        </w:rPr>
        <w:t xml:space="preserve"> countries. </w:t>
      </w:r>
      <w:proofErr w:type="gramStart"/>
      <w:r w:rsidRPr="007A5B2A">
        <w:rPr>
          <w:i/>
          <w:color w:val="000000"/>
          <w:lang w:val="en-US"/>
        </w:rPr>
        <w:t>Journal of Policy Modeling</w:t>
      </w:r>
      <w:r w:rsidRPr="0070099E">
        <w:rPr>
          <w:color w:val="000000"/>
          <w:lang w:val="en-US"/>
        </w:rPr>
        <w:t>, Elsevier, v. 33,</w:t>
      </w:r>
      <w:r w:rsidR="003930DC">
        <w:rPr>
          <w:color w:val="000000"/>
          <w:lang w:val="en-US"/>
        </w:rPr>
        <w:t xml:space="preserve"> </w:t>
      </w:r>
      <w:r w:rsidRPr="0070099E">
        <w:rPr>
          <w:color w:val="000000"/>
          <w:lang w:val="en-US"/>
        </w:rPr>
        <w:t>n. 3, p. 381</w:t>
      </w:r>
      <w:r w:rsidR="003930DC">
        <w:rPr>
          <w:color w:val="000000"/>
          <w:lang w:val="en-US"/>
        </w:rPr>
        <w:t>-</w:t>
      </w:r>
      <w:r w:rsidRPr="0070099E">
        <w:rPr>
          <w:color w:val="000000"/>
          <w:lang w:val="en-US"/>
        </w:rPr>
        <w:t>394, 2011.</w:t>
      </w:r>
      <w:proofErr w:type="gramEnd"/>
      <w:r w:rsidR="003930DC">
        <w:rPr>
          <w:color w:val="000000"/>
          <w:lang w:val="en-US"/>
        </w:rPr>
        <w:t xml:space="preserve"> </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EASLEY, D.; O'HARA, M. Information and the cost of capital.</w:t>
      </w:r>
      <w:proofErr w:type="gramEnd"/>
      <w:r w:rsidRPr="0070099E">
        <w:rPr>
          <w:color w:val="000000"/>
          <w:lang w:val="en-US"/>
        </w:rPr>
        <w:t xml:space="preserve"> </w:t>
      </w:r>
      <w:r w:rsidRPr="007A5B2A">
        <w:rPr>
          <w:i/>
          <w:color w:val="000000"/>
          <w:lang w:val="en-US"/>
        </w:rPr>
        <w:t>The journal of</w:t>
      </w:r>
      <w:r w:rsidR="003930DC" w:rsidRPr="007A5B2A">
        <w:rPr>
          <w:i/>
          <w:color w:val="000000"/>
          <w:lang w:val="en-US"/>
        </w:rPr>
        <w:t xml:space="preserve"> Fi</w:t>
      </w:r>
      <w:r w:rsidRPr="007A5B2A">
        <w:rPr>
          <w:i/>
          <w:color w:val="000000"/>
          <w:lang w:val="en-US"/>
        </w:rPr>
        <w:t>nance</w:t>
      </w:r>
      <w:r w:rsidRPr="0070099E">
        <w:rPr>
          <w:color w:val="000000"/>
          <w:lang w:val="en-US"/>
        </w:rPr>
        <w:t>, Wiley</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Online Library, v. 59, n. 4, p. 1553</w:t>
      </w:r>
      <w:r w:rsidR="003930DC">
        <w:rPr>
          <w:color w:val="000000"/>
          <w:lang w:val="en-US"/>
        </w:rPr>
        <w:t>-</w:t>
      </w:r>
      <w:r w:rsidRPr="0070099E">
        <w:rPr>
          <w:color w:val="000000"/>
          <w:lang w:val="en-US"/>
        </w:rPr>
        <w:t>1583, 2004.</w:t>
      </w:r>
      <w:proofErr w:type="gramEnd"/>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 xml:space="preserve">ENGLE, R. F. Autoregressive conditional </w:t>
      </w:r>
      <w:proofErr w:type="spellStart"/>
      <w:r w:rsidRPr="0070099E">
        <w:rPr>
          <w:color w:val="000000"/>
          <w:lang w:val="en-US"/>
        </w:rPr>
        <w:t>heteroscedasticity</w:t>
      </w:r>
      <w:proofErr w:type="spellEnd"/>
      <w:r w:rsidRPr="0070099E">
        <w:rPr>
          <w:color w:val="000000"/>
          <w:lang w:val="en-US"/>
        </w:rPr>
        <w:t xml:space="preserve"> with estimates of the variance</w:t>
      </w:r>
      <w:r w:rsidR="003930DC">
        <w:rPr>
          <w:color w:val="000000"/>
          <w:lang w:val="en-US"/>
        </w:rPr>
        <w:t xml:space="preserve"> </w:t>
      </w:r>
      <w:r w:rsidRPr="0070099E">
        <w:rPr>
          <w:color w:val="000000"/>
          <w:lang w:val="en-US"/>
        </w:rPr>
        <w:t xml:space="preserve">of </w:t>
      </w:r>
      <w:proofErr w:type="gramStart"/>
      <w:r w:rsidRPr="0070099E">
        <w:rPr>
          <w:color w:val="000000"/>
          <w:lang w:val="en-US"/>
        </w:rPr>
        <w:t>united kingdom</w:t>
      </w:r>
      <w:proofErr w:type="gramEnd"/>
      <w:r w:rsidRPr="0070099E">
        <w:rPr>
          <w:color w:val="000000"/>
          <w:lang w:val="en-US"/>
        </w:rPr>
        <w:t xml:space="preserve"> in</w:t>
      </w:r>
      <w:r w:rsidR="007A5B2A">
        <w:rPr>
          <w:color w:val="000000"/>
          <w:lang w:val="en-US"/>
        </w:rPr>
        <w:t>fl</w:t>
      </w:r>
      <w:r w:rsidRPr="0070099E">
        <w:rPr>
          <w:color w:val="000000"/>
          <w:lang w:val="en-US"/>
        </w:rPr>
        <w:t xml:space="preserve">ation. </w:t>
      </w:r>
      <w:proofErr w:type="spellStart"/>
      <w:r w:rsidRPr="0070099E">
        <w:rPr>
          <w:color w:val="000000"/>
          <w:lang w:val="en-US"/>
        </w:rPr>
        <w:t>Econometrica</w:t>
      </w:r>
      <w:proofErr w:type="spellEnd"/>
      <w:r w:rsidRPr="0070099E">
        <w:rPr>
          <w:color w:val="000000"/>
          <w:lang w:val="en-US"/>
        </w:rPr>
        <w:t xml:space="preserve">: </w:t>
      </w:r>
      <w:r w:rsidRPr="007A5B2A">
        <w:rPr>
          <w:i/>
          <w:color w:val="000000"/>
          <w:lang w:val="en-US"/>
        </w:rPr>
        <w:t>Journal of the Econometric</w:t>
      </w:r>
      <w:r w:rsidRPr="0070099E">
        <w:rPr>
          <w:color w:val="000000"/>
          <w:lang w:val="en-US"/>
        </w:rPr>
        <w:t xml:space="preserve"> Society, JSTOR, p.</w:t>
      </w:r>
      <w:r w:rsidR="003930DC">
        <w:rPr>
          <w:color w:val="000000"/>
          <w:lang w:val="en-US"/>
        </w:rPr>
        <w:t xml:space="preserve"> </w:t>
      </w:r>
      <w:r w:rsidRPr="0070099E">
        <w:rPr>
          <w:color w:val="000000"/>
          <w:lang w:val="en-US"/>
        </w:rPr>
        <w:t>987</w:t>
      </w:r>
      <w:r w:rsidR="003930DC">
        <w:rPr>
          <w:color w:val="000000"/>
          <w:lang w:val="en-US"/>
        </w:rPr>
        <w:t>-</w:t>
      </w:r>
      <w:r w:rsidRPr="0070099E">
        <w:rPr>
          <w:color w:val="000000"/>
          <w:lang w:val="en-US"/>
        </w:rPr>
        <w:t>1007,</w:t>
      </w:r>
      <w:r w:rsidR="003930DC">
        <w:rPr>
          <w:color w:val="000000"/>
          <w:lang w:val="en-US"/>
        </w:rPr>
        <w:t xml:space="preserve"> </w:t>
      </w:r>
      <w:r w:rsidRPr="0070099E">
        <w:rPr>
          <w:color w:val="000000"/>
          <w:lang w:val="en-US"/>
        </w:rPr>
        <w:t>1982.</w:t>
      </w:r>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FAMA</w:t>
      </w:r>
      <w:proofErr w:type="gramStart"/>
      <w:r w:rsidRPr="0070099E">
        <w:rPr>
          <w:color w:val="000000"/>
          <w:lang w:val="en-US"/>
        </w:rPr>
        <w:t>,E.F</w:t>
      </w:r>
      <w:proofErr w:type="gramEnd"/>
      <w:r w:rsidRPr="0070099E">
        <w:rPr>
          <w:color w:val="000000"/>
          <w:lang w:val="en-US"/>
        </w:rPr>
        <w:t>.</w:t>
      </w:r>
      <w:r w:rsidR="003930DC">
        <w:rPr>
          <w:color w:val="000000"/>
          <w:lang w:val="en-US"/>
        </w:rPr>
        <w:t xml:space="preserve"> effici</w:t>
      </w:r>
      <w:r w:rsidRPr="0070099E">
        <w:rPr>
          <w:color w:val="000000"/>
          <w:lang w:val="en-US"/>
        </w:rPr>
        <w:t xml:space="preserve">ent capital markets: Ii. </w:t>
      </w:r>
      <w:r w:rsidRPr="007A5B2A">
        <w:rPr>
          <w:i/>
          <w:color w:val="000000"/>
          <w:lang w:val="en-US"/>
        </w:rPr>
        <w:t>The journal of</w:t>
      </w:r>
      <w:r w:rsidR="003930DC" w:rsidRPr="007A5B2A">
        <w:rPr>
          <w:i/>
          <w:color w:val="000000"/>
          <w:lang w:val="en-US"/>
        </w:rPr>
        <w:t xml:space="preserve"> Fi</w:t>
      </w:r>
      <w:r w:rsidRPr="007A5B2A">
        <w:rPr>
          <w:i/>
          <w:color w:val="000000"/>
          <w:lang w:val="en-US"/>
        </w:rPr>
        <w:t>nance</w:t>
      </w:r>
      <w:r w:rsidRPr="0070099E">
        <w:rPr>
          <w:color w:val="000000"/>
          <w:lang w:val="en-US"/>
        </w:rPr>
        <w:t>, Wiley Online Library, v. 46,</w:t>
      </w:r>
      <w:r w:rsidR="003930DC">
        <w:rPr>
          <w:color w:val="000000"/>
          <w:lang w:val="en-US"/>
        </w:rPr>
        <w:t xml:space="preserve"> </w:t>
      </w:r>
      <w:r w:rsidRPr="0070099E">
        <w:rPr>
          <w:color w:val="000000"/>
          <w:lang w:val="en-US"/>
        </w:rPr>
        <w:t>n. 5, p. 1575</w:t>
      </w:r>
      <w:r w:rsidR="003930DC">
        <w:rPr>
          <w:color w:val="000000"/>
          <w:lang w:val="en-US"/>
        </w:rPr>
        <w:t>-</w:t>
      </w:r>
      <w:r w:rsidRPr="0070099E">
        <w:rPr>
          <w:color w:val="000000"/>
          <w:lang w:val="en-US"/>
        </w:rPr>
        <w:t>1617,</w:t>
      </w:r>
      <w:r w:rsidR="003930DC">
        <w:rPr>
          <w:color w:val="000000"/>
          <w:lang w:val="en-US"/>
        </w:rPr>
        <w:t xml:space="preserve"> </w:t>
      </w:r>
      <w:r w:rsidRPr="0070099E">
        <w:rPr>
          <w:color w:val="000000"/>
          <w:lang w:val="en-US"/>
        </w:rPr>
        <w:t>1991.</w:t>
      </w:r>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 xml:space="preserve">FEDOROVA, E.; SALEEM, K. </w:t>
      </w:r>
      <w:r w:rsidRPr="007A5B2A">
        <w:rPr>
          <w:i/>
          <w:color w:val="000000"/>
          <w:lang w:val="en-US"/>
        </w:rPr>
        <w:t>Volatility spillovers between stock and currency markets:</w:t>
      </w:r>
      <w:r w:rsidR="003930DC" w:rsidRPr="007A5B2A">
        <w:rPr>
          <w:i/>
          <w:color w:val="000000"/>
          <w:lang w:val="en-US"/>
        </w:rPr>
        <w:t xml:space="preserve"> </w:t>
      </w:r>
      <w:r w:rsidRPr="007A5B2A">
        <w:rPr>
          <w:i/>
          <w:color w:val="000000"/>
          <w:lang w:val="en-US"/>
        </w:rPr>
        <w:t xml:space="preserve">Evidence from emerging </w:t>
      </w:r>
      <w:proofErr w:type="gramStart"/>
      <w:r w:rsidRPr="007A5B2A">
        <w:rPr>
          <w:i/>
          <w:color w:val="000000"/>
          <w:lang w:val="en-US"/>
        </w:rPr>
        <w:t xml:space="preserve">eastern </w:t>
      </w:r>
      <w:proofErr w:type="spellStart"/>
      <w:r w:rsidRPr="007A5B2A">
        <w:rPr>
          <w:i/>
          <w:color w:val="000000"/>
          <w:lang w:val="en-US"/>
        </w:rPr>
        <w:t>europe</w:t>
      </w:r>
      <w:proofErr w:type="spellEnd"/>
      <w:proofErr w:type="gramEnd"/>
      <w:r w:rsidRPr="0070099E">
        <w:rPr>
          <w:color w:val="000000"/>
          <w:lang w:val="en-US"/>
        </w:rPr>
        <w:t>. 2009.</w:t>
      </w:r>
    </w:p>
    <w:p w:rsidR="0070099E" w:rsidRPr="0070099E" w:rsidRDefault="0070099E" w:rsidP="0070099E">
      <w:pPr>
        <w:autoSpaceDE w:val="0"/>
        <w:autoSpaceDN w:val="0"/>
        <w:adjustRightInd w:val="0"/>
        <w:spacing w:line="360" w:lineRule="auto"/>
        <w:jc w:val="both"/>
        <w:rPr>
          <w:color w:val="000000"/>
        </w:rPr>
      </w:pPr>
      <w:proofErr w:type="gramStart"/>
      <w:r w:rsidRPr="0070099E">
        <w:rPr>
          <w:color w:val="000000"/>
          <w:lang w:val="en-US"/>
        </w:rPr>
        <w:t xml:space="preserve">FRANSES, P. H.; DIJK, D. V. </w:t>
      </w:r>
      <w:r w:rsidRPr="007A5B2A">
        <w:rPr>
          <w:i/>
          <w:color w:val="000000"/>
          <w:lang w:val="en-US"/>
        </w:rPr>
        <w:t>Non-linear time series models in empirical</w:t>
      </w:r>
      <w:r w:rsidR="003930DC" w:rsidRPr="007A5B2A">
        <w:rPr>
          <w:i/>
          <w:color w:val="000000"/>
          <w:lang w:val="en-US"/>
        </w:rPr>
        <w:t xml:space="preserve"> fi</w:t>
      </w:r>
      <w:r w:rsidRPr="007A5B2A">
        <w:rPr>
          <w:i/>
          <w:color w:val="000000"/>
          <w:lang w:val="en-US"/>
        </w:rPr>
        <w:t>nance</w:t>
      </w:r>
      <w:r w:rsidRPr="0070099E">
        <w:rPr>
          <w:color w:val="000000"/>
          <w:lang w:val="en-US"/>
        </w:rPr>
        <w:t>.</w:t>
      </w:r>
      <w:proofErr w:type="gramEnd"/>
      <w:r w:rsidRPr="0070099E">
        <w:rPr>
          <w:color w:val="000000"/>
          <w:lang w:val="en-US"/>
        </w:rPr>
        <w:t xml:space="preserve"> </w:t>
      </w:r>
      <w:r w:rsidRPr="0070099E">
        <w:rPr>
          <w:color w:val="000000"/>
        </w:rPr>
        <w:t>[</w:t>
      </w:r>
      <w:proofErr w:type="spellStart"/>
      <w:r w:rsidRPr="0070099E">
        <w:rPr>
          <w:color w:val="000000"/>
        </w:rPr>
        <w:t>S.l.</w:t>
      </w:r>
      <w:proofErr w:type="spellEnd"/>
      <w:r w:rsidRPr="0070099E">
        <w:rPr>
          <w:color w:val="000000"/>
        </w:rPr>
        <w:t>]:</w:t>
      </w:r>
      <w:r w:rsidR="003930DC">
        <w:rPr>
          <w:color w:val="000000"/>
        </w:rPr>
        <w:t xml:space="preserve"> </w:t>
      </w:r>
      <w:r w:rsidRPr="0070099E">
        <w:rPr>
          <w:color w:val="000000"/>
        </w:rPr>
        <w:t xml:space="preserve">Cambridge </w:t>
      </w:r>
      <w:proofErr w:type="spellStart"/>
      <w:r w:rsidRPr="0070099E">
        <w:rPr>
          <w:color w:val="000000"/>
        </w:rPr>
        <w:t>University</w:t>
      </w:r>
      <w:proofErr w:type="spellEnd"/>
      <w:r w:rsidRPr="0070099E">
        <w:rPr>
          <w:color w:val="000000"/>
        </w:rPr>
        <w:t xml:space="preserve"> </w:t>
      </w:r>
      <w:proofErr w:type="spellStart"/>
      <w:r w:rsidRPr="0070099E">
        <w:rPr>
          <w:color w:val="000000"/>
        </w:rPr>
        <w:t>Press</w:t>
      </w:r>
      <w:proofErr w:type="spellEnd"/>
      <w:r w:rsidRPr="0070099E">
        <w:rPr>
          <w:color w:val="000000"/>
        </w:rPr>
        <w:t>, 2000.</w:t>
      </w:r>
    </w:p>
    <w:p w:rsidR="0070099E" w:rsidRPr="0070099E" w:rsidRDefault="0070099E" w:rsidP="0070099E">
      <w:pPr>
        <w:autoSpaceDE w:val="0"/>
        <w:autoSpaceDN w:val="0"/>
        <w:adjustRightInd w:val="0"/>
        <w:spacing w:line="360" w:lineRule="auto"/>
        <w:jc w:val="both"/>
        <w:rPr>
          <w:color w:val="000000"/>
        </w:rPr>
      </w:pPr>
      <w:r w:rsidRPr="0070099E">
        <w:rPr>
          <w:color w:val="000000"/>
        </w:rPr>
        <w:t>GAIO, L. E</w:t>
      </w:r>
      <w:proofErr w:type="gramStart"/>
      <w:r w:rsidRPr="0070099E">
        <w:rPr>
          <w:color w:val="000000"/>
        </w:rPr>
        <w:t>.;</w:t>
      </w:r>
      <w:proofErr w:type="gramEnd"/>
      <w:r w:rsidRPr="0070099E">
        <w:rPr>
          <w:color w:val="000000"/>
        </w:rPr>
        <w:t xml:space="preserve"> ROLIM, R. C. Interfer</w:t>
      </w:r>
      <w:r w:rsidR="003930DC">
        <w:rPr>
          <w:color w:val="000000"/>
        </w:rPr>
        <w:t>ê</w:t>
      </w:r>
      <w:r w:rsidRPr="0070099E">
        <w:rPr>
          <w:color w:val="000000"/>
        </w:rPr>
        <w:t xml:space="preserve">ncia dos mercados externos sobre o </w:t>
      </w:r>
      <w:proofErr w:type="spellStart"/>
      <w:r w:rsidRPr="0070099E">
        <w:rPr>
          <w:color w:val="000000"/>
        </w:rPr>
        <w:t>ibovespa</w:t>
      </w:r>
      <w:proofErr w:type="spellEnd"/>
      <w:r w:rsidRPr="0070099E">
        <w:rPr>
          <w:color w:val="000000"/>
        </w:rPr>
        <w:t>: uma an</w:t>
      </w:r>
      <w:r w:rsidR="003930DC">
        <w:rPr>
          <w:color w:val="000000"/>
        </w:rPr>
        <w:t>á</w:t>
      </w:r>
      <w:r w:rsidRPr="0070099E">
        <w:rPr>
          <w:color w:val="000000"/>
        </w:rPr>
        <w:t>lise</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rPr>
        <w:t>utilizando</w:t>
      </w:r>
      <w:proofErr w:type="gramEnd"/>
      <w:r w:rsidRPr="0070099E">
        <w:rPr>
          <w:color w:val="000000"/>
        </w:rPr>
        <w:t xml:space="preserve"> </w:t>
      </w:r>
      <w:proofErr w:type="spellStart"/>
      <w:r w:rsidRPr="0070099E">
        <w:rPr>
          <w:color w:val="000000"/>
        </w:rPr>
        <w:t>autoregress</w:t>
      </w:r>
      <w:r w:rsidR="003930DC">
        <w:rPr>
          <w:color w:val="000000"/>
        </w:rPr>
        <w:t>ã</w:t>
      </w:r>
      <w:r w:rsidRPr="0070099E">
        <w:rPr>
          <w:color w:val="000000"/>
        </w:rPr>
        <w:t>o</w:t>
      </w:r>
      <w:proofErr w:type="spellEnd"/>
      <w:r w:rsidRPr="0070099E">
        <w:rPr>
          <w:color w:val="000000"/>
        </w:rPr>
        <w:t xml:space="preserve"> vetorial estrutural. In: X Semin</w:t>
      </w:r>
      <w:r w:rsidR="003930DC">
        <w:rPr>
          <w:color w:val="000000"/>
        </w:rPr>
        <w:t>á</w:t>
      </w:r>
      <w:r w:rsidRPr="0070099E">
        <w:rPr>
          <w:color w:val="000000"/>
        </w:rPr>
        <w:t>rios em Administra</w:t>
      </w:r>
      <w:r w:rsidR="003930DC">
        <w:rPr>
          <w:color w:val="000000"/>
        </w:rPr>
        <w:t>ção</w:t>
      </w:r>
      <w:r w:rsidRPr="0070099E">
        <w:rPr>
          <w:color w:val="000000"/>
        </w:rPr>
        <w:t xml:space="preserve"> FEA-USP,</w:t>
      </w:r>
      <w:r w:rsidR="003930DC">
        <w:rPr>
          <w:color w:val="000000"/>
        </w:rPr>
        <w:t xml:space="preserve"> </w:t>
      </w:r>
      <w:proofErr w:type="spellStart"/>
      <w:r w:rsidRPr="003930DC">
        <w:rPr>
          <w:color w:val="000000"/>
        </w:rPr>
        <w:t>conference</w:t>
      </w:r>
      <w:proofErr w:type="spellEnd"/>
      <w:r w:rsidRPr="003930DC">
        <w:rPr>
          <w:color w:val="000000"/>
        </w:rPr>
        <w:t xml:space="preserve">. </w:t>
      </w:r>
      <w:proofErr w:type="gramStart"/>
      <w:r w:rsidRPr="0070099E">
        <w:rPr>
          <w:color w:val="000000"/>
          <w:lang w:val="en-US"/>
        </w:rPr>
        <w:t>[</w:t>
      </w:r>
      <w:proofErr w:type="spellStart"/>
      <w:r w:rsidRPr="0070099E">
        <w:rPr>
          <w:color w:val="000000"/>
          <w:lang w:val="en-US"/>
        </w:rPr>
        <w:t>S.l</w:t>
      </w:r>
      <w:proofErr w:type="spellEnd"/>
      <w:r w:rsidRPr="0070099E">
        <w:rPr>
          <w:color w:val="000000"/>
          <w:lang w:val="en-US"/>
        </w:rPr>
        <w:t xml:space="preserve">.: </w:t>
      </w:r>
      <w:proofErr w:type="spellStart"/>
      <w:r w:rsidRPr="0070099E">
        <w:rPr>
          <w:color w:val="000000"/>
          <w:lang w:val="en-US"/>
        </w:rPr>
        <w:t>s.n</w:t>
      </w:r>
      <w:proofErr w:type="spellEnd"/>
      <w:r w:rsidRPr="0070099E">
        <w:rPr>
          <w:color w:val="000000"/>
          <w:lang w:val="en-US"/>
        </w:rPr>
        <w:t>.], 2007.</w:t>
      </w:r>
      <w:proofErr w:type="gramEnd"/>
      <w:r w:rsidRPr="0070099E">
        <w:rPr>
          <w:color w:val="000000"/>
          <w:lang w:val="en-US"/>
        </w:rPr>
        <w:t xml:space="preserve"> p. 9</w:t>
      </w:r>
      <w:r w:rsidR="003930DC">
        <w:rPr>
          <w:color w:val="000000"/>
          <w:lang w:val="en-US"/>
        </w:rPr>
        <w:t>-</w:t>
      </w:r>
      <w:r w:rsidRPr="0070099E">
        <w:rPr>
          <w:color w:val="000000"/>
          <w:lang w:val="en-US"/>
        </w:rPr>
        <w:t>10.</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t>GLOSTEN, L. R.; JAGANNATHAN, R.; RUNKLE, D. E.</w:t>
      </w:r>
      <w:proofErr w:type="gramEnd"/>
      <w:r w:rsidRPr="0070099E">
        <w:rPr>
          <w:color w:val="000000"/>
          <w:lang w:val="en-US"/>
        </w:rPr>
        <w:t xml:space="preserve"> On the relation between the expected</w:t>
      </w:r>
    </w:p>
    <w:p w:rsidR="0070099E" w:rsidRPr="0070099E" w:rsidRDefault="0070099E" w:rsidP="0070099E">
      <w:pPr>
        <w:autoSpaceDE w:val="0"/>
        <w:autoSpaceDN w:val="0"/>
        <w:adjustRightInd w:val="0"/>
        <w:spacing w:line="360" w:lineRule="auto"/>
        <w:jc w:val="both"/>
        <w:rPr>
          <w:color w:val="000000"/>
          <w:lang w:val="en-US"/>
        </w:rPr>
      </w:pPr>
      <w:proofErr w:type="gramStart"/>
      <w:r w:rsidRPr="0070099E">
        <w:rPr>
          <w:color w:val="000000"/>
          <w:lang w:val="en-US"/>
        </w:rPr>
        <w:lastRenderedPageBreak/>
        <w:t>value</w:t>
      </w:r>
      <w:proofErr w:type="gramEnd"/>
      <w:r w:rsidRPr="0070099E">
        <w:rPr>
          <w:color w:val="000000"/>
          <w:lang w:val="en-US"/>
        </w:rPr>
        <w:t xml:space="preserve"> and the volatility of the nominal excess return on stocks. </w:t>
      </w:r>
      <w:r w:rsidRPr="007A5B2A">
        <w:rPr>
          <w:i/>
          <w:color w:val="000000"/>
          <w:lang w:val="en-US"/>
        </w:rPr>
        <w:t xml:space="preserve">The journal of </w:t>
      </w:r>
      <w:r w:rsidR="007A5B2A">
        <w:rPr>
          <w:i/>
          <w:color w:val="000000"/>
          <w:lang w:val="en-US"/>
        </w:rPr>
        <w:t>Fi</w:t>
      </w:r>
      <w:r w:rsidRPr="007A5B2A">
        <w:rPr>
          <w:i/>
          <w:color w:val="000000"/>
          <w:lang w:val="en-US"/>
        </w:rPr>
        <w:t>nance</w:t>
      </w:r>
      <w:r w:rsidRPr="0070099E">
        <w:rPr>
          <w:color w:val="000000"/>
          <w:lang w:val="en-US"/>
        </w:rPr>
        <w:t>, Wiley</w:t>
      </w:r>
      <w:r w:rsidR="003930DC">
        <w:rPr>
          <w:color w:val="000000"/>
          <w:lang w:val="en-US"/>
        </w:rPr>
        <w:t xml:space="preserve"> </w:t>
      </w:r>
      <w:r w:rsidRPr="0070099E">
        <w:rPr>
          <w:color w:val="000000"/>
          <w:lang w:val="en-US"/>
        </w:rPr>
        <w:t>Online Library, v. 48, n. 5, p. 1779</w:t>
      </w:r>
      <w:r w:rsidR="003930DC">
        <w:rPr>
          <w:color w:val="000000"/>
          <w:lang w:val="en-US"/>
        </w:rPr>
        <w:t>-</w:t>
      </w:r>
      <w:r w:rsidRPr="0070099E">
        <w:rPr>
          <w:color w:val="000000"/>
          <w:lang w:val="en-US"/>
        </w:rPr>
        <w:t>1801, 1993.</w:t>
      </w:r>
    </w:p>
    <w:p w:rsidR="0070099E" w:rsidRPr="0070099E" w:rsidRDefault="0070099E" w:rsidP="0070099E">
      <w:pPr>
        <w:autoSpaceDE w:val="0"/>
        <w:autoSpaceDN w:val="0"/>
        <w:adjustRightInd w:val="0"/>
        <w:spacing w:line="360" w:lineRule="auto"/>
        <w:jc w:val="both"/>
        <w:rPr>
          <w:color w:val="000000"/>
          <w:lang w:val="en-US"/>
        </w:rPr>
      </w:pPr>
      <w:r w:rsidRPr="0070099E">
        <w:rPr>
          <w:color w:val="000000"/>
          <w:lang w:val="en-US"/>
        </w:rPr>
        <w:t xml:space="preserve">GOLDBERG, L. S. Exchange rates and investment in </w:t>
      </w:r>
      <w:proofErr w:type="gramStart"/>
      <w:r w:rsidRPr="0070099E">
        <w:rPr>
          <w:color w:val="000000"/>
          <w:lang w:val="en-US"/>
        </w:rPr>
        <w:t>united states</w:t>
      </w:r>
      <w:proofErr w:type="gramEnd"/>
      <w:r w:rsidRPr="0070099E">
        <w:rPr>
          <w:color w:val="000000"/>
          <w:lang w:val="en-US"/>
        </w:rPr>
        <w:t xml:space="preserve"> industry. </w:t>
      </w:r>
      <w:proofErr w:type="gramStart"/>
      <w:r w:rsidRPr="007A5B2A">
        <w:rPr>
          <w:i/>
          <w:color w:val="000000"/>
          <w:lang w:val="en-US"/>
        </w:rPr>
        <w:t>The Review of</w:t>
      </w:r>
      <w:r w:rsidR="008A3753" w:rsidRPr="007A5B2A">
        <w:rPr>
          <w:i/>
          <w:color w:val="000000"/>
          <w:lang w:val="en-US"/>
        </w:rPr>
        <w:t xml:space="preserve"> </w:t>
      </w:r>
      <w:r w:rsidRPr="007A5B2A">
        <w:rPr>
          <w:i/>
          <w:color w:val="000000"/>
          <w:lang w:val="en-US"/>
        </w:rPr>
        <w:t>Economics and Statistics</w:t>
      </w:r>
      <w:r w:rsidRPr="0070099E">
        <w:rPr>
          <w:color w:val="000000"/>
          <w:lang w:val="en-US"/>
        </w:rPr>
        <w:t>, JSTOR, p. 575</w:t>
      </w:r>
      <w:r w:rsidR="008A3753">
        <w:rPr>
          <w:color w:val="000000"/>
          <w:lang w:val="en-US"/>
        </w:rPr>
        <w:t>-</w:t>
      </w:r>
      <w:r w:rsidRPr="0070099E">
        <w:rPr>
          <w:color w:val="000000"/>
          <w:lang w:val="en-US"/>
        </w:rPr>
        <w:t>588, 1993.</w:t>
      </w:r>
      <w:proofErr w:type="gramEnd"/>
    </w:p>
    <w:p w:rsidR="0070099E" w:rsidRDefault="0070099E" w:rsidP="0070099E">
      <w:pPr>
        <w:autoSpaceDE w:val="0"/>
        <w:autoSpaceDN w:val="0"/>
        <w:adjustRightInd w:val="0"/>
        <w:spacing w:line="360" w:lineRule="auto"/>
        <w:jc w:val="both"/>
        <w:rPr>
          <w:color w:val="000000"/>
          <w:lang w:val="en-US"/>
        </w:rPr>
      </w:pPr>
      <w:r w:rsidRPr="0070099E">
        <w:rPr>
          <w:color w:val="000000"/>
          <w:lang w:val="en-US"/>
        </w:rPr>
        <w:t xml:space="preserve">GRANGER, C. W. </w:t>
      </w:r>
      <w:proofErr w:type="gramStart"/>
      <w:r w:rsidRPr="0070099E">
        <w:rPr>
          <w:color w:val="000000"/>
          <w:lang w:val="en-US"/>
        </w:rPr>
        <w:t>Some recent development in a concept of causality.</w:t>
      </w:r>
      <w:proofErr w:type="gramEnd"/>
      <w:r w:rsidRPr="0070099E">
        <w:rPr>
          <w:color w:val="000000"/>
          <w:lang w:val="en-US"/>
        </w:rPr>
        <w:t xml:space="preserve"> </w:t>
      </w:r>
      <w:r w:rsidRPr="007A5B2A">
        <w:rPr>
          <w:i/>
          <w:color w:val="000000"/>
          <w:lang w:val="en-US"/>
        </w:rPr>
        <w:t>Journal of econometrics</w:t>
      </w:r>
      <w:r w:rsidRPr="0070099E">
        <w:rPr>
          <w:color w:val="000000"/>
          <w:lang w:val="en-US"/>
        </w:rPr>
        <w:t>,</w:t>
      </w:r>
      <w:r w:rsidR="008A3753">
        <w:rPr>
          <w:color w:val="000000"/>
          <w:lang w:val="en-US"/>
        </w:rPr>
        <w:t xml:space="preserve"> </w:t>
      </w:r>
      <w:r w:rsidRPr="0070099E">
        <w:rPr>
          <w:color w:val="000000"/>
          <w:lang w:val="en-US"/>
        </w:rPr>
        <w:t>Elsevier, v. 39, n. 1, p. 199</w:t>
      </w:r>
      <w:r w:rsidR="008A3753">
        <w:rPr>
          <w:color w:val="000000"/>
          <w:lang w:val="en-US"/>
        </w:rPr>
        <w:t>-</w:t>
      </w:r>
      <w:r w:rsidRPr="0070099E">
        <w:rPr>
          <w:color w:val="000000"/>
          <w:lang w:val="en-US"/>
        </w:rPr>
        <w:t>211, 1988.</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HAFNER, C. M.; HERWARTZ, H. Structural analysis of portfolio risk using beta impulse</w:t>
      </w:r>
      <w:r>
        <w:rPr>
          <w:color w:val="000000"/>
          <w:lang w:val="en-US"/>
        </w:rPr>
        <w:t xml:space="preserve"> </w:t>
      </w:r>
      <w:r w:rsidRPr="008A3753">
        <w:rPr>
          <w:color w:val="000000"/>
          <w:lang w:val="en-US"/>
        </w:rPr>
        <w:t>response functions.</w:t>
      </w:r>
      <w:proofErr w:type="gramEnd"/>
      <w:r w:rsidRPr="008A3753">
        <w:rPr>
          <w:color w:val="000000"/>
          <w:lang w:val="en-US"/>
        </w:rPr>
        <w:t xml:space="preserve"> </w:t>
      </w:r>
      <w:proofErr w:type="spellStart"/>
      <w:r w:rsidRPr="007A5B2A">
        <w:rPr>
          <w:i/>
          <w:color w:val="000000"/>
          <w:lang w:val="en-US"/>
        </w:rPr>
        <w:t>Statistica</w:t>
      </w:r>
      <w:proofErr w:type="spellEnd"/>
      <w:r w:rsidRPr="007A5B2A">
        <w:rPr>
          <w:i/>
          <w:color w:val="000000"/>
          <w:lang w:val="en-US"/>
        </w:rPr>
        <w:t xml:space="preserve"> </w:t>
      </w:r>
      <w:proofErr w:type="spellStart"/>
      <w:r w:rsidRPr="007A5B2A">
        <w:rPr>
          <w:i/>
          <w:color w:val="000000"/>
          <w:lang w:val="en-US"/>
        </w:rPr>
        <w:t>Neerlandica</w:t>
      </w:r>
      <w:proofErr w:type="spellEnd"/>
      <w:r w:rsidRPr="008A3753">
        <w:rPr>
          <w:color w:val="000000"/>
          <w:lang w:val="en-US"/>
        </w:rPr>
        <w:t>, Wiley Online Library, v. 52, n. 3, p. 336</w:t>
      </w:r>
      <w:r>
        <w:rPr>
          <w:color w:val="000000"/>
          <w:lang w:val="en-US"/>
        </w:rPr>
        <w:t>-</w:t>
      </w:r>
      <w:r w:rsidRPr="008A3753">
        <w:rPr>
          <w:color w:val="000000"/>
          <w:lang w:val="en-US"/>
        </w:rPr>
        <w:t>355, 1998.</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 xml:space="preserve">HAFNER, C. M.; HERWARTZ, H. Testing for causality in variance using multivariate </w:t>
      </w:r>
      <w:proofErr w:type="spellStart"/>
      <w:r w:rsidRPr="008A3753">
        <w:rPr>
          <w:color w:val="000000"/>
          <w:lang w:val="en-US"/>
        </w:rPr>
        <w:t>garch</w:t>
      </w:r>
      <w:proofErr w:type="spellEnd"/>
      <w:r>
        <w:rPr>
          <w:color w:val="000000"/>
          <w:lang w:val="en-US"/>
        </w:rPr>
        <w:t xml:space="preserve"> </w:t>
      </w:r>
      <w:r w:rsidRPr="008A3753">
        <w:rPr>
          <w:color w:val="000000"/>
          <w:lang w:val="en-US"/>
        </w:rPr>
        <w:t>models.</w:t>
      </w:r>
      <w:proofErr w:type="gramEnd"/>
      <w:r w:rsidRPr="008A3753">
        <w:rPr>
          <w:color w:val="000000"/>
          <w:lang w:val="en-US"/>
        </w:rPr>
        <w:t xml:space="preserve"> </w:t>
      </w:r>
      <w:proofErr w:type="spellStart"/>
      <w:r w:rsidRPr="008A3753">
        <w:rPr>
          <w:color w:val="000000"/>
          <w:lang w:val="en-US"/>
        </w:rPr>
        <w:t>Annales</w:t>
      </w:r>
      <w:proofErr w:type="spellEnd"/>
      <w:r w:rsidRPr="008A3753">
        <w:rPr>
          <w:color w:val="000000"/>
          <w:lang w:val="en-US"/>
        </w:rPr>
        <w:t xml:space="preserve"> </w:t>
      </w:r>
      <w:proofErr w:type="spellStart"/>
      <w:r w:rsidRPr="008A3753">
        <w:rPr>
          <w:color w:val="000000"/>
          <w:lang w:val="en-US"/>
        </w:rPr>
        <w:t>d'Economie</w:t>
      </w:r>
      <w:proofErr w:type="spellEnd"/>
      <w:r w:rsidRPr="008A3753">
        <w:rPr>
          <w:color w:val="000000"/>
          <w:lang w:val="en-US"/>
        </w:rPr>
        <w:t xml:space="preserve"> </w:t>
      </w:r>
      <w:proofErr w:type="gramStart"/>
      <w:r w:rsidRPr="008A3753">
        <w:rPr>
          <w:color w:val="000000"/>
          <w:lang w:val="en-US"/>
        </w:rPr>
        <w:t>et</w:t>
      </w:r>
      <w:proofErr w:type="gramEnd"/>
      <w:r w:rsidRPr="008A3753">
        <w:rPr>
          <w:color w:val="000000"/>
          <w:lang w:val="en-US"/>
        </w:rPr>
        <w:t xml:space="preserve"> de </w:t>
      </w:r>
      <w:proofErr w:type="spellStart"/>
      <w:r w:rsidRPr="008A3753">
        <w:rPr>
          <w:color w:val="000000"/>
          <w:lang w:val="en-US"/>
        </w:rPr>
        <w:t>Statistique</w:t>
      </w:r>
      <w:proofErr w:type="spellEnd"/>
      <w:r w:rsidRPr="008A3753">
        <w:rPr>
          <w:color w:val="000000"/>
          <w:lang w:val="en-US"/>
        </w:rPr>
        <w:t>, JSTOR, p. 215</w:t>
      </w:r>
      <w:r>
        <w:rPr>
          <w:color w:val="000000"/>
          <w:lang w:val="en-US"/>
        </w:rPr>
        <w:t>-</w:t>
      </w:r>
      <w:r w:rsidRPr="008A3753">
        <w:rPr>
          <w:color w:val="000000"/>
          <w:lang w:val="en-US"/>
        </w:rPr>
        <w:t>241, 2008.</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HERBST, A. F.; MCCORMACK, J. P.; WEST, E. N. Investigation of a lead-lag relationship</w:t>
      </w:r>
      <w:r>
        <w:rPr>
          <w:color w:val="000000"/>
          <w:lang w:val="en-US"/>
        </w:rPr>
        <w:t xml:space="preserve"> </w:t>
      </w:r>
      <w:r w:rsidRPr="008A3753">
        <w:rPr>
          <w:color w:val="000000"/>
          <w:lang w:val="en-US"/>
        </w:rPr>
        <w:t xml:space="preserve">between spot stock indices and their futures contracts. </w:t>
      </w:r>
      <w:proofErr w:type="gramStart"/>
      <w:r w:rsidRPr="007A5B2A">
        <w:rPr>
          <w:i/>
          <w:color w:val="000000"/>
          <w:lang w:val="en-US"/>
        </w:rPr>
        <w:t>Journal of Futures Markets</w:t>
      </w:r>
      <w:r w:rsidRPr="008A3753">
        <w:rPr>
          <w:color w:val="000000"/>
          <w:lang w:val="en-US"/>
        </w:rPr>
        <w:t>, Wiley Online</w:t>
      </w:r>
      <w:r>
        <w:rPr>
          <w:color w:val="000000"/>
          <w:lang w:val="en-US"/>
        </w:rPr>
        <w:t xml:space="preserve"> </w:t>
      </w:r>
      <w:r w:rsidRPr="008A3753">
        <w:rPr>
          <w:color w:val="000000"/>
          <w:lang w:val="en-US"/>
        </w:rPr>
        <w:t>Library, v. 7, n. 4, p. 373</w:t>
      </w:r>
      <w:r>
        <w:rPr>
          <w:color w:val="000000"/>
          <w:lang w:val="en-US"/>
        </w:rPr>
        <w:t>-</w:t>
      </w:r>
      <w:r w:rsidRPr="008A3753">
        <w:rPr>
          <w:color w:val="000000"/>
          <w:lang w:val="en-US"/>
        </w:rPr>
        <w:t>381, 1987.</w:t>
      </w:r>
      <w:proofErr w:type="gramEnd"/>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 xml:space="preserve">HERWARTZ, H.; LUTKEPOHL, H. Multivariate volatility analysis of </w:t>
      </w:r>
      <w:proofErr w:type="spellStart"/>
      <w:r w:rsidRPr="008A3753">
        <w:rPr>
          <w:color w:val="000000"/>
          <w:lang w:val="en-US"/>
        </w:rPr>
        <w:t>vw</w:t>
      </w:r>
      <w:proofErr w:type="spellEnd"/>
      <w:r w:rsidRPr="008A3753">
        <w:rPr>
          <w:color w:val="000000"/>
          <w:lang w:val="en-US"/>
        </w:rPr>
        <w:t xml:space="preserve"> stock prices.</w:t>
      </w:r>
      <w:proofErr w:type="gramEnd"/>
      <w:r>
        <w:rPr>
          <w:color w:val="000000"/>
          <w:lang w:val="en-US"/>
        </w:rPr>
        <w:t xml:space="preserve"> </w:t>
      </w:r>
      <w:r w:rsidRPr="007A5B2A">
        <w:rPr>
          <w:i/>
          <w:color w:val="000000"/>
          <w:lang w:val="en-US"/>
        </w:rPr>
        <w:t>International Journal of Intelligent Systems in Accounting, Finance &amp; Management</w:t>
      </w:r>
      <w:r w:rsidRPr="008A3753">
        <w:rPr>
          <w:color w:val="000000"/>
          <w:lang w:val="en-US"/>
        </w:rPr>
        <w:t>, John Wiley</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&amp; Sons, Ltd., v. 9, n. 1, p. 35</w:t>
      </w:r>
      <w:r>
        <w:rPr>
          <w:color w:val="000000"/>
          <w:lang w:val="en-US"/>
        </w:rPr>
        <w:t>-</w:t>
      </w:r>
      <w:r w:rsidRPr="008A3753">
        <w:rPr>
          <w:color w:val="000000"/>
          <w:lang w:val="en-US"/>
        </w:rPr>
        <w:t>54, 2000.</w:t>
      </w:r>
      <w:proofErr w:type="gramEnd"/>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JENSEN, M. C.; MECKLING, W. H. Theory of the</w:t>
      </w:r>
      <w:r>
        <w:rPr>
          <w:color w:val="000000"/>
          <w:lang w:val="en-US"/>
        </w:rPr>
        <w:t xml:space="preserve"> fi</w:t>
      </w:r>
      <w:r w:rsidRPr="008A3753">
        <w:rPr>
          <w:color w:val="000000"/>
          <w:lang w:val="en-US"/>
        </w:rPr>
        <w:t>rm: Managerial behavior, agency costs and</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ownership</w:t>
      </w:r>
      <w:proofErr w:type="gramEnd"/>
      <w:r w:rsidRPr="008A3753">
        <w:rPr>
          <w:color w:val="000000"/>
          <w:lang w:val="en-US"/>
        </w:rPr>
        <w:t xml:space="preserve"> structure. </w:t>
      </w:r>
      <w:proofErr w:type="gramStart"/>
      <w:r w:rsidRPr="007A5B2A">
        <w:rPr>
          <w:i/>
          <w:color w:val="000000"/>
          <w:lang w:val="en-US"/>
        </w:rPr>
        <w:t>Journal of financial economics</w:t>
      </w:r>
      <w:r w:rsidRPr="008A3753">
        <w:rPr>
          <w:color w:val="000000"/>
          <w:lang w:val="en-US"/>
        </w:rPr>
        <w:t>, Elsevier, v. 3, n. 4, p. 305</w:t>
      </w:r>
      <w:r>
        <w:rPr>
          <w:color w:val="000000"/>
          <w:lang w:val="en-US"/>
        </w:rPr>
        <w:t>-</w:t>
      </w:r>
      <w:r w:rsidRPr="008A3753">
        <w:rPr>
          <w:color w:val="000000"/>
          <w:lang w:val="en-US"/>
        </w:rPr>
        <w:t>360, Oct. 1976.</w:t>
      </w:r>
      <w:proofErr w:type="gramEnd"/>
    </w:p>
    <w:p w:rsidR="008A3753" w:rsidRPr="008A3753" w:rsidRDefault="008A3753" w:rsidP="008A3753">
      <w:pPr>
        <w:autoSpaceDE w:val="0"/>
        <w:autoSpaceDN w:val="0"/>
        <w:adjustRightInd w:val="0"/>
        <w:spacing w:line="360" w:lineRule="auto"/>
        <w:jc w:val="both"/>
        <w:rPr>
          <w:color w:val="000000"/>
        </w:rPr>
      </w:pPr>
      <w:r w:rsidRPr="008A3753">
        <w:rPr>
          <w:color w:val="000000"/>
        </w:rPr>
        <w:t>Dispon</w:t>
      </w:r>
      <w:r>
        <w:rPr>
          <w:color w:val="000000"/>
        </w:rPr>
        <w:t>í</w:t>
      </w:r>
      <w:r w:rsidRPr="008A3753">
        <w:rPr>
          <w:color w:val="000000"/>
        </w:rPr>
        <w:t>vel em: http://www.sciencedirect.com/science/article/pii/0304405X7690026Xi.</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JIANG, L.; FUNG, J. K.; CHENG, L. T.</w:t>
      </w:r>
      <w:proofErr w:type="gramEnd"/>
      <w:r w:rsidRPr="008A3753">
        <w:rPr>
          <w:color w:val="000000"/>
          <w:lang w:val="en-US"/>
        </w:rPr>
        <w:t xml:space="preserve"> The lead-lag relation between spot and futures markets</w:t>
      </w:r>
      <w:r>
        <w:rPr>
          <w:color w:val="000000"/>
          <w:lang w:val="en-US"/>
        </w:rPr>
        <w:t xml:space="preserve"> </w:t>
      </w:r>
      <w:r w:rsidRPr="008A3753">
        <w:rPr>
          <w:color w:val="000000"/>
          <w:lang w:val="en-US"/>
        </w:rPr>
        <w:t xml:space="preserve">under </w:t>
      </w:r>
      <w:proofErr w:type="spellStart"/>
      <w:r w:rsidRPr="008A3753">
        <w:rPr>
          <w:color w:val="000000"/>
          <w:lang w:val="en-US"/>
        </w:rPr>
        <w:t>di</w:t>
      </w:r>
      <w:r>
        <w:rPr>
          <w:color w:val="000000"/>
          <w:lang w:val="en-US"/>
        </w:rPr>
        <w:t>f</w:t>
      </w:r>
      <w:r w:rsidRPr="008A3753">
        <w:rPr>
          <w:color w:val="000000"/>
          <w:lang w:val="en-US"/>
        </w:rPr>
        <w:t>erent</w:t>
      </w:r>
      <w:proofErr w:type="spellEnd"/>
      <w:r w:rsidRPr="008A3753">
        <w:rPr>
          <w:color w:val="000000"/>
          <w:lang w:val="en-US"/>
        </w:rPr>
        <w:t xml:space="preserve"> short-selling regimes. </w:t>
      </w:r>
      <w:proofErr w:type="gramStart"/>
      <w:r w:rsidRPr="007A5B2A">
        <w:rPr>
          <w:i/>
          <w:color w:val="000000"/>
          <w:lang w:val="en-US"/>
        </w:rPr>
        <w:t>Financial Review</w:t>
      </w:r>
      <w:r w:rsidRPr="008A3753">
        <w:rPr>
          <w:color w:val="000000"/>
          <w:lang w:val="en-US"/>
        </w:rPr>
        <w:t>, Wiley Online Library, v. 36, n. 3, p.</w:t>
      </w:r>
      <w:r>
        <w:rPr>
          <w:color w:val="000000"/>
          <w:lang w:val="en-US"/>
        </w:rPr>
        <w:t xml:space="preserve"> </w:t>
      </w:r>
      <w:r w:rsidRPr="008A3753">
        <w:rPr>
          <w:color w:val="000000"/>
          <w:lang w:val="en-US"/>
        </w:rPr>
        <w:t>63</w:t>
      </w:r>
      <w:r>
        <w:rPr>
          <w:color w:val="000000"/>
          <w:lang w:val="en-US"/>
        </w:rPr>
        <w:t>-</w:t>
      </w:r>
      <w:r w:rsidRPr="008A3753">
        <w:rPr>
          <w:color w:val="000000"/>
          <w:lang w:val="en-US"/>
        </w:rPr>
        <w:t>88, 2001.</w:t>
      </w:r>
      <w:proofErr w:type="gramEnd"/>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 xml:space="preserve">JORION, P. </w:t>
      </w:r>
      <w:proofErr w:type="gramStart"/>
      <w:r w:rsidRPr="008A3753">
        <w:rPr>
          <w:color w:val="000000"/>
          <w:lang w:val="en-US"/>
        </w:rPr>
        <w:t>The exchange-rate exposure of us multinationals.</w:t>
      </w:r>
      <w:proofErr w:type="gramEnd"/>
      <w:r w:rsidRPr="008A3753">
        <w:rPr>
          <w:color w:val="000000"/>
          <w:lang w:val="en-US"/>
        </w:rPr>
        <w:t xml:space="preserve"> </w:t>
      </w:r>
      <w:r w:rsidRPr="007A5B2A">
        <w:rPr>
          <w:i/>
          <w:color w:val="000000"/>
          <w:lang w:val="en-US"/>
        </w:rPr>
        <w:t>Journal of business</w:t>
      </w:r>
      <w:r w:rsidRPr="008A3753">
        <w:rPr>
          <w:color w:val="000000"/>
          <w:lang w:val="en-US"/>
        </w:rPr>
        <w:t>, JSTOR, p.</w:t>
      </w:r>
      <w:r>
        <w:rPr>
          <w:color w:val="000000"/>
          <w:lang w:val="en-US"/>
        </w:rPr>
        <w:t xml:space="preserve"> </w:t>
      </w:r>
      <w:r w:rsidRPr="008A3753">
        <w:rPr>
          <w:color w:val="000000"/>
          <w:lang w:val="en-US"/>
        </w:rPr>
        <w:t>331</w:t>
      </w:r>
      <w:r>
        <w:rPr>
          <w:color w:val="000000"/>
          <w:lang w:val="en-US"/>
        </w:rPr>
        <w:t>-</w:t>
      </w:r>
      <w:r w:rsidRPr="008A3753">
        <w:rPr>
          <w:color w:val="000000"/>
          <w:lang w:val="en-US"/>
        </w:rPr>
        <w:t>345, 1990.</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KANAS, A. Volatility spillovers between stock returns and exchange rate changes: International</w:t>
      </w:r>
      <w:r>
        <w:rPr>
          <w:color w:val="000000"/>
          <w:lang w:val="en-US"/>
        </w:rPr>
        <w:t xml:space="preserve"> </w:t>
      </w:r>
      <w:r w:rsidRPr="008A3753">
        <w:rPr>
          <w:color w:val="000000"/>
          <w:lang w:val="en-US"/>
        </w:rPr>
        <w:t xml:space="preserve">evidence. </w:t>
      </w:r>
      <w:r w:rsidRPr="007A5B2A">
        <w:rPr>
          <w:i/>
          <w:color w:val="000000"/>
          <w:lang w:val="en-US"/>
        </w:rPr>
        <w:t>Journal of Business Finance &amp; Accounting</w:t>
      </w:r>
      <w:r w:rsidRPr="008A3753">
        <w:rPr>
          <w:color w:val="000000"/>
          <w:lang w:val="en-US"/>
        </w:rPr>
        <w:t>, Wiley Online Library, v. 27, n. 3-4, p.</w:t>
      </w:r>
      <w:r>
        <w:rPr>
          <w:color w:val="000000"/>
          <w:lang w:val="en-US"/>
        </w:rPr>
        <w:t xml:space="preserve"> </w:t>
      </w:r>
      <w:r w:rsidRPr="008A3753">
        <w:rPr>
          <w:color w:val="000000"/>
          <w:lang w:val="en-US"/>
        </w:rPr>
        <w:t>447</w:t>
      </w:r>
      <w:r>
        <w:rPr>
          <w:color w:val="000000"/>
          <w:lang w:val="en-US"/>
        </w:rPr>
        <w:t>-</w:t>
      </w:r>
      <w:r w:rsidRPr="008A3753">
        <w:rPr>
          <w:color w:val="000000"/>
          <w:lang w:val="en-US"/>
        </w:rPr>
        <w:t>467, 2000.</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 xml:space="preserve">LUCAS, R. E. Asset prices in an exchange economy. </w:t>
      </w:r>
      <w:proofErr w:type="spellStart"/>
      <w:r w:rsidRPr="008A3753">
        <w:rPr>
          <w:color w:val="000000"/>
          <w:lang w:val="en-US"/>
        </w:rPr>
        <w:t>Econometrica</w:t>
      </w:r>
      <w:proofErr w:type="spellEnd"/>
      <w:r w:rsidRPr="008A3753">
        <w:rPr>
          <w:color w:val="000000"/>
          <w:lang w:val="en-US"/>
        </w:rPr>
        <w:t xml:space="preserve">: </w:t>
      </w:r>
      <w:r w:rsidRPr="007A5B2A">
        <w:rPr>
          <w:i/>
          <w:color w:val="000000"/>
          <w:lang w:val="en-US"/>
        </w:rPr>
        <w:t>Journal of the Econometric</w:t>
      </w:r>
      <w:r>
        <w:rPr>
          <w:color w:val="000000"/>
          <w:lang w:val="en-US"/>
        </w:rPr>
        <w:t xml:space="preserve"> </w:t>
      </w:r>
      <w:r w:rsidRPr="008A3753">
        <w:rPr>
          <w:color w:val="000000"/>
          <w:lang w:val="en-US"/>
        </w:rPr>
        <w:t>Society, JSTOR, p. 1429</w:t>
      </w:r>
      <w:r>
        <w:rPr>
          <w:color w:val="000000"/>
          <w:lang w:val="en-US"/>
        </w:rPr>
        <w:t>-</w:t>
      </w:r>
      <w:r w:rsidRPr="008A3753">
        <w:rPr>
          <w:color w:val="000000"/>
          <w:lang w:val="en-US"/>
        </w:rPr>
        <w:t>1445, 1978.</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LUCAS, R. E. Adaptive behavior and economic theory.</w:t>
      </w:r>
      <w:proofErr w:type="gramEnd"/>
      <w:r w:rsidRPr="008A3753">
        <w:rPr>
          <w:color w:val="000000"/>
          <w:lang w:val="en-US"/>
        </w:rPr>
        <w:t xml:space="preserve"> </w:t>
      </w:r>
      <w:proofErr w:type="gramStart"/>
      <w:r w:rsidRPr="007A5B2A">
        <w:rPr>
          <w:i/>
          <w:color w:val="000000"/>
          <w:lang w:val="en-US"/>
        </w:rPr>
        <w:t>Journal of Business</w:t>
      </w:r>
      <w:r w:rsidRPr="008A3753">
        <w:rPr>
          <w:color w:val="000000"/>
          <w:lang w:val="en-US"/>
        </w:rPr>
        <w:t>, JSTOR, p.</w:t>
      </w:r>
      <w:r>
        <w:rPr>
          <w:color w:val="000000"/>
          <w:lang w:val="en-US"/>
        </w:rPr>
        <w:t xml:space="preserve"> </w:t>
      </w:r>
      <w:r w:rsidRPr="008A3753">
        <w:rPr>
          <w:color w:val="000000"/>
          <w:lang w:val="en-US"/>
        </w:rPr>
        <w:t>S401</w:t>
      </w:r>
      <w:r>
        <w:rPr>
          <w:color w:val="000000"/>
          <w:lang w:val="en-US"/>
        </w:rPr>
        <w:t>-</w:t>
      </w:r>
      <w:r w:rsidRPr="008A3753">
        <w:rPr>
          <w:color w:val="000000"/>
          <w:lang w:val="en-US"/>
        </w:rPr>
        <w:t>S426, 1986.</w:t>
      </w:r>
      <w:proofErr w:type="gramEnd"/>
    </w:p>
    <w:p w:rsidR="008A3753" w:rsidRPr="008A3753" w:rsidRDefault="008A3753" w:rsidP="008A3753">
      <w:pPr>
        <w:autoSpaceDE w:val="0"/>
        <w:autoSpaceDN w:val="0"/>
        <w:adjustRightInd w:val="0"/>
        <w:spacing w:line="360" w:lineRule="auto"/>
        <w:jc w:val="both"/>
        <w:rPr>
          <w:color w:val="000000"/>
          <w:lang w:val="en-US"/>
        </w:rPr>
      </w:pPr>
      <w:r>
        <w:rPr>
          <w:color w:val="000000"/>
          <w:lang w:val="en-US"/>
        </w:rPr>
        <w:t>L</w:t>
      </w:r>
      <w:r w:rsidRPr="008A3753">
        <w:rPr>
          <w:color w:val="000000"/>
          <w:lang w:val="en-US"/>
        </w:rPr>
        <w:t xml:space="preserve">UTKEPOHL, H. Testing for causation between two variables in higher-dimensional </w:t>
      </w:r>
      <w:proofErr w:type="spellStart"/>
      <w:r w:rsidRPr="008A3753">
        <w:rPr>
          <w:color w:val="000000"/>
          <w:lang w:val="en-US"/>
        </w:rPr>
        <w:t>var</w:t>
      </w:r>
      <w:proofErr w:type="spellEnd"/>
      <w:r w:rsidRPr="008A3753">
        <w:rPr>
          <w:color w:val="000000"/>
          <w:lang w:val="en-US"/>
        </w:rPr>
        <w:t xml:space="preserve"> models.</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 xml:space="preserve">In: </w:t>
      </w:r>
      <w:r w:rsidRPr="007A5B2A">
        <w:rPr>
          <w:i/>
          <w:color w:val="000000"/>
          <w:lang w:val="en-US"/>
        </w:rPr>
        <w:t>Studies in Applied Econometrics</w:t>
      </w:r>
      <w:r w:rsidRPr="008A3753">
        <w:rPr>
          <w:color w:val="000000"/>
          <w:lang w:val="en-US"/>
        </w:rPr>
        <w:t>. [</w:t>
      </w:r>
      <w:proofErr w:type="spellStart"/>
      <w:r w:rsidRPr="008A3753">
        <w:rPr>
          <w:color w:val="000000"/>
          <w:lang w:val="en-US"/>
        </w:rPr>
        <w:t>S.l</w:t>
      </w:r>
      <w:proofErr w:type="spellEnd"/>
      <w:r w:rsidRPr="008A3753">
        <w:rPr>
          <w:color w:val="000000"/>
          <w:lang w:val="en-US"/>
        </w:rPr>
        <w:t>.]: Springer, 1993. p. 75</w:t>
      </w:r>
      <w:r>
        <w:rPr>
          <w:color w:val="000000"/>
          <w:lang w:val="en-US"/>
        </w:rPr>
        <w:t>-</w:t>
      </w:r>
      <w:r w:rsidRPr="008A3753">
        <w:rPr>
          <w:color w:val="000000"/>
          <w:lang w:val="en-US"/>
        </w:rPr>
        <w:t>91.</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lastRenderedPageBreak/>
        <w:t>LUTKEPOHL, H.</w:t>
      </w:r>
      <w:proofErr w:type="gramEnd"/>
      <w:r w:rsidRPr="008A3753">
        <w:rPr>
          <w:color w:val="000000"/>
          <w:lang w:val="en-US"/>
        </w:rPr>
        <w:t xml:space="preserve"> </w:t>
      </w:r>
      <w:proofErr w:type="gramStart"/>
      <w:r w:rsidRPr="007A5B2A">
        <w:rPr>
          <w:i/>
          <w:color w:val="000000"/>
          <w:lang w:val="en-US"/>
        </w:rPr>
        <w:t>New introduction to multiple time series analysis</w:t>
      </w:r>
      <w:r w:rsidRPr="008A3753">
        <w:rPr>
          <w:color w:val="000000"/>
          <w:lang w:val="en-US"/>
        </w:rPr>
        <w:t>.</w:t>
      </w:r>
      <w:proofErr w:type="gramEnd"/>
      <w:r w:rsidRPr="008A3753">
        <w:rPr>
          <w:color w:val="000000"/>
          <w:lang w:val="en-US"/>
        </w:rPr>
        <w:t xml:space="preserve"> [</w:t>
      </w:r>
      <w:proofErr w:type="spellStart"/>
      <w:r w:rsidRPr="008A3753">
        <w:rPr>
          <w:color w:val="000000"/>
          <w:lang w:val="en-US"/>
        </w:rPr>
        <w:t>S.l</w:t>
      </w:r>
      <w:proofErr w:type="spellEnd"/>
      <w:r w:rsidRPr="008A3753">
        <w:rPr>
          <w:color w:val="000000"/>
          <w:lang w:val="en-US"/>
        </w:rPr>
        <w:t>.]: Springer Science &amp;</w:t>
      </w:r>
      <w:r w:rsidR="0028731F">
        <w:rPr>
          <w:color w:val="000000"/>
          <w:lang w:val="en-US"/>
        </w:rPr>
        <w:t xml:space="preserve"> </w:t>
      </w:r>
      <w:r w:rsidRPr="008A3753">
        <w:rPr>
          <w:color w:val="000000"/>
          <w:lang w:val="en-US"/>
        </w:rPr>
        <w:t>Business Media, 2005.</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 xml:space="preserve">MADHAVAN, A. Market microstructure: A survey. </w:t>
      </w:r>
      <w:r w:rsidRPr="007A5B2A">
        <w:rPr>
          <w:i/>
          <w:color w:val="000000"/>
          <w:lang w:val="en-US"/>
        </w:rPr>
        <w:t>Journal of Financial mar</w:t>
      </w:r>
      <w:r w:rsidRPr="008A3753">
        <w:rPr>
          <w:color w:val="000000"/>
          <w:lang w:val="en-US"/>
        </w:rPr>
        <w:t>kets, Elsevier, v. 3,</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n. 3, p. 205</w:t>
      </w:r>
      <w:r>
        <w:rPr>
          <w:color w:val="000000"/>
          <w:lang w:val="en-US"/>
        </w:rPr>
        <w:t>-</w:t>
      </w:r>
      <w:r w:rsidRPr="008A3753">
        <w:rPr>
          <w:color w:val="000000"/>
          <w:lang w:val="en-US"/>
        </w:rPr>
        <w:t>258, 2000.</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MALKIEL, B. G.; FAMA, E. F. E</w:t>
      </w:r>
      <w:r>
        <w:rPr>
          <w:color w:val="000000"/>
          <w:lang w:val="en-US"/>
        </w:rPr>
        <w:t>ffi</w:t>
      </w:r>
      <w:r w:rsidRPr="008A3753">
        <w:rPr>
          <w:color w:val="000000"/>
          <w:lang w:val="en-US"/>
        </w:rPr>
        <w:t>cient capital markets: A review of theory and empirical work.</w:t>
      </w:r>
    </w:p>
    <w:p w:rsidR="008A3753" w:rsidRPr="008A3753" w:rsidRDefault="008A3753" w:rsidP="008A3753">
      <w:pPr>
        <w:autoSpaceDE w:val="0"/>
        <w:autoSpaceDN w:val="0"/>
        <w:adjustRightInd w:val="0"/>
        <w:spacing w:line="360" w:lineRule="auto"/>
        <w:jc w:val="both"/>
        <w:rPr>
          <w:color w:val="000000"/>
          <w:lang w:val="en-US"/>
        </w:rPr>
      </w:pPr>
      <w:r w:rsidRPr="00A4200B">
        <w:rPr>
          <w:i/>
          <w:color w:val="000000"/>
          <w:lang w:val="en-US"/>
        </w:rPr>
        <w:t>The journal of Finance</w:t>
      </w:r>
      <w:r w:rsidRPr="008A3753">
        <w:rPr>
          <w:color w:val="000000"/>
          <w:lang w:val="en-US"/>
        </w:rPr>
        <w:t>, Wiley Online Library, v. 25, n. 2, p. 383</w:t>
      </w:r>
      <w:r>
        <w:rPr>
          <w:color w:val="000000"/>
          <w:lang w:val="en-US"/>
        </w:rPr>
        <w:t>-</w:t>
      </w:r>
      <w:r w:rsidRPr="008A3753">
        <w:rPr>
          <w:color w:val="000000"/>
          <w:lang w:val="en-US"/>
        </w:rPr>
        <w:t>417, 1970.</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 xml:space="preserve">MERIC, I. et al. Co-movements of us, </w:t>
      </w:r>
      <w:proofErr w:type="spellStart"/>
      <w:proofErr w:type="gramStart"/>
      <w:r w:rsidRPr="008A3753">
        <w:rPr>
          <w:color w:val="000000"/>
          <w:lang w:val="en-US"/>
        </w:rPr>
        <w:t>uk</w:t>
      </w:r>
      <w:proofErr w:type="spellEnd"/>
      <w:proofErr w:type="gramEnd"/>
      <w:r w:rsidRPr="008A3753">
        <w:rPr>
          <w:color w:val="000000"/>
          <w:lang w:val="en-US"/>
        </w:rPr>
        <w:t xml:space="preserve">, and </w:t>
      </w:r>
      <w:proofErr w:type="spellStart"/>
      <w:r w:rsidRPr="008A3753">
        <w:rPr>
          <w:color w:val="000000"/>
          <w:lang w:val="en-US"/>
        </w:rPr>
        <w:t>asian</w:t>
      </w:r>
      <w:proofErr w:type="spellEnd"/>
      <w:r w:rsidRPr="008A3753">
        <w:rPr>
          <w:color w:val="000000"/>
          <w:lang w:val="en-US"/>
        </w:rPr>
        <w:t xml:space="preserve"> stock markets before and after </w:t>
      </w:r>
      <w:proofErr w:type="spellStart"/>
      <w:r w:rsidRPr="008A3753">
        <w:rPr>
          <w:color w:val="000000"/>
          <w:lang w:val="en-US"/>
        </w:rPr>
        <w:t>september</w:t>
      </w:r>
      <w:proofErr w:type="spellEnd"/>
      <w:r w:rsidRPr="008A3753">
        <w:rPr>
          <w:color w:val="000000"/>
          <w:lang w:val="en-US"/>
        </w:rPr>
        <w:t xml:space="preserve"> 11,</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 xml:space="preserve">2001. </w:t>
      </w:r>
      <w:r w:rsidRPr="00A4200B">
        <w:rPr>
          <w:i/>
          <w:color w:val="000000"/>
          <w:lang w:val="en-US"/>
        </w:rPr>
        <w:t>Journal of Money, Investment and Banking</w:t>
      </w:r>
      <w:r w:rsidRPr="008A3753">
        <w:rPr>
          <w:color w:val="000000"/>
          <w:lang w:val="en-US"/>
        </w:rPr>
        <w:t>, v. 3, p. 47</w:t>
      </w:r>
      <w:r>
        <w:rPr>
          <w:color w:val="000000"/>
          <w:lang w:val="en-US"/>
        </w:rPr>
        <w:t>-</w:t>
      </w:r>
      <w:r w:rsidRPr="008A3753">
        <w:rPr>
          <w:color w:val="000000"/>
          <w:lang w:val="en-US"/>
        </w:rPr>
        <w:t>57, 2008.</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MILLER, S. E. Lead-lag relationships between pork prices at the retail, wholesale, and farm</w:t>
      </w:r>
      <w:r>
        <w:rPr>
          <w:color w:val="000000"/>
          <w:lang w:val="en-US"/>
        </w:rPr>
        <w:t xml:space="preserve"> </w:t>
      </w:r>
      <w:r w:rsidRPr="008A3753">
        <w:rPr>
          <w:color w:val="000000"/>
          <w:lang w:val="en-US"/>
        </w:rPr>
        <w:t>levels.</w:t>
      </w:r>
      <w:proofErr w:type="gramEnd"/>
      <w:r w:rsidRPr="008A3753">
        <w:rPr>
          <w:color w:val="000000"/>
          <w:lang w:val="en-US"/>
        </w:rPr>
        <w:t xml:space="preserve"> </w:t>
      </w:r>
      <w:proofErr w:type="gramStart"/>
      <w:r w:rsidRPr="00A4200B">
        <w:rPr>
          <w:i/>
          <w:color w:val="000000"/>
          <w:lang w:val="en-US"/>
        </w:rPr>
        <w:t>Southern Journal of Agricultural Economics</w:t>
      </w:r>
      <w:r w:rsidRPr="008A3753">
        <w:rPr>
          <w:color w:val="000000"/>
          <w:lang w:val="en-US"/>
        </w:rPr>
        <w:t xml:space="preserve">, Cambridge </w:t>
      </w:r>
      <w:proofErr w:type="spellStart"/>
      <w:r w:rsidRPr="008A3753">
        <w:rPr>
          <w:color w:val="000000"/>
          <w:lang w:val="en-US"/>
        </w:rPr>
        <w:t>Univ</w:t>
      </w:r>
      <w:proofErr w:type="spellEnd"/>
      <w:r w:rsidRPr="008A3753">
        <w:rPr>
          <w:color w:val="000000"/>
          <w:lang w:val="en-US"/>
        </w:rPr>
        <w:t xml:space="preserve"> Press, v. 12, n. 01, p. 73</w:t>
      </w:r>
      <w:r>
        <w:rPr>
          <w:color w:val="000000"/>
          <w:lang w:val="en-US"/>
        </w:rPr>
        <w:t>-</w:t>
      </w:r>
      <w:r w:rsidRPr="008A3753">
        <w:rPr>
          <w:color w:val="000000"/>
          <w:lang w:val="en-US"/>
        </w:rPr>
        <w:t>76,</w:t>
      </w:r>
      <w:r>
        <w:rPr>
          <w:color w:val="000000"/>
          <w:lang w:val="en-US"/>
        </w:rPr>
        <w:t xml:space="preserve"> </w:t>
      </w:r>
      <w:r w:rsidRPr="008A3753">
        <w:rPr>
          <w:color w:val="000000"/>
          <w:lang w:val="en-US"/>
        </w:rPr>
        <w:t>1980.</w:t>
      </w:r>
      <w:proofErr w:type="gramEnd"/>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 xml:space="preserve">MORALES, L. d. l. N. Volatility spillovers between equity and currency markets: </w:t>
      </w:r>
      <w:proofErr w:type="spellStart"/>
      <w:r w:rsidRPr="008A3753">
        <w:rPr>
          <w:color w:val="000000"/>
          <w:lang w:val="en-US"/>
        </w:rPr>
        <w:t>Eviderice</w:t>
      </w:r>
      <w:proofErr w:type="spellEnd"/>
      <w:r w:rsidRPr="008A3753">
        <w:rPr>
          <w:color w:val="000000"/>
          <w:lang w:val="en-US"/>
        </w:rPr>
        <w:t xml:space="preserve"> from</w:t>
      </w:r>
    </w:p>
    <w:p w:rsidR="008A3753" w:rsidRPr="008A3753" w:rsidRDefault="008A3753" w:rsidP="008A3753">
      <w:pPr>
        <w:autoSpaceDE w:val="0"/>
        <w:autoSpaceDN w:val="0"/>
        <w:adjustRightInd w:val="0"/>
        <w:spacing w:line="360" w:lineRule="auto"/>
        <w:jc w:val="both"/>
        <w:rPr>
          <w:color w:val="000000"/>
        </w:rPr>
      </w:pPr>
      <w:proofErr w:type="gramStart"/>
      <w:r w:rsidRPr="008A3753">
        <w:rPr>
          <w:color w:val="000000"/>
          <w:lang w:val="en-US"/>
        </w:rPr>
        <w:t>major</w:t>
      </w:r>
      <w:proofErr w:type="gramEnd"/>
      <w:r w:rsidRPr="008A3753">
        <w:rPr>
          <w:color w:val="000000"/>
          <w:lang w:val="en-US"/>
        </w:rPr>
        <w:t xml:space="preserve"> </w:t>
      </w:r>
      <w:proofErr w:type="spellStart"/>
      <w:r w:rsidRPr="008A3753">
        <w:rPr>
          <w:color w:val="000000"/>
          <w:lang w:val="en-US"/>
        </w:rPr>
        <w:t>latin</w:t>
      </w:r>
      <w:proofErr w:type="spellEnd"/>
      <w:r w:rsidRPr="008A3753">
        <w:rPr>
          <w:color w:val="000000"/>
          <w:lang w:val="en-US"/>
        </w:rPr>
        <w:t xml:space="preserve"> </w:t>
      </w:r>
      <w:proofErr w:type="spellStart"/>
      <w:r w:rsidRPr="008A3753">
        <w:rPr>
          <w:color w:val="000000"/>
          <w:lang w:val="en-US"/>
        </w:rPr>
        <w:t>american</w:t>
      </w:r>
      <w:proofErr w:type="spellEnd"/>
      <w:r w:rsidRPr="008A3753">
        <w:rPr>
          <w:color w:val="000000"/>
          <w:lang w:val="en-US"/>
        </w:rPr>
        <w:t xml:space="preserve"> countries. </w:t>
      </w:r>
      <w:proofErr w:type="spellStart"/>
      <w:r w:rsidRPr="00A4200B">
        <w:rPr>
          <w:i/>
          <w:color w:val="000000"/>
        </w:rPr>
        <w:t>Cuadernos</w:t>
      </w:r>
      <w:proofErr w:type="spellEnd"/>
      <w:r w:rsidRPr="00A4200B">
        <w:rPr>
          <w:i/>
          <w:color w:val="000000"/>
        </w:rPr>
        <w:t xml:space="preserve"> de </w:t>
      </w:r>
      <w:proofErr w:type="spellStart"/>
      <w:r w:rsidRPr="00A4200B">
        <w:rPr>
          <w:i/>
          <w:color w:val="000000"/>
        </w:rPr>
        <w:t>economía</w:t>
      </w:r>
      <w:proofErr w:type="spellEnd"/>
      <w:r w:rsidRPr="008A3753">
        <w:rPr>
          <w:color w:val="000000"/>
        </w:rPr>
        <w:t xml:space="preserve">, </w:t>
      </w:r>
      <w:proofErr w:type="spellStart"/>
      <w:proofErr w:type="gramStart"/>
      <w:r w:rsidRPr="008A3753">
        <w:rPr>
          <w:color w:val="000000"/>
        </w:rPr>
        <w:t>SciELO</w:t>
      </w:r>
      <w:proofErr w:type="spellEnd"/>
      <w:proofErr w:type="gramEnd"/>
      <w:r w:rsidRPr="008A3753">
        <w:rPr>
          <w:color w:val="000000"/>
        </w:rPr>
        <w:t xml:space="preserve"> Chile, v. 45, n. 132, p. 185-215, 2008.</w:t>
      </w:r>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MURADOGLU, G.; TASKIN, F.; BIGAN, I. Causality between stock returns and macroeconomic</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variables</w:t>
      </w:r>
      <w:proofErr w:type="gramEnd"/>
      <w:r w:rsidRPr="008A3753">
        <w:rPr>
          <w:color w:val="000000"/>
          <w:lang w:val="en-US"/>
        </w:rPr>
        <w:t xml:space="preserve"> in emerging markets. </w:t>
      </w:r>
      <w:r w:rsidRPr="00A4200B">
        <w:rPr>
          <w:i/>
          <w:color w:val="000000"/>
          <w:lang w:val="en-US"/>
        </w:rPr>
        <w:t>Russian &amp; East European Finance and Trade</w:t>
      </w:r>
      <w:r w:rsidRPr="008A3753">
        <w:rPr>
          <w:color w:val="000000"/>
          <w:lang w:val="en-US"/>
        </w:rPr>
        <w:t>, JSTOR, v. 36, n. 6,</w:t>
      </w:r>
    </w:p>
    <w:p w:rsidR="008A3753" w:rsidRPr="008A3753" w:rsidRDefault="008A3753" w:rsidP="008A3753">
      <w:pPr>
        <w:autoSpaceDE w:val="0"/>
        <w:autoSpaceDN w:val="0"/>
        <w:adjustRightInd w:val="0"/>
        <w:spacing w:line="360" w:lineRule="auto"/>
        <w:jc w:val="both"/>
        <w:rPr>
          <w:color w:val="000000"/>
        </w:rPr>
      </w:pPr>
      <w:proofErr w:type="gramStart"/>
      <w:r w:rsidRPr="008A3753">
        <w:rPr>
          <w:color w:val="000000"/>
        </w:rPr>
        <w:t>p.</w:t>
      </w:r>
      <w:proofErr w:type="gramEnd"/>
      <w:r w:rsidRPr="008A3753">
        <w:rPr>
          <w:color w:val="000000"/>
        </w:rPr>
        <w:t xml:space="preserve"> 33</w:t>
      </w:r>
      <w:r>
        <w:rPr>
          <w:color w:val="000000"/>
        </w:rPr>
        <w:t>-</w:t>
      </w:r>
      <w:r w:rsidRPr="008A3753">
        <w:rPr>
          <w:color w:val="000000"/>
        </w:rPr>
        <w:t>53, 2000.</w:t>
      </w:r>
    </w:p>
    <w:p w:rsidR="008A3753" w:rsidRPr="008A3753" w:rsidRDefault="008A3753" w:rsidP="008A3753">
      <w:pPr>
        <w:autoSpaceDE w:val="0"/>
        <w:autoSpaceDN w:val="0"/>
        <w:adjustRightInd w:val="0"/>
        <w:spacing w:line="360" w:lineRule="auto"/>
        <w:jc w:val="both"/>
        <w:rPr>
          <w:color w:val="000000"/>
        </w:rPr>
      </w:pPr>
      <w:r w:rsidRPr="008A3753">
        <w:rPr>
          <w:color w:val="000000"/>
        </w:rPr>
        <w:t xml:space="preserve">NAKAMURA, R. O efeito </w:t>
      </w:r>
      <w:proofErr w:type="spellStart"/>
      <w:r w:rsidRPr="008A3753">
        <w:rPr>
          <w:color w:val="000000"/>
        </w:rPr>
        <w:t>lead-lag</w:t>
      </w:r>
      <w:proofErr w:type="spellEnd"/>
      <w:r w:rsidRPr="008A3753">
        <w:rPr>
          <w:color w:val="000000"/>
        </w:rPr>
        <w:t xml:space="preserve"> entre o mercado acion</w:t>
      </w:r>
      <w:r>
        <w:rPr>
          <w:color w:val="000000"/>
        </w:rPr>
        <w:t>á</w:t>
      </w:r>
      <w:r w:rsidRPr="008A3753">
        <w:rPr>
          <w:color w:val="000000"/>
        </w:rPr>
        <w:t xml:space="preserve">rio brasileiro e o mercado de </w:t>
      </w:r>
      <w:proofErr w:type="spellStart"/>
      <w:r w:rsidRPr="008A3753">
        <w:rPr>
          <w:color w:val="000000"/>
        </w:rPr>
        <w:t>ADRs</w:t>
      </w:r>
      <w:proofErr w:type="spellEnd"/>
      <w:r w:rsidRPr="008A3753">
        <w:rPr>
          <w:color w:val="000000"/>
        </w:rPr>
        <w:t>:</w:t>
      </w:r>
      <w:r w:rsidR="00A4200B">
        <w:rPr>
          <w:color w:val="000000"/>
        </w:rPr>
        <w:t xml:space="preserve"> </w:t>
      </w:r>
      <w:r w:rsidRPr="008A3753">
        <w:rPr>
          <w:color w:val="000000"/>
        </w:rPr>
        <w:t>uma revis</w:t>
      </w:r>
      <w:r>
        <w:rPr>
          <w:color w:val="000000"/>
        </w:rPr>
        <w:t>ã</w:t>
      </w:r>
      <w:r w:rsidRPr="008A3753">
        <w:rPr>
          <w:color w:val="000000"/>
        </w:rPr>
        <w:t>o metodol</w:t>
      </w:r>
      <w:r>
        <w:rPr>
          <w:color w:val="000000"/>
        </w:rPr>
        <w:t>ó</w:t>
      </w:r>
      <w:r w:rsidRPr="008A3753">
        <w:rPr>
          <w:color w:val="000000"/>
        </w:rPr>
        <w:t>gica. 2009. Disserta</w:t>
      </w:r>
      <w:r>
        <w:rPr>
          <w:color w:val="000000"/>
        </w:rPr>
        <w:t>ção</w:t>
      </w:r>
      <w:r w:rsidRPr="008A3753">
        <w:rPr>
          <w:color w:val="000000"/>
        </w:rPr>
        <w:t xml:space="preserve"> (Mestrado), 2009.</w:t>
      </w:r>
    </w:p>
    <w:p w:rsidR="008A3753" w:rsidRPr="008A3753" w:rsidRDefault="008A3753" w:rsidP="008A3753">
      <w:pPr>
        <w:autoSpaceDE w:val="0"/>
        <w:autoSpaceDN w:val="0"/>
        <w:adjustRightInd w:val="0"/>
        <w:spacing w:line="360" w:lineRule="auto"/>
        <w:jc w:val="both"/>
        <w:rPr>
          <w:color w:val="000000"/>
        </w:rPr>
      </w:pPr>
      <w:r w:rsidRPr="008A3753">
        <w:rPr>
          <w:color w:val="000000"/>
        </w:rPr>
        <w:t>NETO, J. C. d. C. O</w:t>
      </w:r>
      <w:proofErr w:type="gramStart"/>
      <w:r w:rsidRPr="008A3753">
        <w:rPr>
          <w:color w:val="000000"/>
        </w:rPr>
        <w:t>.;</w:t>
      </w:r>
      <w:proofErr w:type="gramEnd"/>
      <w:r w:rsidRPr="008A3753">
        <w:rPr>
          <w:color w:val="000000"/>
        </w:rPr>
        <w:t xml:space="preserve"> MEDEIROS, O. </w:t>
      </w:r>
      <w:proofErr w:type="gramStart"/>
      <w:r w:rsidRPr="008A3753">
        <w:rPr>
          <w:color w:val="000000"/>
        </w:rPr>
        <w:t>R.</w:t>
      </w:r>
      <w:proofErr w:type="gramEnd"/>
      <w:r w:rsidRPr="008A3753">
        <w:rPr>
          <w:color w:val="000000"/>
        </w:rPr>
        <w:t xml:space="preserve"> de; QUEIROZ, T. B. de. Governan</w:t>
      </w:r>
      <w:r>
        <w:rPr>
          <w:color w:val="000000"/>
        </w:rPr>
        <w:t>ç</w:t>
      </w:r>
      <w:r w:rsidRPr="008A3753">
        <w:rPr>
          <w:color w:val="000000"/>
        </w:rPr>
        <w:t>a corporativa e</w:t>
      </w:r>
      <w:r>
        <w:rPr>
          <w:color w:val="000000"/>
        </w:rPr>
        <w:t xml:space="preserve"> </w:t>
      </w:r>
      <w:r w:rsidRPr="008A3753">
        <w:rPr>
          <w:color w:val="000000"/>
        </w:rPr>
        <w:t>velocidade de incorpora</w:t>
      </w:r>
      <w:r>
        <w:rPr>
          <w:color w:val="000000"/>
        </w:rPr>
        <w:t>ção</w:t>
      </w:r>
      <w:r w:rsidRPr="008A3753">
        <w:rPr>
          <w:color w:val="000000"/>
        </w:rPr>
        <w:t xml:space="preserve"> de informa</w:t>
      </w:r>
      <w:r>
        <w:rPr>
          <w:color w:val="000000"/>
        </w:rPr>
        <w:t>ções</w:t>
      </w:r>
      <w:r w:rsidRPr="008A3753">
        <w:rPr>
          <w:color w:val="000000"/>
        </w:rPr>
        <w:t xml:space="preserve">: </w:t>
      </w:r>
      <w:proofErr w:type="spellStart"/>
      <w:r w:rsidRPr="008A3753">
        <w:rPr>
          <w:color w:val="000000"/>
        </w:rPr>
        <w:t>Lead-lag</w:t>
      </w:r>
      <w:proofErr w:type="spellEnd"/>
      <w:r w:rsidRPr="008A3753">
        <w:rPr>
          <w:color w:val="000000"/>
        </w:rPr>
        <w:t xml:space="preserve"> entre o </w:t>
      </w:r>
      <w:proofErr w:type="spellStart"/>
      <w:r w:rsidRPr="008A3753">
        <w:rPr>
          <w:color w:val="000000"/>
        </w:rPr>
        <w:t>igc</w:t>
      </w:r>
      <w:proofErr w:type="spellEnd"/>
      <w:r w:rsidRPr="008A3753">
        <w:rPr>
          <w:color w:val="000000"/>
        </w:rPr>
        <w:t xml:space="preserve"> e o </w:t>
      </w:r>
      <w:proofErr w:type="spellStart"/>
      <w:r w:rsidRPr="008A3753">
        <w:rPr>
          <w:color w:val="000000"/>
        </w:rPr>
        <w:t>ibrx</w:t>
      </w:r>
      <w:proofErr w:type="spellEnd"/>
      <w:r w:rsidRPr="008A3753">
        <w:rPr>
          <w:color w:val="000000"/>
        </w:rPr>
        <w:t xml:space="preserve"> (</w:t>
      </w:r>
      <w:proofErr w:type="spellStart"/>
      <w:r w:rsidRPr="008A3753">
        <w:rPr>
          <w:color w:val="000000"/>
        </w:rPr>
        <w:t>corporate</w:t>
      </w:r>
      <w:proofErr w:type="spellEnd"/>
      <w:r w:rsidRPr="008A3753">
        <w:rPr>
          <w:color w:val="000000"/>
        </w:rPr>
        <w:t xml:space="preserve"> </w:t>
      </w:r>
      <w:proofErr w:type="spellStart"/>
      <w:r w:rsidRPr="008A3753">
        <w:rPr>
          <w:color w:val="000000"/>
        </w:rPr>
        <w:t>governance</w:t>
      </w:r>
      <w:proofErr w:type="spellEnd"/>
      <w:r w:rsidR="00A4200B">
        <w:rPr>
          <w:color w:val="000000"/>
        </w:rPr>
        <w:t xml:space="preserve"> </w:t>
      </w:r>
      <w:proofErr w:type="spellStart"/>
      <w:r w:rsidRPr="00A4200B">
        <w:rPr>
          <w:color w:val="000000"/>
        </w:rPr>
        <w:t>and</w:t>
      </w:r>
      <w:proofErr w:type="spellEnd"/>
      <w:r w:rsidRPr="00A4200B">
        <w:rPr>
          <w:color w:val="000000"/>
        </w:rPr>
        <w:t xml:space="preserve"> </w:t>
      </w:r>
      <w:proofErr w:type="spellStart"/>
      <w:r w:rsidRPr="00A4200B">
        <w:rPr>
          <w:color w:val="000000"/>
        </w:rPr>
        <w:t>information</w:t>
      </w:r>
      <w:proofErr w:type="spellEnd"/>
      <w:r w:rsidRPr="00A4200B">
        <w:rPr>
          <w:color w:val="000000"/>
        </w:rPr>
        <w:t xml:space="preserve"> </w:t>
      </w:r>
      <w:proofErr w:type="spellStart"/>
      <w:r w:rsidRPr="00A4200B">
        <w:rPr>
          <w:color w:val="000000"/>
        </w:rPr>
        <w:t>incorporation</w:t>
      </w:r>
      <w:proofErr w:type="spellEnd"/>
      <w:r w:rsidRPr="00A4200B">
        <w:rPr>
          <w:color w:val="000000"/>
        </w:rPr>
        <w:t xml:space="preserve"> </w:t>
      </w:r>
      <w:proofErr w:type="spellStart"/>
      <w:r w:rsidRPr="00A4200B">
        <w:rPr>
          <w:color w:val="000000"/>
        </w:rPr>
        <w:t>speed</w:t>
      </w:r>
      <w:proofErr w:type="spellEnd"/>
      <w:r w:rsidRPr="00A4200B">
        <w:rPr>
          <w:color w:val="000000"/>
        </w:rPr>
        <w:t xml:space="preserve">: </w:t>
      </w:r>
      <w:proofErr w:type="spellStart"/>
      <w:r w:rsidRPr="00A4200B">
        <w:rPr>
          <w:color w:val="000000"/>
        </w:rPr>
        <w:t>Lead-lag</w:t>
      </w:r>
      <w:proofErr w:type="spellEnd"/>
      <w:r w:rsidRPr="00A4200B">
        <w:rPr>
          <w:color w:val="000000"/>
        </w:rPr>
        <w:t xml:space="preserve"> </w:t>
      </w:r>
      <w:proofErr w:type="spellStart"/>
      <w:r w:rsidRPr="00A4200B">
        <w:rPr>
          <w:color w:val="000000"/>
        </w:rPr>
        <w:t>between</w:t>
      </w:r>
      <w:proofErr w:type="spellEnd"/>
      <w:r w:rsidRPr="00A4200B">
        <w:rPr>
          <w:color w:val="000000"/>
        </w:rPr>
        <w:t xml:space="preserve"> </w:t>
      </w:r>
      <w:proofErr w:type="spellStart"/>
      <w:r w:rsidRPr="00A4200B">
        <w:rPr>
          <w:color w:val="000000"/>
        </w:rPr>
        <w:t>the</w:t>
      </w:r>
      <w:proofErr w:type="spellEnd"/>
      <w:r w:rsidRPr="00A4200B">
        <w:rPr>
          <w:color w:val="000000"/>
        </w:rPr>
        <w:t xml:space="preserve"> </w:t>
      </w:r>
      <w:proofErr w:type="spellStart"/>
      <w:r w:rsidRPr="00A4200B">
        <w:rPr>
          <w:color w:val="000000"/>
        </w:rPr>
        <w:t>igc</w:t>
      </w:r>
      <w:proofErr w:type="spellEnd"/>
      <w:r w:rsidRPr="00A4200B">
        <w:rPr>
          <w:color w:val="000000"/>
        </w:rPr>
        <w:t xml:space="preserve"> </w:t>
      </w:r>
      <w:proofErr w:type="spellStart"/>
      <w:r w:rsidRPr="00A4200B">
        <w:rPr>
          <w:color w:val="000000"/>
        </w:rPr>
        <w:t>and</w:t>
      </w:r>
      <w:proofErr w:type="spellEnd"/>
      <w:r w:rsidRPr="00A4200B">
        <w:rPr>
          <w:color w:val="000000"/>
        </w:rPr>
        <w:t xml:space="preserve"> </w:t>
      </w:r>
      <w:proofErr w:type="spellStart"/>
      <w:r w:rsidRPr="00A4200B">
        <w:rPr>
          <w:color w:val="000000"/>
        </w:rPr>
        <w:t>ibrx</w:t>
      </w:r>
      <w:proofErr w:type="spellEnd"/>
      <w:r w:rsidRPr="00A4200B">
        <w:rPr>
          <w:color w:val="000000"/>
        </w:rPr>
        <w:t xml:space="preserve">). </w:t>
      </w:r>
      <w:r w:rsidRPr="00A4200B">
        <w:rPr>
          <w:i/>
          <w:color w:val="000000"/>
        </w:rPr>
        <w:t>Revista Brasileira de</w:t>
      </w:r>
      <w:r w:rsidR="00A4200B">
        <w:rPr>
          <w:i/>
          <w:color w:val="000000"/>
        </w:rPr>
        <w:t xml:space="preserve"> </w:t>
      </w:r>
      <w:r w:rsidRPr="00A4200B">
        <w:rPr>
          <w:i/>
          <w:color w:val="000000"/>
        </w:rPr>
        <w:t>Finanças</w:t>
      </w:r>
      <w:r w:rsidRPr="008A3753">
        <w:rPr>
          <w:color w:val="000000"/>
        </w:rPr>
        <w:t>, Sociedade Brasileira de Finan</w:t>
      </w:r>
      <w:r>
        <w:rPr>
          <w:color w:val="000000"/>
        </w:rPr>
        <w:t>ç</w:t>
      </w:r>
      <w:r w:rsidRPr="008A3753">
        <w:rPr>
          <w:color w:val="000000"/>
        </w:rPr>
        <w:t>as, v. 10, n. 1, p. 149, 2012.</w:t>
      </w:r>
    </w:p>
    <w:p w:rsidR="008A3753" w:rsidRPr="008A3753" w:rsidRDefault="008A3753" w:rsidP="008A3753">
      <w:pPr>
        <w:autoSpaceDE w:val="0"/>
        <w:autoSpaceDN w:val="0"/>
        <w:adjustRightInd w:val="0"/>
        <w:spacing w:line="360" w:lineRule="auto"/>
        <w:jc w:val="both"/>
        <w:rPr>
          <w:color w:val="000000"/>
        </w:rPr>
      </w:pPr>
      <w:r w:rsidRPr="008A3753">
        <w:rPr>
          <w:color w:val="000000"/>
        </w:rPr>
        <w:t>OLIVEIRA, G. Testando a exist</w:t>
      </w:r>
      <w:r>
        <w:rPr>
          <w:color w:val="000000"/>
        </w:rPr>
        <w:t>ê</w:t>
      </w:r>
      <w:r w:rsidRPr="008A3753">
        <w:rPr>
          <w:color w:val="000000"/>
        </w:rPr>
        <w:t xml:space="preserve">ncia do efeito </w:t>
      </w:r>
      <w:proofErr w:type="spellStart"/>
      <w:r w:rsidRPr="008A3753">
        <w:rPr>
          <w:color w:val="000000"/>
        </w:rPr>
        <w:t>lead-lag</w:t>
      </w:r>
      <w:proofErr w:type="spellEnd"/>
      <w:r w:rsidRPr="008A3753">
        <w:rPr>
          <w:color w:val="000000"/>
        </w:rPr>
        <w:t xml:space="preserve"> entre os mercados </w:t>
      </w:r>
      <w:proofErr w:type="gramStart"/>
      <w:r w:rsidRPr="008A3753">
        <w:rPr>
          <w:color w:val="000000"/>
        </w:rPr>
        <w:t>acion</w:t>
      </w:r>
      <w:r>
        <w:rPr>
          <w:color w:val="000000"/>
        </w:rPr>
        <w:t>á</w:t>
      </w:r>
      <w:r w:rsidRPr="008A3753">
        <w:rPr>
          <w:color w:val="000000"/>
        </w:rPr>
        <w:t>rios norte-americano</w:t>
      </w:r>
      <w:proofErr w:type="gramEnd"/>
      <w:r w:rsidRPr="008A3753">
        <w:rPr>
          <w:color w:val="000000"/>
        </w:rPr>
        <w:t xml:space="preserve"> e brasileiro. 2008. Tese (Doutorado) | Disserta</w:t>
      </w:r>
      <w:r>
        <w:rPr>
          <w:color w:val="000000"/>
        </w:rPr>
        <w:t>ção</w:t>
      </w:r>
      <w:r w:rsidRPr="008A3753">
        <w:rPr>
          <w:color w:val="000000"/>
        </w:rPr>
        <w:t xml:space="preserve"> (Mestrado em Administra</w:t>
      </w:r>
      <w:r>
        <w:rPr>
          <w:color w:val="000000"/>
        </w:rPr>
        <w:t>ção</w:t>
      </w:r>
      <w:r w:rsidRPr="008A3753">
        <w:rPr>
          <w:color w:val="000000"/>
        </w:rPr>
        <w:t>),</w:t>
      </w:r>
    </w:p>
    <w:p w:rsidR="008A3753" w:rsidRPr="008A3753" w:rsidRDefault="008A3753" w:rsidP="008A3753">
      <w:pPr>
        <w:autoSpaceDE w:val="0"/>
        <w:autoSpaceDN w:val="0"/>
        <w:adjustRightInd w:val="0"/>
        <w:spacing w:line="360" w:lineRule="auto"/>
        <w:jc w:val="both"/>
        <w:rPr>
          <w:color w:val="000000"/>
        </w:rPr>
      </w:pPr>
      <w:r w:rsidRPr="008A3753">
        <w:rPr>
          <w:color w:val="000000"/>
        </w:rPr>
        <w:t>Faculdade de Economia, Administra</w:t>
      </w:r>
      <w:r>
        <w:rPr>
          <w:color w:val="000000"/>
        </w:rPr>
        <w:t>ção</w:t>
      </w:r>
      <w:r w:rsidRPr="008A3753">
        <w:rPr>
          <w:color w:val="000000"/>
        </w:rPr>
        <w:t>, Contabilidade e Ci</w:t>
      </w:r>
      <w:r>
        <w:rPr>
          <w:color w:val="000000"/>
        </w:rPr>
        <w:t>ê</w:t>
      </w:r>
      <w:r w:rsidRPr="008A3753">
        <w:rPr>
          <w:color w:val="000000"/>
        </w:rPr>
        <w:t>ncias da Informa</w:t>
      </w:r>
      <w:r>
        <w:rPr>
          <w:color w:val="000000"/>
        </w:rPr>
        <w:t>ção</w:t>
      </w:r>
      <w:r w:rsidRPr="008A3753">
        <w:rPr>
          <w:color w:val="000000"/>
        </w:rPr>
        <w:t xml:space="preserve"> e Documenta</w:t>
      </w:r>
      <w:r>
        <w:rPr>
          <w:color w:val="000000"/>
        </w:rPr>
        <w:t>ção</w:t>
      </w:r>
      <w:r w:rsidRPr="008A3753">
        <w:rPr>
          <w:color w:val="000000"/>
        </w:rPr>
        <w:t>,</w:t>
      </w:r>
    </w:p>
    <w:p w:rsidR="008A3753" w:rsidRPr="008A3753" w:rsidRDefault="008A3753" w:rsidP="008A3753">
      <w:pPr>
        <w:autoSpaceDE w:val="0"/>
        <w:autoSpaceDN w:val="0"/>
        <w:adjustRightInd w:val="0"/>
        <w:spacing w:line="360" w:lineRule="auto"/>
        <w:jc w:val="both"/>
        <w:rPr>
          <w:color w:val="000000"/>
        </w:rPr>
      </w:pPr>
      <w:r w:rsidRPr="008A3753">
        <w:rPr>
          <w:color w:val="000000"/>
        </w:rPr>
        <w:t>Universidade de Bras</w:t>
      </w:r>
      <w:r>
        <w:rPr>
          <w:color w:val="000000"/>
        </w:rPr>
        <w:t>í</w:t>
      </w:r>
      <w:r w:rsidRPr="008A3753">
        <w:rPr>
          <w:color w:val="000000"/>
        </w:rPr>
        <w:t>lia, Bras</w:t>
      </w:r>
      <w:r>
        <w:rPr>
          <w:color w:val="000000"/>
        </w:rPr>
        <w:t>í</w:t>
      </w:r>
      <w:r w:rsidRPr="008A3753">
        <w:rPr>
          <w:color w:val="000000"/>
        </w:rPr>
        <w:t>lia, 2008.</w:t>
      </w:r>
    </w:p>
    <w:p w:rsidR="008A3753" w:rsidRPr="008A3753" w:rsidRDefault="008A3753" w:rsidP="008A3753">
      <w:pPr>
        <w:autoSpaceDE w:val="0"/>
        <w:autoSpaceDN w:val="0"/>
        <w:adjustRightInd w:val="0"/>
        <w:spacing w:line="360" w:lineRule="auto"/>
        <w:jc w:val="both"/>
        <w:rPr>
          <w:color w:val="000000"/>
        </w:rPr>
      </w:pPr>
      <w:r w:rsidRPr="008A3753">
        <w:rPr>
          <w:color w:val="000000"/>
        </w:rPr>
        <w:t>PENA, G. E</w:t>
      </w:r>
      <w:proofErr w:type="gramStart"/>
      <w:r w:rsidRPr="008A3753">
        <w:rPr>
          <w:color w:val="000000"/>
        </w:rPr>
        <w:t>.;</w:t>
      </w:r>
      <w:proofErr w:type="gramEnd"/>
      <w:r w:rsidRPr="008A3753">
        <w:rPr>
          <w:color w:val="000000"/>
        </w:rPr>
        <w:t xml:space="preserve"> GUELMAN, B.; RABELLO, H. In</w:t>
      </w:r>
      <w:r>
        <w:rPr>
          <w:color w:val="000000"/>
        </w:rPr>
        <w:t>fl</w:t>
      </w:r>
      <w:r w:rsidRPr="008A3753">
        <w:rPr>
          <w:color w:val="000000"/>
        </w:rPr>
        <w:t>u</w:t>
      </w:r>
      <w:r>
        <w:rPr>
          <w:color w:val="000000"/>
        </w:rPr>
        <w:t>ê</w:t>
      </w:r>
      <w:r w:rsidRPr="008A3753">
        <w:rPr>
          <w:color w:val="000000"/>
        </w:rPr>
        <w:t xml:space="preserve">ncia dos </w:t>
      </w:r>
      <w:r>
        <w:rPr>
          <w:color w:val="000000"/>
        </w:rPr>
        <w:t>í</w:t>
      </w:r>
      <w:r w:rsidRPr="008A3753">
        <w:rPr>
          <w:color w:val="000000"/>
        </w:rPr>
        <w:t xml:space="preserve">ndices </w:t>
      </w:r>
      <w:proofErr w:type="spellStart"/>
      <w:r w:rsidRPr="008A3753">
        <w:rPr>
          <w:color w:val="000000"/>
        </w:rPr>
        <w:t>dow</w:t>
      </w:r>
      <w:proofErr w:type="spellEnd"/>
      <w:r w:rsidRPr="008A3753">
        <w:rPr>
          <w:color w:val="000000"/>
        </w:rPr>
        <w:t xml:space="preserve"> </w:t>
      </w:r>
      <w:proofErr w:type="spellStart"/>
      <w:r w:rsidRPr="008A3753">
        <w:rPr>
          <w:color w:val="000000"/>
        </w:rPr>
        <w:t>jones</w:t>
      </w:r>
      <w:proofErr w:type="spellEnd"/>
      <w:r w:rsidRPr="008A3753">
        <w:rPr>
          <w:color w:val="000000"/>
        </w:rPr>
        <w:t xml:space="preserve"> industrial </w:t>
      </w:r>
      <w:proofErr w:type="spellStart"/>
      <w:r w:rsidRPr="008A3753">
        <w:rPr>
          <w:color w:val="000000"/>
        </w:rPr>
        <w:t>avarage</w:t>
      </w:r>
      <w:proofErr w:type="spellEnd"/>
    </w:p>
    <w:p w:rsidR="008A3753" w:rsidRPr="008A3753" w:rsidRDefault="008A3753" w:rsidP="008A3753">
      <w:pPr>
        <w:autoSpaceDE w:val="0"/>
        <w:autoSpaceDN w:val="0"/>
        <w:adjustRightInd w:val="0"/>
        <w:spacing w:line="360" w:lineRule="auto"/>
        <w:jc w:val="both"/>
        <w:rPr>
          <w:color w:val="000000"/>
        </w:rPr>
      </w:pPr>
      <w:proofErr w:type="gramStart"/>
      <w:r w:rsidRPr="008A3753">
        <w:rPr>
          <w:color w:val="000000"/>
        </w:rPr>
        <w:t>e</w:t>
      </w:r>
      <w:proofErr w:type="gramEnd"/>
      <w:r w:rsidRPr="008A3753">
        <w:rPr>
          <w:color w:val="000000"/>
        </w:rPr>
        <w:t xml:space="preserve"> </w:t>
      </w:r>
      <w:proofErr w:type="spellStart"/>
      <w:r w:rsidRPr="008A3753">
        <w:rPr>
          <w:color w:val="000000"/>
        </w:rPr>
        <w:t>nikkei</w:t>
      </w:r>
      <w:proofErr w:type="spellEnd"/>
      <w:r w:rsidRPr="008A3753">
        <w:rPr>
          <w:color w:val="000000"/>
        </w:rPr>
        <w:t xml:space="preserve">-225 sobre o </w:t>
      </w:r>
      <w:proofErr w:type="spellStart"/>
      <w:r w:rsidRPr="008A3753">
        <w:rPr>
          <w:color w:val="000000"/>
        </w:rPr>
        <w:t>ibovespa</w:t>
      </w:r>
      <w:proofErr w:type="spellEnd"/>
      <w:r w:rsidRPr="008A3753">
        <w:rPr>
          <w:color w:val="000000"/>
        </w:rPr>
        <w:t>. Faculdades Ibmec. Dispon</w:t>
      </w:r>
      <w:r>
        <w:rPr>
          <w:color w:val="000000"/>
        </w:rPr>
        <w:t>í</w:t>
      </w:r>
      <w:r w:rsidRPr="008A3753">
        <w:rPr>
          <w:color w:val="000000"/>
        </w:rPr>
        <w:t xml:space="preserve">vel em:&lt; http://www. </w:t>
      </w:r>
      <w:proofErr w:type="gramStart"/>
      <w:r w:rsidRPr="008A3753">
        <w:rPr>
          <w:color w:val="000000"/>
        </w:rPr>
        <w:t>administradores</w:t>
      </w:r>
      <w:proofErr w:type="gramEnd"/>
      <w:r w:rsidRPr="008A3753">
        <w:rPr>
          <w:color w:val="000000"/>
        </w:rPr>
        <w:t>.</w:t>
      </w:r>
      <w:r>
        <w:rPr>
          <w:color w:val="000000"/>
        </w:rPr>
        <w:t xml:space="preserve"> </w:t>
      </w:r>
      <w:proofErr w:type="gramStart"/>
      <w:r w:rsidRPr="008A3753">
        <w:rPr>
          <w:color w:val="000000"/>
        </w:rPr>
        <w:t>com.</w:t>
      </w:r>
      <w:proofErr w:type="gramEnd"/>
      <w:r w:rsidRPr="008A3753">
        <w:rPr>
          <w:color w:val="000000"/>
        </w:rPr>
        <w:t xml:space="preserve"> br/informe-se/producaoacademica/in</w:t>
      </w:r>
      <w:r>
        <w:rPr>
          <w:color w:val="000000"/>
        </w:rPr>
        <w:t>fl</w:t>
      </w:r>
      <w:r w:rsidRPr="008A3753">
        <w:rPr>
          <w:color w:val="000000"/>
        </w:rPr>
        <w:t>uencia-dos-indices-dow-jones-e-nikkei-225-sobre-o-ibovespa/785/&gt; Acesso em, v. 9, n. 08, 2010.</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PHYLAKTIS, K.; RAVAZZOLO, F. Stock prices and exchange rate dynamics.</w:t>
      </w:r>
      <w:proofErr w:type="gramEnd"/>
      <w:r w:rsidRPr="008A3753">
        <w:rPr>
          <w:color w:val="000000"/>
          <w:lang w:val="en-US"/>
        </w:rPr>
        <w:t xml:space="preserve"> </w:t>
      </w:r>
      <w:proofErr w:type="gramStart"/>
      <w:r w:rsidRPr="00A4200B">
        <w:rPr>
          <w:i/>
          <w:color w:val="000000"/>
          <w:lang w:val="en-US"/>
        </w:rPr>
        <w:t>Journal of International Money and Finance</w:t>
      </w:r>
      <w:r w:rsidRPr="008A3753">
        <w:rPr>
          <w:color w:val="000000"/>
          <w:lang w:val="en-US"/>
        </w:rPr>
        <w:t>, Elsevier, v. 24, n. 7, p. 1031</w:t>
      </w:r>
      <w:r>
        <w:rPr>
          <w:color w:val="000000"/>
          <w:lang w:val="en-US"/>
        </w:rPr>
        <w:t>-</w:t>
      </w:r>
      <w:r w:rsidRPr="008A3753">
        <w:rPr>
          <w:color w:val="000000"/>
          <w:lang w:val="en-US"/>
        </w:rPr>
        <w:t>1053, 2005.</w:t>
      </w:r>
      <w:proofErr w:type="gramEnd"/>
    </w:p>
    <w:p w:rsidR="008A3753" w:rsidRPr="008A3753" w:rsidRDefault="008A3753" w:rsidP="008A3753">
      <w:pPr>
        <w:autoSpaceDE w:val="0"/>
        <w:autoSpaceDN w:val="0"/>
        <w:adjustRightInd w:val="0"/>
        <w:spacing w:line="360" w:lineRule="auto"/>
        <w:jc w:val="both"/>
        <w:rPr>
          <w:color w:val="000000"/>
          <w:lang w:val="en-US"/>
        </w:rPr>
      </w:pPr>
      <w:r w:rsidRPr="008A3753">
        <w:rPr>
          <w:color w:val="000000"/>
          <w:lang w:val="en-US"/>
        </w:rPr>
        <w:t xml:space="preserve">PLUMLEE, M. A. </w:t>
      </w:r>
      <w:proofErr w:type="gramStart"/>
      <w:r w:rsidRPr="008A3753">
        <w:rPr>
          <w:color w:val="000000"/>
          <w:lang w:val="en-US"/>
        </w:rPr>
        <w:t>The e</w:t>
      </w:r>
      <w:r>
        <w:rPr>
          <w:color w:val="000000"/>
          <w:lang w:val="en-US"/>
        </w:rPr>
        <w:t>ff</w:t>
      </w:r>
      <w:r w:rsidRPr="008A3753">
        <w:rPr>
          <w:color w:val="000000"/>
          <w:lang w:val="en-US"/>
        </w:rPr>
        <w:t>ect of information complexity on analysts' use of that information.</w:t>
      </w:r>
      <w:proofErr w:type="gramEnd"/>
      <w:r w:rsidRPr="008A3753">
        <w:rPr>
          <w:color w:val="000000"/>
          <w:lang w:val="en-US"/>
        </w:rPr>
        <w:t xml:space="preserve"> The</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Accounting Review, v. 78, n. 1, p. 275</w:t>
      </w:r>
      <w:r w:rsidR="007A5B2A">
        <w:rPr>
          <w:color w:val="000000"/>
          <w:lang w:val="en-US"/>
        </w:rPr>
        <w:t>-</w:t>
      </w:r>
      <w:r w:rsidRPr="008A3753">
        <w:rPr>
          <w:color w:val="000000"/>
          <w:lang w:val="en-US"/>
        </w:rPr>
        <w:t>296, 2003.</w:t>
      </w:r>
      <w:proofErr w:type="gramEnd"/>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lastRenderedPageBreak/>
        <w:t>SAATCIOGLU, K.; STARKS, L. T.</w:t>
      </w:r>
      <w:proofErr w:type="gramEnd"/>
      <w:r w:rsidRPr="008A3753">
        <w:rPr>
          <w:color w:val="000000"/>
          <w:lang w:val="en-US"/>
        </w:rPr>
        <w:t xml:space="preserve"> The stock price</w:t>
      </w:r>
      <w:r w:rsidR="007A5B2A">
        <w:rPr>
          <w:color w:val="000000"/>
          <w:lang w:val="en-US"/>
        </w:rPr>
        <w:t>-</w:t>
      </w:r>
      <w:r w:rsidRPr="008A3753">
        <w:rPr>
          <w:color w:val="000000"/>
          <w:lang w:val="en-US"/>
        </w:rPr>
        <w:t>volume relationship in emerging stock</w:t>
      </w:r>
      <w:r w:rsidR="007A5B2A">
        <w:rPr>
          <w:color w:val="000000"/>
          <w:lang w:val="en-US"/>
        </w:rPr>
        <w:t xml:space="preserve"> </w:t>
      </w:r>
      <w:r w:rsidRPr="008A3753">
        <w:rPr>
          <w:color w:val="000000"/>
          <w:lang w:val="en-US"/>
        </w:rPr>
        <w:t xml:space="preserve">markets: the case of </w:t>
      </w:r>
      <w:proofErr w:type="spellStart"/>
      <w:proofErr w:type="gramStart"/>
      <w:r w:rsidRPr="008A3753">
        <w:rPr>
          <w:color w:val="000000"/>
          <w:lang w:val="en-US"/>
        </w:rPr>
        <w:t>latin</w:t>
      </w:r>
      <w:proofErr w:type="spellEnd"/>
      <w:r w:rsidRPr="008A3753">
        <w:rPr>
          <w:color w:val="000000"/>
          <w:lang w:val="en-US"/>
        </w:rPr>
        <w:t xml:space="preserve"> </w:t>
      </w:r>
      <w:proofErr w:type="spellStart"/>
      <w:r w:rsidRPr="008A3753">
        <w:rPr>
          <w:color w:val="000000"/>
          <w:lang w:val="en-US"/>
        </w:rPr>
        <w:t>america</w:t>
      </w:r>
      <w:proofErr w:type="spellEnd"/>
      <w:proofErr w:type="gramEnd"/>
      <w:r w:rsidRPr="008A3753">
        <w:rPr>
          <w:color w:val="000000"/>
          <w:lang w:val="en-US"/>
        </w:rPr>
        <w:t xml:space="preserve">. </w:t>
      </w:r>
      <w:proofErr w:type="gramStart"/>
      <w:r w:rsidRPr="00A4200B">
        <w:rPr>
          <w:i/>
          <w:color w:val="000000"/>
          <w:lang w:val="en-US"/>
        </w:rPr>
        <w:t>International Journal of forecasting</w:t>
      </w:r>
      <w:r w:rsidRPr="008A3753">
        <w:rPr>
          <w:color w:val="000000"/>
          <w:lang w:val="en-US"/>
        </w:rPr>
        <w:t>, Elsevier, v. 14, n. 2, p.215</w:t>
      </w:r>
      <w:r w:rsidR="007A5B2A">
        <w:rPr>
          <w:color w:val="000000"/>
          <w:lang w:val="en-US"/>
        </w:rPr>
        <w:t>-</w:t>
      </w:r>
      <w:r w:rsidRPr="008A3753">
        <w:rPr>
          <w:color w:val="000000"/>
          <w:lang w:val="en-US"/>
        </w:rPr>
        <w:t>225, 1998.</w:t>
      </w:r>
      <w:proofErr w:type="gramEnd"/>
    </w:p>
    <w:p w:rsidR="008A3753" w:rsidRPr="007A5B2A" w:rsidRDefault="008A3753" w:rsidP="008A3753">
      <w:pPr>
        <w:autoSpaceDE w:val="0"/>
        <w:autoSpaceDN w:val="0"/>
        <w:adjustRightInd w:val="0"/>
        <w:spacing w:line="360" w:lineRule="auto"/>
        <w:jc w:val="both"/>
        <w:rPr>
          <w:color w:val="000000"/>
        </w:rPr>
      </w:pPr>
      <w:proofErr w:type="gramStart"/>
      <w:r w:rsidRPr="008A3753">
        <w:rPr>
          <w:color w:val="000000"/>
          <w:lang w:val="en-US"/>
        </w:rPr>
        <w:t>SOLNIK, B.; ROULET, J. Dispersion as cross-sectional correlation.</w:t>
      </w:r>
      <w:proofErr w:type="gramEnd"/>
      <w:r w:rsidRPr="008A3753">
        <w:rPr>
          <w:color w:val="000000"/>
          <w:lang w:val="en-US"/>
        </w:rPr>
        <w:t xml:space="preserve"> </w:t>
      </w:r>
      <w:r w:rsidRPr="00A4200B">
        <w:rPr>
          <w:i/>
          <w:color w:val="000000"/>
        </w:rPr>
        <w:t xml:space="preserve">Financial </w:t>
      </w:r>
      <w:proofErr w:type="spellStart"/>
      <w:r w:rsidRPr="00A4200B">
        <w:rPr>
          <w:i/>
          <w:color w:val="000000"/>
        </w:rPr>
        <w:t>Analysts</w:t>
      </w:r>
      <w:proofErr w:type="spellEnd"/>
      <w:r w:rsidRPr="00A4200B">
        <w:rPr>
          <w:i/>
          <w:color w:val="000000"/>
        </w:rPr>
        <w:t xml:space="preserve"> </w:t>
      </w:r>
      <w:proofErr w:type="spellStart"/>
      <w:r w:rsidRPr="00A4200B">
        <w:rPr>
          <w:i/>
          <w:color w:val="000000"/>
        </w:rPr>
        <w:t>Journal</w:t>
      </w:r>
      <w:proofErr w:type="spellEnd"/>
      <w:r w:rsidRPr="007A5B2A">
        <w:rPr>
          <w:color w:val="000000"/>
        </w:rPr>
        <w:t>,</w:t>
      </w:r>
    </w:p>
    <w:p w:rsidR="008A3753" w:rsidRPr="007A5B2A" w:rsidRDefault="008A3753" w:rsidP="008A3753">
      <w:pPr>
        <w:autoSpaceDE w:val="0"/>
        <w:autoSpaceDN w:val="0"/>
        <w:adjustRightInd w:val="0"/>
        <w:spacing w:line="360" w:lineRule="auto"/>
        <w:jc w:val="both"/>
        <w:rPr>
          <w:color w:val="000000"/>
        </w:rPr>
      </w:pPr>
      <w:r w:rsidRPr="007A5B2A">
        <w:rPr>
          <w:color w:val="000000"/>
        </w:rPr>
        <w:t xml:space="preserve">CFA </w:t>
      </w:r>
      <w:proofErr w:type="spellStart"/>
      <w:r w:rsidRPr="007A5B2A">
        <w:rPr>
          <w:color w:val="000000"/>
        </w:rPr>
        <w:t>Institute</w:t>
      </w:r>
      <w:proofErr w:type="spellEnd"/>
      <w:r w:rsidRPr="007A5B2A">
        <w:rPr>
          <w:color w:val="000000"/>
        </w:rPr>
        <w:t>, v. 56, n. 1, p. 54</w:t>
      </w:r>
      <w:r w:rsidR="007A5B2A" w:rsidRPr="007A5B2A">
        <w:rPr>
          <w:color w:val="000000"/>
        </w:rPr>
        <w:t>-</w:t>
      </w:r>
      <w:r w:rsidRPr="007A5B2A">
        <w:rPr>
          <w:color w:val="000000"/>
        </w:rPr>
        <w:t>61, 2000.</w:t>
      </w:r>
    </w:p>
    <w:p w:rsidR="008A3753" w:rsidRPr="007A5B2A" w:rsidRDefault="008A3753" w:rsidP="008A3753">
      <w:pPr>
        <w:autoSpaceDE w:val="0"/>
        <w:autoSpaceDN w:val="0"/>
        <w:adjustRightInd w:val="0"/>
        <w:spacing w:line="360" w:lineRule="auto"/>
        <w:jc w:val="both"/>
        <w:rPr>
          <w:color w:val="000000"/>
        </w:rPr>
      </w:pPr>
      <w:r w:rsidRPr="007A5B2A">
        <w:rPr>
          <w:color w:val="000000"/>
        </w:rPr>
        <w:t>SU</w:t>
      </w:r>
      <w:r w:rsidR="007A5B2A">
        <w:rPr>
          <w:color w:val="000000"/>
        </w:rPr>
        <w:t>Á</w:t>
      </w:r>
      <w:r w:rsidRPr="008A3753">
        <w:rPr>
          <w:color w:val="000000"/>
        </w:rPr>
        <w:t xml:space="preserve">REZ, M. M. </w:t>
      </w:r>
      <w:proofErr w:type="spellStart"/>
      <w:r w:rsidRPr="008A3753">
        <w:rPr>
          <w:color w:val="000000"/>
        </w:rPr>
        <w:t>An</w:t>
      </w:r>
      <w:r w:rsidR="007A5B2A">
        <w:rPr>
          <w:color w:val="000000"/>
        </w:rPr>
        <w:t>á</w:t>
      </w:r>
      <w:r w:rsidRPr="008A3753">
        <w:rPr>
          <w:color w:val="000000"/>
        </w:rPr>
        <w:t>lisis</w:t>
      </w:r>
      <w:proofErr w:type="spellEnd"/>
      <w:r w:rsidRPr="008A3753">
        <w:rPr>
          <w:color w:val="000000"/>
        </w:rPr>
        <w:t xml:space="preserve"> de </w:t>
      </w:r>
      <w:proofErr w:type="spellStart"/>
      <w:r w:rsidRPr="008A3753">
        <w:rPr>
          <w:color w:val="000000"/>
        </w:rPr>
        <w:t>los</w:t>
      </w:r>
      <w:proofErr w:type="spellEnd"/>
      <w:r w:rsidRPr="008A3753">
        <w:rPr>
          <w:color w:val="000000"/>
        </w:rPr>
        <w:t xml:space="preserve"> </w:t>
      </w:r>
      <w:proofErr w:type="spellStart"/>
      <w:r w:rsidRPr="008A3753">
        <w:rPr>
          <w:color w:val="000000"/>
        </w:rPr>
        <w:t>precios</w:t>
      </w:r>
      <w:proofErr w:type="spellEnd"/>
      <w:r w:rsidRPr="008A3753">
        <w:rPr>
          <w:color w:val="000000"/>
        </w:rPr>
        <w:t xml:space="preserve"> futuro y contado </w:t>
      </w:r>
      <w:proofErr w:type="spellStart"/>
      <w:proofErr w:type="gramStart"/>
      <w:r w:rsidRPr="008A3753">
        <w:rPr>
          <w:color w:val="000000"/>
        </w:rPr>
        <w:t>del</w:t>
      </w:r>
      <w:proofErr w:type="spellEnd"/>
      <w:proofErr w:type="gramEnd"/>
      <w:r w:rsidRPr="008A3753">
        <w:rPr>
          <w:color w:val="000000"/>
        </w:rPr>
        <w:t xml:space="preserve"> </w:t>
      </w:r>
      <w:proofErr w:type="spellStart"/>
      <w:r w:rsidRPr="008A3753">
        <w:rPr>
          <w:color w:val="000000"/>
        </w:rPr>
        <w:t>ibex</w:t>
      </w:r>
      <w:proofErr w:type="spellEnd"/>
      <w:r w:rsidRPr="008A3753">
        <w:rPr>
          <w:color w:val="000000"/>
        </w:rPr>
        <w:t xml:space="preserve">-35 </w:t>
      </w:r>
      <w:proofErr w:type="spellStart"/>
      <w:r w:rsidRPr="008A3753">
        <w:rPr>
          <w:color w:val="000000"/>
        </w:rPr>
        <w:t>en</w:t>
      </w:r>
      <w:proofErr w:type="spellEnd"/>
      <w:r w:rsidRPr="008A3753">
        <w:rPr>
          <w:color w:val="000000"/>
        </w:rPr>
        <w:t xml:space="preserve"> intervalos de 1 y 5</w:t>
      </w:r>
      <w:r w:rsidR="007A5B2A">
        <w:rPr>
          <w:color w:val="000000"/>
        </w:rPr>
        <w:t xml:space="preserve"> </w:t>
      </w:r>
      <w:r w:rsidRPr="008A3753">
        <w:rPr>
          <w:color w:val="000000"/>
        </w:rPr>
        <w:t xml:space="preserve">minutos para </w:t>
      </w:r>
      <w:proofErr w:type="spellStart"/>
      <w:r w:rsidRPr="008A3753">
        <w:rPr>
          <w:color w:val="000000"/>
        </w:rPr>
        <w:t>el</w:t>
      </w:r>
      <w:proofErr w:type="spellEnd"/>
      <w:r w:rsidRPr="008A3753">
        <w:rPr>
          <w:color w:val="000000"/>
        </w:rPr>
        <w:t xml:space="preserve"> ano 2003. Documentos de </w:t>
      </w:r>
      <w:proofErr w:type="spellStart"/>
      <w:r w:rsidRPr="008A3753">
        <w:rPr>
          <w:color w:val="000000"/>
        </w:rPr>
        <w:t>trabajo</w:t>
      </w:r>
      <w:proofErr w:type="spellEnd"/>
      <w:r w:rsidRPr="008A3753">
        <w:rPr>
          <w:color w:val="000000"/>
        </w:rPr>
        <w:t xml:space="preserve"> </w:t>
      </w:r>
      <w:proofErr w:type="spellStart"/>
      <w:r w:rsidR="007A5B2A">
        <w:rPr>
          <w:color w:val="000000"/>
        </w:rPr>
        <w:t>en</w:t>
      </w:r>
      <w:proofErr w:type="spellEnd"/>
      <w:r w:rsidR="007A5B2A">
        <w:rPr>
          <w:color w:val="000000"/>
        </w:rPr>
        <w:t xml:space="preserve"> </w:t>
      </w:r>
      <w:proofErr w:type="spellStart"/>
      <w:r w:rsidR="007A5B2A">
        <w:rPr>
          <w:color w:val="000000"/>
        </w:rPr>
        <w:t>fi</w:t>
      </w:r>
      <w:r w:rsidRPr="008A3753">
        <w:rPr>
          <w:color w:val="000000"/>
        </w:rPr>
        <w:t>nanzas</w:t>
      </w:r>
      <w:proofErr w:type="spellEnd"/>
      <w:r w:rsidRPr="008A3753">
        <w:rPr>
          <w:color w:val="000000"/>
        </w:rPr>
        <w:t xml:space="preserve"> de empresas, </w:t>
      </w:r>
      <w:proofErr w:type="spellStart"/>
      <w:r w:rsidRPr="008A3753">
        <w:rPr>
          <w:color w:val="000000"/>
        </w:rPr>
        <w:t>Doctorado</w:t>
      </w:r>
      <w:proofErr w:type="spellEnd"/>
      <w:r w:rsidRPr="008A3753">
        <w:rPr>
          <w:color w:val="000000"/>
        </w:rPr>
        <w:t xml:space="preserve"> </w:t>
      </w:r>
      <w:proofErr w:type="spellStart"/>
      <w:r w:rsidRPr="008A3753">
        <w:rPr>
          <w:color w:val="000000"/>
        </w:rPr>
        <w:t>en</w:t>
      </w:r>
      <w:proofErr w:type="spellEnd"/>
      <w:r w:rsidRPr="008A3753">
        <w:rPr>
          <w:color w:val="000000"/>
        </w:rPr>
        <w:t xml:space="preserve"> </w:t>
      </w:r>
      <w:proofErr w:type="spellStart"/>
      <w:r w:rsidRPr="008A3753">
        <w:rPr>
          <w:color w:val="000000"/>
        </w:rPr>
        <w:t>Finanzas</w:t>
      </w:r>
      <w:proofErr w:type="spellEnd"/>
      <w:r w:rsidR="007A5B2A">
        <w:rPr>
          <w:color w:val="000000"/>
        </w:rPr>
        <w:t xml:space="preserve"> </w:t>
      </w:r>
      <w:r w:rsidRPr="007A5B2A">
        <w:rPr>
          <w:color w:val="000000"/>
        </w:rPr>
        <w:t>de Empresa, n. 1, p. 1, 2008.</w:t>
      </w:r>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 xml:space="preserve">TSE, Y. K. Lead-lag relationship between spot index and futures price of the </w:t>
      </w:r>
      <w:proofErr w:type="spellStart"/>
      <w:r w:rsidRPr="008A3753">
        <w:rPr>
          <w:color w:val="000000"/>
          <w:lang w:val="en-US"/>
        </w:rPr>
        <w:t>nikkei</w:t>
      </w:r>
      <w:proofErr w:type="spellEnd"/>
      <w:r w:rsidRPr="008A3753">
        <w:rPr>
          <w:color w:val="000000"/>
          <w:lang w:val="en-US"/>
        </w:rPr>
        <w:t xml:space="preserve"> stock average.</w:t>
      </w:r>
      <w:proofErr w:type="gramEnd"/>
    </w:p>
    <w:p w:rsidR="008A3753" w:rsidRPr="008A3753" w:rsidRDefault="008A3753" w:rsidP="008A3753">
      <w:pPr>
        <w:autoSpaceDE w:val="0"/>
        <w:autoSpaceDN w:val="0"/>
        <w:adjustRightInd w:val="0"/>
        <w:spacing w:line="360" w:lineRule="auto"/>
        <w:jc w:val="both"/>
        <w:rPr>
          <w:color w:val="000000"/>
          <w:lang w:val="en-US"/>
        </w:rPr>
      </w:pPr>
      <w:proofErr w:type="gramStart"/>
      <w:r w:rsidRPr="00A4200B">
        <w:rPr>
          <w:i/>
          <w:color w:val="000000"/>
          <w:lang w:val="en-US"/>
        </w:rPr>
        <w:t>Journal of Forecasting</w:t>
      </w:r>
      <w:r w:rsidRPr="008A3753">
        <w:rPr>
          <w:color w:val="000000"/>
          <w:lang w:val="en-US"/>
        </w:rPr>
        <w:t>, Wiley Online Library, v. 14, n. 7, p. 553</w:t>
      </w:r>
      <w:r w:rsidR="007A5B2A">
        <w:rPr>
          <w:color w:val="000000"/>
          <w:lang w:val="en-US"/>
        </w:rPr>
        <w:t>-</w:t>
      </w:r>
      <w:r w:rsidRPr="008A3753">
        <w:rPr>
          <w:color w:val="000000"/>
          <w:lang w:val="en-US"/>
        </w:rPr>
        <w:t>563, 1995.</w:t>
      </w:r>
      <w:proofErr w:type="gramEnd"/>
    </w:p>
    <w:p w:rsidR="008A3753" w:rsidRPr="008A3753" w:rsidRDefault="008A3753" w:rsidP="008A3753">
      <w:pPr>
        <w:autoSpaceDE w:val="0"/>
        <w:autoSpaceDN w:val="0"/>
        <w:adjustRightInd w:val="0"/>
        <w:spacing w:line="360" w:lineRule="auto"/>
        <w:jc w:val="both"/>
        <w:rPr>
          <w:color w:val="000000"/>
          <w:lang w:val="en-US"/>
        </w:rPr>
      </w:pPr>
      <w:proofErr w:type="gramStart"/>
      <w:r w:rsidRPr="008A3753">
        <w:rPr>
          <w:color w:val="000000"/>
          <w:lang w:val="en-US"/>
        </w:rPr>
        <w:t>YANG, S.-Y.; DOONG, S.-C.</w:t>
      </w:r>
      <w:proofErr w:type="gramEnd"/>
      <w:r w:rsidRPr="008A3753">
        <w:rPr>
          <w:color w:val="000000"/>
          <w:lang w:val="en-US"/>
        </w:rPr>
        <w:t xml:space="preserve"> Price and volatility spillovers between stock prices and exchange</w:t>
      </w:r>
      <w:r w:rsidR="007A5B2A">
        <w:rPr>
          <w:color w:val="000000"/>
          <w:lang w:val="en-US"/>
        </w:rPr>
        <w:t xml:space="preserve"> </w:t>
      </w:r>
      <w:r w:rsidRPr="008A3753">
        <w:rPr>
          <w:color w:val="000000"/>
          <w:lang w:val="en-US"/>
        </w:rPr>
        <w:t xml:space="preserve">rates: empirical evidence from the g-7 countries. </w:t>
      </w:r>
      <w:r w:rsidRPr="00A4200B">
        <w:rPr>
          <w:i/>
          <w:color w:val="000000"/>
          <w:lang w:val="en-US"/>
        </w:rPr>
        <w:t>International Journal of Business and</w:t>
      </w:r>
      <w:r w:rsidR="007A5B2A" w:rsidRPr="00A4200B">
        <w:rPr>
          <w:i/>
          <w:color w:val="000000"/>
          <w:lang w:val="en-US"/>
        </w:rPr>
        <w:t xml:space="preserve"> </w:t>
      </w:r>
      <w:r w:rsidRPr="00A4200B">
        <w:rPr>
          <w:i/>
          <w:color w:val="000000"/>
          <w:lang w:val="en-US"/>
        </w:rPr>
        <w:t>Economics</w:t>
      </w:r>
      <w:proofErr w:type="gramStart"/>
      <w:r w:rsidRPr="008A3753">
        <w:rPr>
          <w:color w:val="000000"/>
          <w:lang w:val="en-US"/>
        </w:rPr>
        <w:t>,  v</w:t>
      </w:r>
      <w:proofErr w:type="gramEnd"/>
      <w:r w:rsidRPr="008A3753">
        <w:rPr>
          <w:color w:val="000000"/>
          <w:lang w:val="en-US"/>
        </w:rPr>
        <w:t>. 3, n. 2, p. 139, 2004.</w:t>
      </w:r>
    </w:p>
    <w:p w:rsidR="008A3753" w:rsidRPr="00A4200B" w:rsidRDefault="008A3753" w:rsidP="008A3753">
      <w:pPr>
        <w:autoSpaceDE w:val="0"/>
        <w:autoSpaceDN w:val="0"/>
        <w:adjustRightInd w:val="0"/>
        <w:spacing w:line="360" w:lineRule="auto"/>
        <w:jc w:val="both"/>
        <w:rPr>
          <w:i/>
          <w:color w:val="000000"/>
          <w:lang w:val="en-US"/>
        </w:rPr>
      </w:pPr>
      <w:proofErr w:type="gramStart"/>
      <w:r w:rsidRPr="008A3753">
        <w:rPr>
          <w:color w:val="000000"/>
          <w:lang w:val="en-US"/>
        </w:rPr>
        <w:t>ZAPATERO, F. Equilibrium asset prices and exchange rates.</w:t>
      </w:r>
      <w:proofErr w:type="gramEnd"/>
      <w:r w:rsidRPr="008A3753">
        <w:rPr>
          <w:color w:val="000000"/>
          <w:lang w:val="en-US"/>
        </w:rPr>
        <w:t xml:space="preserve"> </w:t>
      </w:r>
      <w:r w:rsidRPr="00A4200B">
        <w:rPr>
          <w:i/>
          <w:color w:val="000000"/>
          <w:lang w:val="en-US"/>
        </w:rPr>
        <w:t>Journal of Economic Dynamics and</w:t>
      </w:r>
    </w:p>
    <w:p w:rsidR="008A3753" w:rsidRPr="008A3753" w:rsidRDefault="008A3753" w:rsidP="008A3753">
      <w:pPr>
        <w:autoSpaceDE w:val="0"/>
        <w:autoSpaceDN w:val="0"/>
        <w:adjustRightInd w:val="0"/>
        <w:spacing w:line="360" w:lineRule="auto"/>
        <w:jc w:val="both"/>
        <w:rPr>
          <w:color w:val="000000"/>
          <w:lang w:val="en-US"/>
        </w:rPr>
      </w:pPr>
      <w:proofErr w:type="gramStart"/>
      <w:r w:rsidRPr="00A4200B">
        <w:rPr>
          <w:i/>
          <w:color w:val="000000"/>
          <w:lang w:val="en-US"/>
        </w:rPr>
        <w:t>Control</w:t>
      </w:r>
      <w:r w:rsidRPr="008A3753">
        <w:rPr>
          <w:color w:val="000000"/>
          <w:lang w:val="en-US"/>
        </w:rPr>
        <w:t>, Elsevier, v. 19, n. 4, p. 787</w:t>
      </w:r>
      <w:r w:rsidR="007A5B2A">
        <w:rPr>
          <w:color w:val="000000"/>
          <w:lang w:val="en-US"/>
        </w:rPr>
        <w:t>-</w:t>
      </w:r>
      <w:r w:rsidRPr="008A3753">
        <w:rPr>
          <w:color w:val="000000"/>
          <w:lang w:val="en-US"/>
        </w:rPr>
        <w:t>811, 1995.</w:t>
      </w:r>
      <w:proofErr w:type="gramEnd"/>
    </w:p>
    <w:p w:rsidR="008A3753" w:rsidRDefault="008A3753" w:rsidP="008A3753">
      <w:pPr>
        <w:autoSpaceDE w:val="0"/>
        <w:autoSpaceDN w:val="0"/>
        <w:adjustRightInd w:val="0"/>
        <w:spacing w:line="360" w:lineRule="auto"/>
        <w:jc w:val="both"/>
        <w:rPr>
          <w:color w:val="000000"/>
          <w:lang w:val="en-US"/>
        </w:rPr>
      </w:pPr>
    </w:p>
    <w:p w:rsidR="00A4200B" w:rsidRDefault="00A4200B" w:rsidP="008A3753">
      <w:pPr>
        <w:autoSpaceDE w:val="0"/>
        <w:autoSpaceDN w:val="0"/>
        <w:adjustRightInd w:val="0"/>
        <w:spacing w:line="360" w:lineRule="auto"/>
        <w:jc w:val="both"/>
        <w:rPr>
          <w:b/>
          <w:color w:val="000000"/>
          <w:lang w:val="en-US"/>
        </w:rPr>
      </w:pPr>
      <w:proofErr w:type="spellStart"/>
      <w:r w:rsidRPr="00A4200B">
        <w:rPr>
          <w:b/>
          <w:color w:val="000000"/>
          <w:lang w:val="en-US"/>
        </w:rPr>
        <w:t>Apêndice</w:t>
      </w:r>
      <w:proofErr w:type="spellEnd"/>
    </w:p>
    <w:p w:rsidR="0028731F" w:rsidRPr="007F3736" w:rsidRDefault="0028731F" w:rsidP="0028731F">
      <w:pPr>
        <w:autoSpaceDE w:val="0"/>
        <w:autoSpaceDN w:val="0"/>
        <w:adjustRightInd w:val="0"/>
        <w:spacing w:line="360" w:lineRule="auto"/>
      </w:pPr>
      <w:r>
        <w:rPr>
          <w:b/>
        </w:rPr>
        <w:t>Tabela 9.</w:t>
      </w:r>
      <w:r w:rsidRPr="009E75FB">
        <w:t xml:space="preserve"> </w:t>
      </w:r>
      <w:r>
        <w:rPr>
          <w:b/>
        </w:rPr>
        <w:t>Taxas cambiais utilizadas</w:t>
      </w:r>
      <w:r w:rsidRPr="009E75FB">
        <w:rPr>
          <w:b/>
        </w:rPr>
        <w:t xml:space="preserve"> </w:t>
      </w:r>
    </w:p>
    <w:p w:rsidR="00A4200B" w:rsidRDefault="00A4200B" w:rsidP="008A3753">
      <w:pPr>
        <w:autoSpaceDE w:val="0"/>
        <w:autoSpaceDN w:val="0"/>
        <w:adjustRightInd w:val="0"/>
        <w:spacing w:line="360" w:lineRule="auto"/>
        <w:jc w:val="both"/>
        <w:rPr>
          <w:b/>
          <w:color w:val="000000"/>
          <w:lang w:val="en-US"/>
        </w:rPr>
      </w:pPr>
      <w:r>
        <w:rPr>
          <w:b/>
          <w:noProof/>
          <w:color w:val="000000"/>
        </w:rPr>
        <w:drawing>
          <wp:inline distT="0" distB="0" distL="0" distR="0">
            <wp:extent cx="6114415" cy="3848735"/>
            <wp:effectExtent l="19050" t="0" r="635" b="0"/>
            <wp:docPr id="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6114415" cy="3848735"/>
                    </a:xfrm>
                    <a:prstGeom prst="rect">
                      <a:avLst/>
                    </a:prstGeom>
                    <a:noFill/>
                    <a:ln w="9525">
                      <a:noFill/>
                      <a:miter lim="800000"/>
                      <a:headEnd/>
                      <a:tailEnd/>
                    </a:ln>
                  </pic:spPr>
                </pic:pic>
              </a:graphicData>
            </a:graphic>
          </wp:inline>
        </w:drawing>
      </w:r>
    </w:p>
    <w:p w:rsidR="0028731F" w:rsidRPr="00A4200B" w:rsidRDefault="0028731F" w:rsidP="0028731F">
      <w:pPr>
        <w:autoSpaceDE w:val="0"/>
        <w:autoSpaceDN w:val="0"/>
        <w:adjustRightInd w:val="0"/>
        <w:spacing w:line="360" w:lineRule="auto"/>
        <w:rPr>
          <w:b/>
          <w:color w:val="000000"/>
          <w:lang w:val="en-US"/>
        </w:rPr>
      </w:pPr>
      <w:r w:rsidRPr="00E56F36">
        <w:rPr>
          <w:rStyle w:val="hps"/>
          <w:color w:val="333333"/>
        </w:rPr>
        <w:t xml:space="preserve">Fonte: </w:t>
      </w:r>
      <w:r w:rsidRPr="00E56F36">
        <w:rPr>
          <w:rStyle w:val="hps"/>
          <w:i/>
          <w:color w:val="333333"/>
        </w:rPr>
        <w:t>Elaboração própria.</w:t>
      </w:r>
    </w:p>
    <w:sectPr w:rsidR="0028731F" w:rsidRPr="00A4200B" w:rsidSect="004E3CA6">
      <w:footerReference w:type="default" r:id="rId15"/>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B2A" w:rsidRDefault="007A5B2A" w:rsidP="009E5FF0">
      <w:r>
        <w:separator/>
      </w:r>
    </w:p>
  </w:endnote>
  <w:endnote w:type="continuationSeparator" w:id="0">
    <w:p w:rsidR="007A5B2A" w:rsidRDefault="007A5B2A" w:rsidP="009E5F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B2A" w:rsidRDefault="007A5B2A" w:rsidP="0060794A">
    <w:pPr>
      <w:autoSpaceDE w:val="0"/>
      <w:autoSpaceDN w:val="0"/>
      <w:adjustRightInd w:val="0"/>
      <w:spacing w:line="360" w:lineRule="auto"/>
      <w:ind w:firstLine="708"/>
      <w:jc w:val="both"/>
      <w:rPr>
        <w:color w:val="000000"/>
      </w:rPr>
    </w:pPr>
  </w:p>
  <w:p w:rsidR="007A5B2A" w:rsidRDefault="007A5B2A">
    <w:pPr>
      <w:pStyle w:val="Rodap"/>
    </w:pPr>
  </w:p>
  <w:p w:rsidR="007A5B2A" w:rsidRDefault="007A5B2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B2A" w:rsidRDefault="007A5B2A" w:rsidP="009E5FF0">
      <w:r>
        <w:separator/>
      </w:r>
    </w:p>
  </w:footnote>
  <w:footnote w:type="continuationSeparator" w:id="0">
    <w:p w:rsidR="007A5B2A" w:rsidRDefault="007A5B2A" w:rsidP="009E5FF0">
      <w:r>
        <w:continuationSeparator/>
      </w:r>
    </w:p>
  </w:footnote>
  <w:footnote w:id="1">
    <w:p w:rsidR="007A5B2A" w:rsidRDefault="007A5B2A">
      <w:pPr>
        <w:pStyle w:val="Textodenotaderodap"/>
      </w:pPr>
      <w:r>
        <w:rPr>
          <w:rStyle w:val="Refdenotaderodap"/>
        </w:rPr>
        <w:t>a</w:t>
      </w:r>
      <w:r>
        <w:t xml:space="preserve"> Doutorando em Economia pela Universidade de Brasília e Universidade da Califórnia Riverside (UNB/UCR)</w:t>
      </w:r>
      <w:r w:rsidRPr="004A459F">
        <w:t>. E-mail:</w:t>
      </w:r>
      <w:r>
        <w:t xml:space="preserve"> </w:t>
      </w:r>
      <w:hyperlink r:id="rId1" w:history="1">
        <w:r w:rsidRPr="001961D7">
          <w:rPr>
            <w:rStyle w:val="Hyperlink"/>
          </w:rPr>
          <w:t>andrenmaranhao@gmail.com</w:t>
        </w:r>
      </w:hyperlink>
      <w:r w:rsidRPr="004A459F">
        <w:t>.</w:t>
      </w:r>
      <w:r>
        <w:t xml:space="preserve"> Endereço:</w:t>
      </w:r>
      <w:r w:rsidRPr="006960CE">
        <w:rPr>
          <w:rFonts w:ascii="Verdana" w:hAnsi="Verdana"/>
          <w:color w:val="000000"/>
          <w:sz w:val="15"/>
          <w:szCs w:val="15"/>
        </w:rPr>
        <w:t xml:space="preserve"> </w:t>
      </w:r>
      <w:r w:rsidRPr="006960CE">
        <w:t>SAUN Quadra 5 Lote 1 - 7o. Andar</w:t>
      </w:r>
    </w:p>
  </w:footnote>
  <w:footnote w:id="2">
    <w:p w:rsidR="007A5B2A" w:rsidRPr="006960CE" w:rsidRDefault="007A5B2A">
      <w:pPr>
        <w:pStyle w:val="Textodenotaderodap"/>
      </w:pPr>
      <w:r>
        <w:rPr>
          <w:rStyle w:val="Refdenotaderodap"/>
        </w:rPr>
        <w:t>b</w:t>
      </w:r>
      <w:r>
        <w:t xml:space="preserve"> Mestre em Finanças pela Universidade de Brasília (UNB)</w:t>
      </w:r>
      <w:r w:rsidRPr="004A459F">
        <w:t xml:space="preserve">. </w:t>
      </w:r>
      <w:proofErr w:type="gramStart"/>
      <w:r w:rsidRPr="006960CE">
        <w:t>E-mail:</w:t>
      </w:r>
      <w:proofErr w:type="gramEnd"/>
      <w:r w:rsidRPr="006960CE">
        <w:t>wendysidon@gmail.com.</w:t>
      </w:r>
    </w:p>
  </w:footnote>
  <w:footnote w:id="3">
    <w:p w:rsidR="007A5B2A" w:rsidRDefault="007A5B2A" w:rsidP="005C1E93">
      <w:pPr>
        <w:autoSpaceDE w:val="0"/>
        <w:autoSpaceDN w:val="0"/>
        <w:adjustRightInd w:val="0"/>
        <w:spacing w:line="360" w:lineRule="auto"/>
        <w:ind w:firstLine="708"/>
        <w:jc w:val="both"/>
        <w:rPr>
          <w:color w:val="000000"/>
        </w:rPr>
      </w:pPr>
      <w:r>
        <w:rPr>
          <w:rStyle w:val="Refdenotaderodap"/>
          <w:sz w:val="20"/>
          <w:szCs w:val="20"/>
        </w:rPr>
        <w:footnoteRef/>
      </w:r>
      <w:r>
        <w:rPr>
          <w:rStyle w:val="Refdenotaderodap"/>
        </w:rPr>
        <w:footnoteRef/>
      </w:r>
      <w:r w:rsidRPr="005C1E93">
        <w:t xml:space="preserve"> </w:t>
      </w:r>
      <w:r w:rsidRPr="005C1E93">
        <w:rPr>
          <w:color w:val="000000"/>
          <w:sz w:val="16"/>
          <w:szCs w:val="16"/>
        </w:rPr>
        <w:t>Uma questão comum tratada na literatura dos modelos de GARCH e a existência de caldas pesadas nas distribuições dos retornos, esse aspecto recentemente também tem sido tratado em modelos multivariados, contudo para o presente estudo, dado a construção dos testes de causalidade de Granger de segunda ordem, trataremos apenas o caso do modelo BEKK de normalidade multivariada.</w:t>
      </w:r>
    </w:p>
    <w:p w:rsidR="007A5B2A" w:rsidRPr="005C1E93" w:rsidRDefault="007A5B2A">
      <w:pPr>
        <w:pStyle w:val="Textodenotaderodap"/>
      </w:pPr>
    </w:p>
  </w:footnote>
  <w:footnote w:id="4">
    <w:p w:rsidR="007A5B2A" w:rsidRDefault="007A5B2A" w:rsidP="00551D21">
      <w:pPr>
        <w:autoSpaceDE w:val="0"/>
        <w:autoSpaceDN w:val="0"/>
        <w:adjustRightInd w:val="0"/>
        <w:spacing w:line="360" w:lineRule="auto"/>
        <w:ind w:firstLine="708"/>
        <w:jc w:val="both"/>
      </w:pPr>
      <w:r>
        <w:rPr>
          <w:rStyle w:val="Refdenotaderodap"/>
        </w:rPr>
        <w:footnoteRef/>
      </w:r>
      <w:r w:rsidRPr="00551D21">
        <w:t xml:space="preserve"> </w:t>
      </w:r>
      <w:r w:rsidRPr="00551D21">
        <w:rPr>
          <w:sz w:val="16"/>
          <w:szCs w:val="16"/>
        </w:rPr>
        <w:t xml:space="preserve"> </w:t>
      </w: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m</m:t>
            </m:r>
          </m:sub>
        </m:sSub>
        <m:r>
          <w:rPr>
            <w:rFonts w:ascii="Cambria Math" w:hAnsi="Cambria Math"/>
            <w:sz w:val="16"/>
            <w:szCs w:val="16"/>
          </w:rPr>
          <m:t xml:space="preserve"> </m:t>
        </m:r>
      </m:oMath>
      <w:proofErr w:type="gramStart"/>
      <w:r w:rsidRPr="00551D21">
        <w:rPr>
          <w:sz w:val="16"/>
          <w:szCs w:val="16"/>
        </w:rPr>
        <w:t>representa</w:t>
      </w:r>
      <w:proofErr w:type="gramEnd"/>
      <w:r w:rsidRPr="00551D21">
        <w:rPr>
          <w:sz w:val="16"/>
          <w:szCs w:val="16"/>
        </w:rPr>
        <w:t xml:space="preserve"> a ordem P em modelos GARCH(p; q)</w:t>
      </w:r>
    </w:p>
    <w:p w:rsidR="007A5B2A" w:rsidRPr="00551D21" w:rsidRDefault="007A5B2A">
      <w:pPr>
        <w:pStyle w:val="Textodenotaderodap"/>
      </w:pPr>
    </w:p>
  </w:footnote>
  <w:footnote w:id="5">
    <w:p w:rsidR="007A5B2A" w:rsidRDefault="007A5B2A" w:rsidP="00727022">
      <w:pPr>
        <w:autoSpaceDE w:val="0"/>
        <w:autoSpaceDN w:val="0"/>
        <w:adjustRightInd w:val="0"/>
        <w:spacing w:line="360" w:lineRule="auto"/>
        <w:ind w:firstLine="708"/>
        <w:jc w:val="both"/>
      </w:pPr>
      <w:r>
        <w:rPr>
          <w:rStyle w:val="Refdenotaderodap"/>
        </w:rPr>
        <w:footnoteRef/>
      </w:r>
      <w:r w:rsidRPr="00727022">
        <w:t xml:space="preserve"> </w:t>
      </w:r>
      <w:r w:rsidRPr="00727022">
        <w:rPr>
          <w:sz w:val="16"/>
          <w:szCs w:val="16"/>
        </w:rPr>
        <w:t>A tabela com as 48</w:t>
      </w:r>
      <w:r>
        <w:rPr>
          <w:sz w:val="16"/>
          <w:szCs w:val="16"/>
        </w:rPr>
        <w:t xml:space="preserve"> taxas cambiais utilizadas, estã</w:t>
      </w:r>
      <w:r w:rsidRPr="00727022">
        <w:rPr>
          <w:sz w:val="16"/>
          <w:szCs w:val="16"/>
        </w:rPr>
        <w:t>o descritas no Apêndice.</w:t>
      </w:r>
    </w:p>
    <w:p w:rsidR="007A5B2A" w:rsidRPr="00727022" w:rsidRDefault="007A5B2A">
      <w:pPr>
        <w:pStyle w:val="Textodenotaderodap"/>
      </w:pPr>
    </w:p>
  </w:footnote>
  <w:footnote w:id="6">
    <w:p w:rsidR="007A5B2A" w:rsidRDefault="007A5B2A" w:rsidP="00727022">
      <w:pPr>
        <w:autoSpaceDE w:val="0"/>
        <w:autoSpaceDN w:val="0"/>
        <w:adjustRightInd w:val="0"/>
        <w:spacing w:line="360" w:lineRule="auto"/>
        <w:ind w:firstLine="708"/>
        <w:jc w:val="both"/>
      </w:pPr>
      <w:r>
        <w:rPr>
          <w:rStyle w:val="Refdenotaderodap"/>
        </w:rPr>
        <w:footnoteRef/>
      </w:r>
      <w:r w:rsidRPr="00727022">
        <w:t xml:space="preserve"> </w:t>
      </w:r>
      <w:r w:rsidRPr="006F6453">
        <w:rPr>
          <w:sz w:val="16"/>
          <w:szCs w:val="16"/>
        </w:rPr>
        <w:t>Todos os dados utilizados estão disponíveis e foram obtidos na plataforma Bloomberg.</w:t>
      </w:r>
    </w:p>
    <w:p w:rsidR="007A5B2A" w:rsidRPr="00727022" w:rsidRDefault="007A5B2A">
      <w:pPr>
        <w:pStyle w:val="Textodenotaderodap"/>
      </w:pPr>
    </w:p>
  </w:footnote>
  <w:footnote w:id="7">
    <w:p w:rsidR="007A5B2A" w:rsidRPr="00B42B91" w:rsidRDefault="007A5B2A" w:rsidP="00B42B91">
      <w:pPr>
        <w:autoSpaceDE w:val="0"/>
        <w:autoSpaceDN w:val="0"/>
        <w:adjustRightInd w:val="0"/>
        <w:spacing w:line="360" w:lineRule="auto"/>
        <w:ind w:firstLine="708"/>
        <w:jc w:val="both"/>
        <w:rPr>
          <w:sz w:val="16"/>
          <w:szCs w:val="16"/>
        </w:rPr>
      </w:pPr>
      <w:r>
        <w:rPr>
          <w:rStyle w:val="Refdenotaderodap"/>
        </w:rPr>
        <w:footnoteRef/>
      </w:r>
      <w:r w:rsidRPr="00B42B91">
        <w:t xml:space="preserve"> </w:t>
      </w:r>
      <w:r w:rsidRPr="00B42B91">
        <w:rPr>
          <w:sz w:val="16"/>
          <w:szCs w:val="16"/>
        </w:rPr>
        <w:t>Teste do Multiplicador de Lagrange para autocorrelação com a</w:t>
      </w:r>
      <w:r>
        <w:rPr>
          <w:sz w:val="16"/>
          <w:szCs w:val="16"/>
        </w:rPr>
        <w:t xml:space="preserve"> </w:t>
      </w:r>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0</m:t>
            </m:r>
          </m:sub>
        </m:sSub>
        <m:r>
          <w:rPr>
            <w:rFonts w:ascii="Cambria Math" w:hAnsi="Cambria Math"/>
            <w:sz w:val="16"/>
            <w:szCs w:val="16"/>
          </w:rPr>
          <m:t>:</m:t>
        </m:r>
      </m:oMath>
      <w:r w:rsidRPr="00B42B91">
        <w:rPr>
          <w:sz w:val="16"/>
          <w:szCs w:val="16"/>
        </w:rPr>
        <w:t xml:space="preserve"> Ausência de autocorrelação na k-ésima defasagem.</w:t>
      </w:r>
    </w:p>
    <w:p w:rsidR="007A5B2A" w:rsidRDefault="007A5B2A">
      <w:pPr>
        <w:pStyle w:val="Textodenotaderodap"/>
      </w:pPr>
    </w:p>
    <w:p w:rsidR="007A5B2A" w:rsidRPr="00B42B91" w:rsidRDefault="007A5B2A">
      <w:pPr>
        <w:pStyle w:val="Textodenotaderodap"/>
      </w:pPr>
    </w:p>
  </w:footnote>
  <w:footnote w:id="8">
    <w:p w:rsidR="007A5B2A" w:rsidRDefault="007A5B2A" w:rsidP="007915CC">
      <w:pPr>
        <w:autoSpaceDE w:val="0"/>
        <w:autoSpaceDN w:val="0"/>
        <w:adjustRightInd w:val="0"/>
        <w:spacing w:line="360" w:lineRule="auto"/>
        <w:ind w:firstLine="708"/>
        <w:jc w:val="both"/>
      </w:pPr>
      <w:r>
        <w:rPr>
          <w:rStyle w:val="Refdenotaderodap"/>
        </w:rPr>
        <w:footnoteRef/>
      </w:r>
      <w:r>
        <w:t xml:space="preserve"> </w:t>
      </w:r>
      <w:r w:rsidRPr="007915CC">
        <w:rPr>
          <w:sz w:val="16"/>
          <w:szCs w:val="16"/>
        </w:rPr>
        <w:t xml:space="preserve">Testes T </w:t>
      </w:r>
      <w:proofErr w:type="spellStart"/>
      <w:r w:rsidRPr="007915CC">
        <w:rPr>
          <w:sz w:val="16"/>
          <w:szCs w:val="16"/>
        </w:rPr>
        <w:t>unicaudais</w:t>
      </w:r>
      <w:proofErr w:type="spellEnd"/>
      <w:r w:rsidRPr="007915CC">
        <w:rPr>
          <w:sz w:val="16"/>
          <w:szCs w:val="16"/>
        </w:rPr>
        <w:t xml:space="preserve"> com variâncias desiguais.</w:t>
      </w:r>
    </w:p>
    <w:p w:rsidR="007A5B2A" w:rsidRDefault="007A5B2A" w:rsidP="007915CC">
      <w:pPr>
        <w:autoSpaceDE w:val="0"/>
        <w:autoSpaceDN w:val="0"/>
        <w:adjustRightInd w:val="0"/>
        <w:spacing w:line="360" w:lineRule="auto"/>
        <w:ind w:firstLine="708"/>
        <w:jc w:val="both"/>
      </w:pPr>
    </w:p>
    <w:p w:rsidR="007A5B2A" w:rsidRDefault="007A5B2A">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E4271"/>
    <w:multiLevelType w:val="multilevel"/>
    <w:tmpl w:val="4C4457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7585FC7"/>
    <w:multiLevelType w:val="hybridMultilevel"/>
    <w:tmpl w:val="4AE8F452"/>
    <w:lvl w:ilvl="0" w:tplc="7F546140">
      <w:start w:val="1"/>
      <w:numFmt w:val="bullet"/>
      <w:lvlText w:val=""/>
      <w:lvlJc w:val="left"/>
      <w:pPr>
        <w:tabs>
          <w:tab w:val="num" w:pos="720"/>
        </w:tabs>
        <w:ind w:left="720" w:hanging="360"/>
      </w:pPr>
      <w:rPr>
        <w:rFonts w:ascii="Wingdings" w:hAnsi="Wingdings" w:hint="default"/>
      </w:rPr>
    </w:lvl>
    <w:lvl w:ilvl="1" w:tplc="314CBDC4">
      <w:start w:val="556"/>
      <w:numFmt w:val="bullet"/>
      <w:lvlText w:val=""/>
      <w:lvlJc w:val="left"/>
      <w:pPr>
        <w:tabs>
          <w:tab w:val="num" w:pos="1440"/>
        </w:tabs>
        <w:ind w:left="1440" w:hanging="360"/>
      </w:pPr>
      <w:rPr>
        <w:rFonts w:ascii="Wingdings" w:hAnsi="Wingdings" w:hint="default"/>
      </w:rPr>
    </w:lvl>
    <w:lvl w:ilvl="2" w:tplc="99CE1FFA" w:tentative="1">
      <w:start w:val="1"/>
      <w:numFmt w:val="bullet"/>
      <w:lvlText w:val=""/>
      <w:lvlJc w:val="left"/>
      <w:pPr>
        <w:tabs>
          <w:tab w:val="num" w:pos="2160"/>
        </w:tabs>
        <w:ind w:left="2160" w:hanging="360"/>
      </w:pPr>
      <w:rPr>
        <w:rFonts w:ascii="Wingdings" w:hAnsi="Wingdings" w:hint="default"/>
      </w:rPr>
    </w:lvl>
    <w:lvl w:ilvl="3" w:tplc="14648802" w:tentative="1">
      <w:start w:val="1"/>
      <w:numFmt w:val="bullet"/>
      <w:lvlText w:val=""/>
      <w:lvlJc w:val="left"/>
      <w:pPr>
        <w:tabs>
          <w:tab w:val="num" w:pos="2880"/>
        </w:tabs>
        <w:ind w:left="2880" w:hanging="360"/>
      </w:pPr>
      <w:rPr>
        <w:rFonts w:ascii="Wingdings" w:hAnsi="Wingdings" w:hint="default"/>
      </w:rPr>
    </w:lvl>
    <w:lvl w:ilvl="4" w:tplc="55F0583C" w:tentative="1">
      <w:start w:val="1"/>
      <w:numFmt w:val="bullet"/>
      <w:lvlText w:val=""/>
      <w:lvlJc w:val="left"/>
      <w:pPr>
        <w:tabs>
          <w:tab w:val="num" w:pos="3600"/>
        </w:tabs>
        <w:ind w:left="3600" w:hanging="360"/>
      </w:pPr>
      <w:rPr>
        <w:rFonts w:ascii="Wingdings" w:hAnsi="Wingdings" w:hint="default"/>
      </w:rPr>
    </w:lvl>
    <w:lvl w:ilvl="5" w:tplc="4CC8E3E0" w:tentative="1">
      <w:start w:val="1"/>
      <w:numFmt w:val="bullet"/>
      <w:lvlText w:val=""/>
      <w:lvlJc w:val="left"/>
      <w:pPr>
        <w:tabs>
          <w:tab w:val="num" w:pos="4320"/>
        </w:tabs>
        <w:ind w:left="4320" w:hanging="360"/>
      </w:pPr>
      <w:rPr>
        <w:rFonts w:ascii="Wingdings" w:hAnsi="Wingdings" w:hint="default"/>
      </w:rPr>
    </w:lvl>
    <w:lvl w:ilvl="6" w:tplc="88021B72" w:tentative="1">
      <w:start w:val="1"/>
      <w:numFmt w:val="bullet"/>
      <w:lvlText w:val=""/>
      <w:lvlJc w:val="left"/>
      <w:pPr>
        <w:tabs>
          <w:tab w:val="num" w:pos="5040"/>
        </w:tabs>
        <w:ind w:left="5040" w:hanging="360"/>
      </w:pPr>
      <w:rPr>
        <w:rFonts w:ascii="Wingdings" w:hAnsi="Wingdings" w:hint="default"/>
      </w:rPr>
    </w:lvl>
    <w:lvl w:ilvl="7" w:tplc="59E6416C" w:tentative="1">
      <w:start w:val="1"/>
      <w:numFmt w:val="bullet"/>
      <w:lvlText w:val=""/>
      <w:lvlJc w:val="left"/>
      <w:pPr>
        <w:tabs>
          <w:tab w:val="num" w:pos="5760"/>
        </w:tabs>
        <w:ind w:left="5760" w:hanging="360"/>
      </w:pPr>
      <w:rPr>
        <w:rFonts w:ascii="Wingdings" w:hAnsi="Wingdings" w:hint="default"/>
      </w:rPr>
    </w:lvl>
    <w:lvl w:ilvl="8" w:tplc="1B561A86" w:tentative="1">
      <w:start w:val="1"/>
      <w:numFmt w:val="bullet"/>
      <w:lvlText w:val=""/>
      <w:lvlJc w:val="left"/>
      <w:pPr>
        <w:tabs>
          <w:tab w:val="num" w:pos="6480"/>
        </w:tabs>
        <w:ind w:left="6480" w:hanging="360"/>
      </w:pPr>
      <w:rPr>
        <w:rFonts w:ascii="Wingdings" w:hAnsi="Wingdings" w:hint="default"/>
      </w:rPr>
    </w:lvl>
  </w:abstractNum>
  <w:abstractNum w:abstractNumId="2">
    <w:nsid w:val="0B9578C2"/>
    <w:multiLevelType w:val="hybridMultilevel"/>
    <w:tmpl w:val="1A080CF6"/>
    <w:lvl w:ilvl="0" w:tplc="B6568468">
      <w:start w:val="1"/>
      <w:numFmt w:val="bullet"/>
      <w:lvlText w:val="•"/>
      <w:lvlJc w:val="left"/>
      <w:pPr>
        <w:tabs>
          <w:tab w:val="num" w:pos="720"/>
        </w:tabs>
        <w:ind w:left="720" w:hanging="360"/>
      </w:pPr>
      <w:rPr>
        <w:rFonts w:ascii="Times New Roman" w:hAnsi="Times New Roman" w:hint="default"/>
      </w:rPr>
    </w:lvl>
    <w:lvl w:ilvl="1" w:tplc="0CA8DF32" w:tentative="1">
      <w:start w:val="1"/>
      <w:numFmt w:val="bullet"/>
      <w:lvlText w:val="•"/>
      <w:lvlJc w:val="left"/>
      <w:pPr>
        <w:tabs>
          <w:tab w:val="num" w:pos="1440"/>
        </w:tabs>
        <w:ind w:left="1440" w:hanging="360"/>
      </w:pPr>
      <w:rPr>
        <w:rFonts w:ascii="Times New Roman" w:hAnsi="Times New Roman" w:hint="default"/>
      </w:rPr>
    </w:lvl>
    <w:lvl w:ilvl="2" w:tplc="FD1EEF0E" w:tentative="1">
      <w:start w:val="1"/>
      <w:numFmt w:val="bullet"/>
      <w:lvlText w:val="•"/>
      <w:lvlJc w:val="left"/>
      <w:pPr>
        <w:tabs>
          <w:tab w:val="num" w:pos="2160"/>
        </w:tabs>
        <w:ind w:left="2160" w:hanging="360"/>
      </w:pPr>
      <w:rPr>
        <w:rFonts w:ascii="Times New Roman" w:hAnsi="Times New Roman" w:hint="default"/>
      </w:rPr>
    </w:lvl>
    <w:lvl w:ilvl="3" w:tplc="AB929B7E" w:tentative="1">
      <w:start w:val="1"/>
      <w:numFmt w:val="bullet"/>
      <w:lvlText w:val="•"/>
      <w:lvlJc w:val="left"/>
      <w:pPr>
        <w:tabs>
          <w:tab w:val="num" w:pos="2880"/>
        </w:tabs>
        <w:ind w:left="2880" w:hanging="360"/>
      </w:pPr>
      <w:rPr>
        <w:rFonts w:ascii="Times New Roman" w:hAnsi="Times New Roman" w:hint="default"/>
      </w:rPr>
    </w:lvl>
    <w:lvl w:ilvl="4" w:tplc="C35AE57C" w:tentative="1">
      <w:start w:val="1"/>
      <w:numFmt w:val="bullet"/>
      <w:lvlText w:val="•"/>
      <w:lvlJc w:val="left"/>
      <w:pPr>
        <w:tabs>
          <w:tab w:val="num" w:pos="3600"/>
        </w:tabs>
        <w:ind w:left="3600" w:hanging="360"/>
      </w:pPr>
      <w:rPr>
        <w:rFonts w:ascii="Times New Roman" w:hAnsi="Times New Roman" w:hint="default"/>
      </w:rPr>
    </w:lvl>
    <w:lvl w:ilvl="5" w:tplc="747C589C" w:tentative="1">
      <w:start w:val="1"/>
      <w:numFmt w:val="bullet"/>
      <w:lvlText w:val="•"/>
      <w:lvlJc w:val="left"/>
      <w:pPr>
        <w:tabs>
          <w:tab w:val="num" w:pos="4320"/>
        </w:tabs>
        <w:ind w:left="4320" w:hanging="360"/>
      </w:pPr>
      <w:rPr>
        <w:rFonts w:ascii="Times New Roman" w:hAnsi="Times New Roman" w:hint="default"/>
      </w:rPr>
    </w:lvl>
    <w:lvl w:ilvl="6" w:tplc="E3E423AC" w:tentative="1">
      <w:start w:val="1"/>
      <w:numFmt w:val="bullet"/>
      <w:lvlText w:val="•"/>
      <w:lvlJc w:val="left"/>
      <w:pPr>
        <w:tabs>
          <w:tab w:val="num" w:pos="5040"/>
        </w:tabs>
        <w:ind w:left="5040" w:hanging="360"/>
      </w:pPr>
      <w:rPr>
        <w:rFonts w:ascii="Times New Roman" w:hAnsi="Times New Roman" w:hint="default"/>
      </w:rPr>
    </w:lvl>
    <w:lvl w:ilvl="7" w:tplc="CBBEF7D4" w:tentative="1">
      <w:start w:val="1"/>
      <w:numFmt w:val="bullet"/>
      <w:lvlText w:val="•"/>
      <w:lvlJc w:val="left"/>
      <w:pPr>
        <w:tabs>
          <w:tab w:val="num" w:pos="5760"/>
        </w:tabs>
        <w:ind w:left="5760" w:hanging="360"/>
      </w:pPr>
      <w:rPr>
        <w:rFonts w:ascii="Times New Roman" w:hAnsi="Times New Roman" w:hint="default"/>
      </w:rPr>
    </w:lvl>
    <w:lvl w:ilvl="8" w:tplc="283C0AB4"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263CED"/>
    <w:multiLevelType w:val="hybridMultilevel"/>
    <w:tmpl w:val="0694ADB2"/>
    <w:lvl w:ilvl="0" w:tplc="05783920">
      <w:start w:val="1"/>
      <w:numFmt w:val="bullet"/>
      <w:lvlText w:val="•"/>
      <w:lvlJc w:val="left"/>
      <w:pPr>
        <w:tabs>
          <w:tab w:val="num" w:pos="720"/>
        </w:tabs>
        <w:ind w:left="720" w:hanging="360"/>
      </w:pPr>
      <w:rPr>
        <w:rFonts w:ascii="Arial" w:hAnsi="Arial" w:hint="default"/>
      </w:rPr>
    </w:lvl>
    <w:lvl w:ilvl="1" w:tplc="F520685A" w:tentative="1">
      <w:start w:val="1"/>
      <w:numFmt w:val="bullet"/>
      <w:lvlText w:val="•"/>
      <w:lvlJc w:val="left"/>
      <w:pPr>
        <w:tabs>
          <w:tab w:val="num" w:pos="1440"/>
        </w:tabs>
        <w:ind w:left="1440" w:hanging="360"/>
      </w:pPr>
      <w:rPr>
        <w:rFonts w:ascii="Arial" w:hAnsi="Arial" w:hint="default"/>
      </w:rPr>
    </w:lvl>
    <w:lvl w:ilvl="2" w:tplc="D2663434" w:tentative="1">
      <w:start w:val="1"/>
      <w:numFmt w:val="bullet"/>
      <w:lvlText w:val="•"/>
      <w:lvlJc w:val="left"/>
      <w:pPr>
        <w:tabs>
          <w:tab w:val="num" w:pos="2160"/>
        </w:tabs>
        <w:ind w:left="2160" w:hanging="360"/>
      </w:pPr>
      <w:rPr>
        <w:rFonts w:ascii="Arial" w:hAnsi="Arial" w:hint="default"/>
      </w:rPr>
    </w:lvl>
    <w:lvl w:ilvl="3" w:tplc="1480D530" w:tentative="1">
      <w:start w:val="1"/>
      <w:numFmt w:val="bullet"/>
      <w:lvlText w:val="•"/>
      <w:lvlJc w:val="left"/>
      <w:pPr>
        <w:tabs>
          <w:tab w:val="num" w:pos="2880"/>
        </w:tabs>
        <w:ind w:left="2880" w:hanging="360"/>
      </w:pPr>
      <w:rPr>
        <w:rFonts w:ascii="Arial" w:hAnsi="Arial" w:hint="default"/>
      </w:rPr>
    </w:lvl>
    <w:lvl w:ilvl="4" w:tplc="41EC7DB4" w:tentative="1">
      <w:start w:val="1"/>
      <w:numFmt w:val="bullet"/>
      <w:lvlText w:val="•"/>
      <w:lvlJc w:val="left"/>
      <w:pPr>
        <w:tabs>
          <w:tab w:val="num" w:pos="3600"/>
        </w:tabs>
        <w:ind w:left="3600" w:hanging="360"/>
      </w:pPr>
      <w:rPr>
        <w:rFonts w:ascii="Arial" w:hAnsi="Arial" w:hint="default"/>
      </w:rPr>
    </w:lvl>
    <w:lvl w:ilvl="5" w:tplc="C616EE3A" w:tentative="1">
      <w:start w:val="1"/>
      <w:numFmt w:val="bullet"/>
      <w:lvlText w:val="•"/>
      <w:lvlJc w:val="left"/>
      <w:pPr>
        <w:tabs>
          <w:tab w:val="num" w:pos="4320"/>
        </w:tabs>
        <w:ind w:left="4320" w:hanging="360"/>
      </w:pPr>
      <w:rPr>
        <w:rFonts w:ascii="Arial" w:hAnsi="Arial" w:hint="default"/>
      </w:rPr>
    </w:lvl>
    <w:lvl w:ilvl="6" w:tplc="B2D65AAA" w:tentative="1">
      <w:start w:val="1"/>
      <w:numFmt w:val="bullet"/>
      <w:lvlText w:val="•"/>
      <w:lvlJc w:val="left"/>
      <w:pPr>
        <w:tabs>
          <w:tab w:val="num" w:pos="5040"/>
        </w:tabs>
        <w:ind w:left="5040" w:hanging="360"/>
      </w:pPr>
      <w:rPr>
        <w:rFonts w:ascii="Arial" w:hAnsi="Arial" w:hint="default"/>
      </w:rPr>
    </w:lvl>
    <w:lvl w:ilvl="7" w:tplc="98D2423E" w:tentative="1">
      <w:start w:val="1"/>
      <w:numFmt w:val="bullet"/>
      <w:lvlText w:val="•"/>
      <w:lvlJc w:val="left"/>
      <w:pPr>
        <w:tabs>
          <w:tab w:val="num" w:pos="5760"/>
        </w:tabs>
        <w:ind w:left="5760" w:hanging="360"/>
      </w:pPr>
      <w:rPr>
        <w:rFonts w:ascii="Arial" w:hAnsi="Arial" w:hint="default"/>
      </w:rPr>
    </w:lvl>
    <w:lvl w:ilvl="8" w:tplc="913886EE" w:tentative="1">
      <w:start w:val="1"/>
      <w:numFmt w:val="bullet"/>
      <w:lvlText w:val="•"/>
      <w:lvlJc w:val="left"/>
      <w:pPr>
        <w:tabs>
          <w:tab w:val="num" w:pos="6480"/>
        </w:tabs>
        <w:ind w:left="6480" w:hanging="360"/>
      </w:pPr>
      <w:rPr>
        <w:rFonts w:ascii="Arial" w:hAnsi="Arial" w:hint="default"/>
      </w:rPr>
    </w:lvl>
  </w:abstractNum>
  <w:abstractNum w:abstractNumId="4">
    <w:nsid w:val="0DCB607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0F18C1"/>
    <w:multiLevelType w:val="multilevel"/>
    <w:tmpl w:val="77F6B17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34A3438"/>
    <w:multiLevelType w:val="hybridMultilevel"/>
    <w:tmpl w:val="19D0A9E6"/>
    <w:lvl w:ilvl="0" w:tplc="5A3C19B6">
      <w:start w:val="1"/>
      <w:numFmt w:val="decimal"/>
      <w:lvlText w:val="%1."/>
      <w:lvlJc w:val="left"/>
      <w:pPr>
        <w:tabs>
          <w:tab w:val="num" w:pos="720"/>
        </w:tabs>
        <w:ind w:left="720" w:hanging="360"/>
      </w:pPr>
    </w:lvl>
    <w:lvl w:ilvl="1" w:tplc="A4A4A0CC" w:tentative="1">
      <w:start w:val="1"/>
      <w:numFmt w:val="decimal"/>
      <w:lvlText w:val="%2."/>
      <w:lvlJc w:val="left"/>
      <w:pPr>
        <w:tabs>
          <w:tab w:val="num" w:pos="1440"/>
        </w:tabs>
        <w:ind w:left="1440" w:hanging="360"/>
      </w:pPr>
    </w:lvl>
    <w:lvl w:ilvl="2" w:tplc="53E4A7BE" w:tentative="1">
      <w:start w:val="1"/>
      <w:numFmt w:val="decimal"/>
      <w:lvlText w:val="%3."/>
      <w:lvlJc w:val="left"/>
      <w:pPr>
        <w:tabs>
          <w:tab w:val="num" w:pos="2160"/>
        </w:tabs>
        <w:ind w:left="2160" w:hanging="360"/>
      </w:pPr>
    </w:lvl>
    <w:lvl w:ilvl="3" w:tplc="C3E48328" w:tentative="1">
      <w:start w:val="1"/>
      <w:numFmt w:val="decimal"/>
      <w:lvlText w:val="%4."/>
      <w:lvlJc w:val="left"/>
      <w:pPr>
        <w:tabs>
          <w:tab w:val="num" w:pos="2880"/>
        </w:tabs>
        <w:ind w:left="2880" w:hanging="360"/>
      </w:pPr>
    </w:lvl>
    <w:lvl w:ilvl="4" w:tplc="19F427DA" w:tentative="1">
      <w:start w:val="1"/>
      <w:numFmt w:val="decimal"/>
      <w:lvlText w:val="%5."/>
      <w:lvlJc w:val="left"/>
      <w:pPr>
        <w:tabs>
          <w:tab w:val="num" w:pos="3600"/>
        </w:tabs>
        <w:ind w:left="3600" w:hanging="360"/>
      </w:pPr>
    </w:lvl>
    <w:lvl w:ilvl="5" w:tplc="198C52E0" w:tentative="1">
      <w:start w:val="1"/>
      <w:numFmt w:val="decimal"/>
      <w:lvlText w:val="%6."/>
      <w:lvlJc w:val="left"/>
      <w:pPr>
        <w:tabs>
          <w:tab w:val="num" w:pos="4320"/>
        </w:tabs>
        <w:ind w:left="4320" w:hanging="360"/>
      </w:pPr>
    </w:lvl>
    <w:lvl w:ilvl="6" w:tplc="EA660AA6" w:tentative="1">
      <w:start w:val="1"/>
      <w:numFmt w:val="decimal"/>
      <w:lvlText w:val="%7."/>
      <w:lvlJc w:val="left"/>
      <w:pPr>
        <w:tabs>
          <w:tab w:val="num" w:pos="5040"/>
        </w:tabs>
        <w:ind w:left="5040" w:hanging="360"/>
      </w:pPr>
    </w:lvl>
    <w:lvl w:ilvl="7" w:tplc="C150CC86" w:tentative="1">
      <w:start w:val="1"/>
      <w:numFmt w:val="decimal"/>
      <w:lvlText w:val="%8."/>
      <w:lvlJc w:val="left"/>
      <w:pPr>
        <w:tabs>
          <w:tab w:val="num" w:pos="5760"/>
        </w:tabs>
        <w:ind w:left="5760" w:hanging="360"/>
      </w:pPr>
    </w:lvl>
    <w:lvl w:ilvl="8" w:tplc="E7B48948" w:tentative="1">
      <w:start w:val="1"/>
      <w:numFmt w:val="decimal"/>
      <w:lvlText w:val="%9."/>
      <w:lvlJc w:val="left"/>
      <w:pPr>
        <w:tabs>
          <w:tab w:val="num" w:pos="6480"/>
        </w:tabs>
        <w:ind w:left="6480" w:hanging="360"/>
      </w:pPr>
    </w:lvl>
  </w:abstractNum>
  <w:abstractNum w:abstractNumId="7">
    <w:nsid w:val="1716627D"/>
    <w:multiLevelType w:val="hybridMultilevel"/>
    <w:tmpl w:val="3BC8D398"/>
    <w:lvl w:ilvl="0" w:tplc="ED4ABD40">
      <w:start w:val="1"/>
      <w:numFmt w:val="bullet"/>
      <w:lvlText w:val="•"/>
      <w:lvlJc w:val="left"/>
      <w:pPr>
        <w:tabs>
          <w:tab w:val="num" w:pos="1440"/>
        </w:tabs>
        <w:ind w:left="1440" w:hanging="360"/>
      </w:pPr>
      <w:rPr>
        <w:rFonts w:ascii="Times New Roman" w:hAnsi="Times New Roman" w:hint="default"/>
      </w:rPr>
    </w:lvl>
    <w:lvl w:ilvl="1" w:tplc="E7C4EF16" w:tentative="1">
      <w:start w:val="1"/>
      <w:numFmt w:val="bullet"/>
      <w:lvlText w:val="•"/>
      <w:lvlJc w:val="left"/>
      <w:pPr>
        <w:tabs>
          <w:tab w:val="num" w:pos="2160"/>
        </w:tabs>
        <w:ind w:left="2160" w:hanging="360"/>
      </w:pPr>
      <w:rPr>
        <w:rFonts w:ascii="Times New Roman" w:hAnsi="Times New Roman" w:hint="default"/>
      </w:rPr>
    </w:lvl>
    <w:lvl w:ilvl="2" w:tplc="A93A977A" w:tentative="1">
      <w:start w:val="1"/>
      <w:numFmt w:val="bullet"/>
      <w:lvlText w:val="•"/>
      <w:lvlJc w:val="left"/>
      <w:pPr>
        <w:tabs>
          <w:tab w:val="num" w:pos="2880"/>
        </w:tabs>
        <w:ind w:left="2880" w:hanging="360"/>
      </w:pPr>
      <w:rPr>
        <w:rFonts w:ascii="Times New Roman" w:hAnsi="Times New Roman" w:hint="default"/>
      </w:rPr>
    </w:lvl>
    <w:lvl w:ilvl="3" w:tplc="8D3E0C58" w:tentative="1">
      <w:start w:val="1"/>
      <w:numFmt w:val="bullet"/>
      <w:lvlText w:val="•"/>
      <w:lvlJc w:val="left"/>
      <w:pPr>
        <w:tabs>
          <w:tab w:val="num" w:pos="3600"/>
        </w:tabs>
        <w:ind w:left="3600" w:hanging="360"/>
      </w:pPr>
      <w:rPr>
        <w:rFonts w:ascii="Times New Roman" w:hAnsi="Times New Roman" w:hint="default"/>
      </w:rPr>
    </w:lvl>
    <w:lvl w:ilvl="4" w:tplc="DCECECCA" w:tentative="1">
      <w:start w:val="1"/>
      <w:numFmt w:val="bullet"/>
      <w:lvlText w:val="•"/>
      <w:lvlJc w:val="left"/>
      <w:pPr>
        <w:tabs>
          <w:tab w:val="num" w:pos="4320"/>
        </w:tabs>
        <w:ind w:left="4320" w:hanging="360"/>
      </w:pPr>
      <w:rPr>
        <w:rFonts w:ascii="Times New Roman" w:hAnsi="Times New Roman" w:hint="default"/>
      </w:rPr>
    </w:lvl>
    <w:lvl w:ilvl="5" w:tplc="C0E0C436" w:tentative="1">
      <w:start w:val="1"/>
      <w:numFmt w:val="bullet"/>
      <w:lvlText w:val="•"/>
      <w:lvlJc w:val="left"/>
      <w:pPr>
        <w:tabs>
          <w:tab w:val="num" w:pos="5040"/>
        </w:tabs>
        <w:ind w:left="5040" w:hanging="360"/>
      </w:pPr>
      <w:rPr>
        <w:rFonts w:ascii="Times New Roman" w:hAnsi="Times New Roman" w:hint="default"/>
      </w:rPr>
    </w:lvl>
    <w:lvl w:ilvl="6" w:tplc="EC981EAA" w:tentative="1">
      <w:start w:val="1"/>
      <w:numFmt w:val="bullet"/>
      <w:lvlText w:val="•"/>
      <w:lvlJc w:val="left"/>
      <w:pPr>
        <w:tabs>
          <w:tab w:val="num" w:pos="5760"/>
        </w:tabs>
        <w:ind w:left="5760" w:hanging="360"/>
      </w:pPr>
      <w:rPr>
        <w:rFonts w:ascii="Times New Roman" w:hAnsi="Times New Roman" w:hint="default"/>
      </w:rPr>
    </w:lvl>
    <w:lvl w:ilvl="7" w:tplc="B01A64A6" w:tentative="1">
      <w:start w:val="1"/>
      <w:numFmt w:val="bullet"/>
      <w:lvlText w:val="•"/>
      <w:lvlJc w:val="left"/>
      <w:pPr>
        <w:tabs>
          <w:tab w:val="num" w:pos="6480"/>
        </w:tabs>
        <w:ind w:left="6480" w:hanging="360"/>
      </w:pPr>
      <w:rPr>
        <w:rFonts w:ascii="Times New Roman" w:hAnsi="Times New Roman" w:hint="default"/>
      </w:rPr>
    </w:lvl>
    <w:lvl w:ilvl="8" w:tplc="C98A526C" w:tentative="1">
      <w:start w:val="1"/>
      <w:numFmt w:val="bullet"/>
      <w:lvlText w:val="•"/>
      <w:lvlJc w:val="left"/>
      <w:pPr>
        <w:tabs>
          <w:tab w:val="num" w:pos="7200"/>
        </w:tabs>
        <w:ind w:left="7200" w:hanging="360"/>
      </w:pPr>
      <w:rPr>
        <w:rFonts w:ascii="Times New Roman" w:hAnsi="Times New Roman" w:hint="default"/>
      </w:rPr>
    </w:lvl>
  </w:abstractNum>
  <w:abstractNum w:abstractNumId="8">
    <w:nsid w:val="18657F1A"/>
    <w:multiLevelType w:val="hybridMultilevel"/>
    <w:tmpl w:val="96942222"/>
    <w:lvl w:ilvl="0" w:tplc="D4D22B64">
      <w:start w:val="1"/>
      <w:numFmt w:val="bullet"/>
      <w:lvlText w:val=""/>
      <w:lvlJc w:val="left"/>
      <w:pPr>
        <w:tabs>
          <w:tab w:val="num" w:pos="720"/>
        </w:tabs>
        <w:ind w:left="720" w:hanging="360"/>
      </w:pPr>
      <w:rPr>
        <w:rFonts w:ascii="Wingdings" w:hAnsi="Wingdings" w:hint="default"/>
      </w:rPr>
    </w:lvl>
    <w:lvl w:ilvl="1" w:tplc="FE92B3F8">
      <w:start w:val="556"/>
      <w:numFmt w:val="bullet"/>
      <w:lvlText w:val=""/>
      <w:lvlJc w:val="left"/>
      <w:pPr>
        <w:tabs>
          <w:tab w:val="num" w:pos="1440"/>
        </w:tabs>
        <w:ind w:left="1440" w:hanging="360"/>
      </w:pPr>
      <w:rPr>
        <w:rFonts w:ascii="Wingdings" w:hAnsi="Wingdings" w:hint="default"/>
      </w:rPr>
    </w:lvl>
    <w:lvl w:ilvl="2" w:tplc="C5D4EDB8">
      <w:start w:val="556"/>
      <w:numFmt w:val="bullet"/>
      <w:lvlText w:val=""/>
      <w:lvlJc w:val="left"/>
      <w:pPr>
        <w:tabs>
          <w:tab w:val="num" w:pos="2160"/>
        </w:tabs>
        <w:ind w:left="2160" w:hanging="360"/>
      </w:pPr>
      <w:rPr>
        <w:rFonts w:ascii="Wingdings" w:hAnsi="Wingdings" w:hint="default"/>
      </w:rPr>
    </w:lvl>
    <w:lvl w:ilvl="3" w:tplc="501A709C" w:tentative="1">
      <w:start w:val="1"/>
      <w:numFmt w:val="bullet"/>
      <w:lvlText w:val=""/>
      <w:lvlJc w:val="left"/>
      <w:pPr>
        <w:tabs>
          <w:tab w:val="num" w:pos="2880"/>
        </w:tabs>
        <w:ind w:left="2880" w:hanging="360"/>
      </w:pPr>
      <w:rPr>
        <w:rFonts w:ascii="Wingdings" w:hAnsi="Wingdings" w:hint="default"/>
      </w:rPr>
    </w:lvl>
    <w:lvl w:ilvl="4" w:tplc="A8A07A6E" w:tentative="1">
      <w:start w:val="1"/>
      <w:numFmt w:val="bullet"/>
      <w:lvlText w:val=""/>
      <w:lvlJc w:val="left"/>
      <w:pPr>
        <w:tabs>
          <w:tab w:val="num" w:pos="3600"/>
        </w:tabs>
        <w:ind w:left="3600" w:hanging="360"/>
      </w:pPr>
      <w:rPr>
        <w:rFonts w:ascii="Wingdings" w:hAnsi="Wingdings" w:hint="default"/>
      </w:rPr>
    </w:lvl>
    <w:lvl w:ilvl="5" w:tplc="49A83202" w:tentative="1">
      <w:start w:val="1"/>
      <w:numFmt w:val="bullet"/>
      <w:lvlText w:val=""/>
      <w:lvlJc w:val="left"/>
      <w:pPr>
        <w:tabs>
          <w:tab w:val="num" w:pos="4320"/>
        </w:tabs>
        <w:ind w:left="4320" w:hanging="360"/>
      </w:pPr>
      <w:rPr>
        <w:rFonts w:ascii="Wingdings" w:hAnsi="Wingdings" w:hint="default"/>
      </w:rPr>
    </w:lvl>
    <w:lvl w:ilvl="6" w:tplc="CC40677C" w:tentative="1">
      <w:start w:val="1"/>
      <w:numFmt w:val="bullet"/>
      <w:lvlText w:val=""/>
      <w:lvlJc w:val="left"/>
      <w:pPr>
        <w:tabs>
          <w:tab w:val="num" w:pos="5040"/>
        </w:tabs>
        <w:ind w:left="5040" w:hanging="360"/>
      </w:pPr>
      <w:rPr>
        <w:rFonts w:ascii="Wingdings" w:hAnsi="Wingdings" w:hint="default"/>
      </w:rPr>
    </w:lvl>
    <w:lvl w:ilvl="7" w:tplc="91FE34C4" w:tentative="1">
      <w:start w:val="1"/>
      <w:numFmt w:val="bullet"/>
      <w:lvlText w:val=""/>
      <w:lvlJc w:val="left"/>
      <w:pPr>
        <w:tabs>
          <w:tab w:val="num" w:pos="5760"/>
        </w:tabs>
        <w:ind w:left="5760" w:hanging="360"/>
      </w:pPr>
      <w:rPr>
        <w:rFonts w:ascii="Wingdings" w:hAnsi="Wingdings" w:hint="default"/>
      </w:rPr>
    </w:lvl>
    <w:lvl w:ilvl="8" w:tplc="9D0A3022" w:tentative="1">
      <w:start w:val="1"/>
      <w:numFmt w:val="bullet"/>
      <w:lvlText w:val=""/>
      <w:lvlJc w:val="left"/>
      <w:pPr>
        <w:tabs>
          <w:tab w:val="num" w:pos="6480"/>
        </w:tabs>
        <w:ind w:left="6480" w:hanging="360"/>
      </w:pPr>
      <w:rPr>
        <w:rFonts w:ascii="Wingdings" w:hAnsi="Wingdings" w:hint="default"/>
      </w:rPr>
    </w:lvl>
  </w:abstractNum>
  <w:abstractNum w:abstractNumId="9">
    <w:nsid w:val="1B0C53D7"/>
    <w:multiLevelType w:val="hybridMultilevel"/>
    <w:tmpl w:val="32D20332"/>
    <w:lvl w:ilvl="0" w:tplc="F83E151C">
      <w:start w:val="1"/>
      <w:numFmt w:val="bullet"/>
      <w:lvlText w:val="•"/>
      <w:lvlJc w:val="left"/>
      <w:pPr>
        <w:tabs>
          <w:tab w:val="num" w:pos="720"/>
        </w:tabs>
        <w:ind w:left="720" w:hanging="360"/>
      </w:pPr>
      <w:rPr>
        <w:rFonts w:ascii="Times New Roman" w:hAnsi="Times New Roman" w:hint="default"/>
      </w:rPr>
    </w:lvl>
    <w:lvl w:ilvl="1" w:tplc="39CA819A">
      <w:start w:val="1713"/>
      <w:numFmt w:val="bullet"/>
      <w:lvlText w:val="•"/>
      <w:lvlJc w:val="left"/>
      <w:pPr>
        <w:tabs>
          <w:tab w:val="num" w:pos="1440"/>
        </w:tabs>
        <w:ind w:left="1440" w:hanging="360"/>
      </w:pPr>
      <w:rPr>
        <w:rFonts w:ascii="Times New Roman" w:hAnsi="Times New Roman" w:hint="default"/>
      </w:rPr>
    </w:lvl>
    <w:lvl w:ilvl="2" w:tplc="7BFAADD8" w:tentative="1">
      <w:start w:val="1"/>
      <w:numFmt w:val="bullet"/>
      <w:lvlText w:val="•"/>
      <w:lvlJc w:val="left"/>
      <w:pPr>
        <w:tabs>
          <w:tab w:val="num" w:pos="2160"/>
        </w:tabs>
        <w:ind w:left="2160" w:hanging="360"/>
      </w:pPr>
      <w:rPr>
        <w:rFonts w:ascii="Times New Roman" w:hAnsi="Times New Roman" w:hint="default"/>
      </w:rPr>
    </w:lvl>
    <w:lvl w:ilvl="3" w:tplc="B85AEC1E" w:tentative="1">
      <w:start w:val="1"/>
      <w:numFmt w:val="bullet"/>
      <w:lvlText w:val="•"/>
      <w:lvlJc w:val="left"/>
      <w:pPr>
        <w:tabs>
          <w:tab w:val="num" w:pos="2880"/>
        </w:tabs>
        <w:ind w:left="2880" w:hanging="360"/>
      </w:pPr>
      <w:rPr>
        <w:rFonts w:ascii="Times New Roman" w:hAnsi="Times New Roman" w:hint="default"/>
      </w:rPr>
    </w:lvl>
    <w:lvl w:ilvl="4" w:tplc="DFF42B08" w:tentative="1">
      <w:start w:val="1"/>
      <w:numFmt w:val="bullet"/>
      <w:lvlText w:val="•"/>
      <w:lvlJc w:val="left"/>
      <w:pPr>
        <w:tabs>
          <w:tab w:val="num" w:pos="3600"/>
        </w:tabs>
        <w:ind w:left="3600" w:hanging="360"/>
      </w:pPr>
      <w:rPr>
        <w:rFonts w:ascii="Times New Roman" w:hAnsi="Times New Roman" w:hint="default"/>
      </w:rPr>
    </w:lvl>
    <w:lvl w:ilvl="5" w:tplc="486001D6" w:tentative="1">
      <w:start w:val="1"/>
      <w:numFmt w:val="bullet"/>
      <w:lvlText w:val="•"/>
      <w:lvlJc w:val="left"/>
      <w:pPr>
        <w:tabs>
          <w:tab w:val="num" w:pos="4320"/>
        </w:tabs>
        <w:ind w:left="4320" w:hanging="360"/>
      </w:pPr>
      <w:rPr>
        <w:rFonts w:ascii="Times New Roman" w:hAnsi="Times New Roman" w:hint="default"/>
      </w:rPr>
    </w:lvl>
    <w:lvl w:ilvl="6" w:tplc="D8E2CDB8" w:tentative="1">
      <w:start w:val="1"/>
      <w:numFmt w:val="bullet"/>
      <w:lvlText w:val="•"/>
      <w:lvlJc w:val="left"/>
      <w:pPr>
        <w:tabs>
          <w:tab w:val="num" w:pos="5040"/>
        </w:tabs>
        <w:ind w:left="5040" w:hanging="360"/>
      </w:pPr>
      <w:rPr>
        <w:rFonts w:ascii="Times New Roman" w:hAnsi="Times New Roman" w:hint="default"/>
      </w:rPr>
    </w:lvl>
    <w:lvl w:ilvl="7" w:tplc="9148FDEA" w:tentative="1">
      <w:start w:val="1"/>
      <w:numFmt w:val="bullet"/>
      <w:lvlText w:val="•"/>
      <w:lvlJc w:val="left"/>
      <w:pPr>
        <w:tabs>
          <w:tab w:val="num" w:pos="5760"/>
        </w:tabs>
        <w:ind w:left="5760" w:hanging="360"/>
      </w:pPr>
      <w:rPr>
        <w:rFonts w:ascii="Times New Roman" w:hAnsi="Times New Roman" w:hint="default"/>
      </w:rPr>
    </w:lvl>
    <w:lvl w:ilvl="8" w:tplc="A83CB76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C89638B"/>
    <w:multiLevelType w:val="hybridMultilevel"/>
    <w:tmpl w:val="473AF23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D743079"/>
    <w:multiLevelType w:val="hybridMultilevel"/>
    <w:tmpl w:val="94D0682A"/>
    <w:lvl w:ilvl="0" w:tplc="04160011">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211D191A"/>
    <w:multiLevelType w:val="hybridMultilevel"/>
    <w:tmpl w:val="B65C8F9A"/>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257166B"/>
    <w:multiLevelType w:val="multilevel"/>
    <w:tmpl w:val="7F6275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292290"/>
    <w:multiLevelType w:val="hybridMultilevel"/>
    <w:tmpl w:val="67C8DDEC"/>
    <w:lvl w:ilvl="0" w:tplc="0416000B">
      <w:start w:val="1"/>
      <w:numFmt w:val="bullet"/>
      <w:lvlText w:val=""/>
      <w:lvlJc w:val="left"/>
      <w:pPr>
        <w:ind w:left="1617" w:hanging="360"/>
      </w:pPr>
      <w:rPr>
        <w:rFonts w:ascii="Wingdings" w:hAnsi="Wingdings" w:hint="default"/>
      </w:rPr>
    </w:lvl>
    <w:lvl w:ilvl="1" w:tplc="04160003" w:tentative="1">
      <w:start w:val="1"/>
      <w:numFmt w:val="bullet"/>
      <w:lvlText w:val="o"/>
      <w:lvlJc w:val="left"/>
      <w:pPr>
        <w:ind w:left="2337" w:hanging="360"/>
      </w:pPr>
      <w:rPr>
        <w:rFonts w:ascii="Courier New" w:hAnsi="Courier New" w:cs="Courier New" w:hint="default"/>
      </w:rPr>
    </w:lvl>
    <w:lvl w:ilvl="2" w:tplc="04160005" w:tentative="1">
      <w:start w:val="1"/>
      <w:numFmt w:val="bullet"/>
      <w:lvlText w:val=""/>
      <w:lvlJc w:val="left"/>
      <w:pPr>
        <w:ind w:left="3057" w:hanging="360"/>
      </w:pPr>
      <w:rPr>
        <w:rFonts w:ascii="Wingdings" w:hAnsi="Wingdings" w:hint="default"/>
      </w:rPr>
    </w:lvl>
    <w:lvl w:ilvl="3" w:tplc="04160001" w:tentative="1">
      <w:start w:val="1"/>
      <w:numFmt w:val="bullet"/>
      <w:lvlText w:val=""/>
      <w:lvlJc w:val="left"/>
      <w:pPr>
        <w:ind w:left="3777" w:hanging="360"/>
      </w:pPr>
      <w:rPr>
        <w:rFonts w:ascii="Symbol" w:hAnsi="Symbol" w:hint="default"/>
      </w:rPr>
    </w:lvl>
    <w:lvl w:ilvl="4" w:tplc="04160003" w:tentative="1">
      <w:start w:val="1"/>
      <w:numFmt w:val="bullet"/>
      <w:lvlText w:val="o"/>
      <w:lvlJc w:val="left"/>
      <w:pPr>
        <w:ind w:left="4497" w:hanging="360"/>
      </w:pPr>
      <w:rPr>
        <w:rFonts w:ascii="Courier New" w:hAnsi="Courier New" w:cs="Courier New" w:hint="default"/>
      </w:rPr>
    </w:lvl>
    <w:lvl w:ilvl="5" w:tplc="04160005" w:tentative="1">
      <w:start w:val="1"/>
      <w:numFmt w:val="bullet"/>
      <w:lvlText w:val=""/>
      <w:lvlJc w:val="left"/>
      <w:pPr>
        <w:ind w:left="5217" w:hanging="360"/>
      </w:pPr>
      <w:rPr>
        <w:rFonts w:ascii="Wingdings" w:hAnsi="Wingdings" w:hint="default"/>
      </w:rPr>
    </w:lvl>
    <w:lvl w:ilvl="6" w:tplc="04160001" w:tentative="1">
      <w:start w:val="1"/>
      <w:numFmt w:val="bullet"/>
      <w:lvlText w:val=""/>
      <w:lvlJc w:val="left"/>
      <w:pPr>
        <w:ind w:left="5937" w:hanging="360"/>
      </w:pPr>
      <w:rPr>
        <w:rFonts w:ascii="Symbol" w:hAnsi="Symbol" w:hint="default"/>
      </w:rPr>
    </w:lvl>
    <w:lvl w:ilvl="7" w:tplc="04160003" w:tentative="1">
      <w:start w:val="1"/>
      <w:numFmt w:val="bullet"/>
      <w:lvlText w:val="o"/>
      <w:lvlJc w:val="left"/>
      <w:pPr>
        <w:ind w:left="6657" w:hanging="360"/>
      </w:pPr>
      <w:rPr>
        <w:rFonts w:ascii="Courier New" w:hAnsi="Courier New" w:cs="Courier New" w:hint="default"/>
      </w:rPr>
    </w:lvl>
    <w:lvl w:ilvl="8" w:tplc="04160005" w:tentative="1">
      <w:start w:val="1"/>
      <w:numFmt w:val="bullet"/>
      <w:lvlText w:val=""/>
      <w:lvlJc w:val="left"/>
      <w:pPr>
        <w:ind w:left="7377" w:hanging="360"/>
      </w:pPr>
      <w:rPr>
        <w:rFonts w:ascii="Wingdings" w:hAnsi="Wingdings" w:hint="default"/>
      </w:rPr>
    </w:lvl>
  </w:abstractNum>
  <w:abstractNum w:abstractNumId="15">
    <w:nsid w:val="2C672D36"/>
    <w:multiLevelType w:val="hybridMultilevel"/>
    <w:tmpl w:val="602002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D514A07"/>
    <w:multiLevelType w:val="hybridMultilevel"/>
    <w:tmpl w:val="54189992"/>
    <w:lvl w:ilvl="0" w:tplc="1B8C0906">
      <w:start w:val="1"/>
      <w:numFmt w:val="bullet"/>
      <w:lvlText w:val="•"/>
      <w:lvlJc w:val="left"/>
      <w:pPr>
        <w:tabs>
          <w:tab w:val="num" w:pos="720"/>
        </w:tabs>
        <w:ind w:left="720" w:hanging="360"/>
      </w:pPr>
      <w:rPr>
        <w:rFonts w:ascii="Times New Roman" w:hAnsi="Times New Roman" w:hint="default"/>
      </w:rPr>
    </w:lvl>
    <w:lvl w:ilvl="1" w:tplc="850222D0">
      <w:start w:val="1"/>
      <w:numFmt w:val="bullet"/>
      <w:lvlText w:val="•"/>
      <w:lvlJc w:val="left"/>
      <w:pPr>
        <w:tabs>
          <w:tab w:val="num" w:pos="1495"/>
        </w:tabs>
        <w:ind w:left="1495" w:hanging="360"/>
      </w:pPr>
      <w:rPr>
        <w:rFonts w:ascii="Times New Roman" w:hAnsi="Times New Roman" w:hint="default"/>
      </w:rPr>
    </w:lvl>
    <w:lvl w:ilvl="2" w:tplc="D73CB300" w:tentative="1">
      <w:start w:val="1"/>
      <w:numFmt w:val="bullet"/>
      <w:lvlText w:val="•"/>
      <w:lvlJc w:val="left"/>
      <w:pPr>
        <w:tabs>
          <w:tab w:val="num" w:pos="2160"/>
        </w:tabs>
        <w:ind w:left="2160" w:hanging="360"/>
      </w:pPr>
      <w:rPr>
        <w:rFonts w:ascii="Times New Roman" w:hAnsi="Times New Roman" w:hint="default"/>
      </w:rPr>
    </w:lvl>
    <w:lvl w:ilvl="3" w:tplc="B5CE5042" w:tentative="1">
      <w:start w:val="1"/>
      <w:numFmt w:val="bullet"/>
      <w:lvlText w:val="•"/>
      <w:lvlJc w:val="left"/>
      <w:pPr>
        <w:tabs>
          <w:tab w:val="num" w:pos="2880"/>
        </w:tabs>
        <w:ind w:left="2880" w:hanging="360"/>
      </w:pPr>
      <w:rPr>
        <w:rFonts w:ascii="Times New Roman" w:hAnsi="Times New Roman" w:hint="default"/>
      </w:rPr>
    </w:lvl>
    <w:lvl w:ilvl="4" w:tplc="88B4F396" w:tentative="1">
      <w:start w:val="1"/>
      <w:numFmt w:val="bullet"/>
      <w:lvlText w:val="•"/>
      <w:lvlJc w:val="left"/>
      <w:pPr>
        <w:tabs>
          <w:tab w:val="num" w:pos="3600"/>
        </w:tabs>
        <w:ind w:left="3600" w:hanging="360"/>
      </w:pPr>
      <w:rPr>
        <w:rFonts w:ascii="Times New Roman" w:hAnsi="Times New Roman" w:hint="default"/>
      </w:rPr>
    </w:lvl>
    <w:lvl w:ilvl="5" w:tplc="470E73C0" w:tentative="1">
      <w:start w:val="1"/>
      <w:numFmt w:val="bullet"/>
      <w:lvlText w:val="•"/>
      <w:lvlJc w:val="left"/>
      <w:pPr>
        <w:tabs>
          <w:tab w:val="num" w:pos="4320"/>
        </w:tabs>
        <w:ind w:left="4320" w:hanging="360"/>
      </w:pPr>
      <w:rPr>
        <w:rFonts w:ascii="Times New Roman" w:hAnsi="Times New Roman" w:hint="default"/>
      </w:rPr>
    </w:lvl>
    <w:lvl w:ilvl="6" w:tplc="0F929006" w:tentative="1">
      <w:start w:val="1"/>
      <w:numFmt w:val="bullet"/>
      <w:lvlText w:val="•"/>
      <w:lvlJc w:val="left"/>
      <w:pPr>
        <w:tabs>
          <w:tab w:val="num" w:pos="5040"/>
        </w:tabs>
        <w:ind w:left="5040" w:hanging="360"/>
      </w:pPr>
      <w:rPr>
        <w:rFonts w:ascii="Times New Roman" w:hAnsi="Times New Roman" w:hint="default"/>
      </w:rPr>
    </w:lvl>
    <w:lvl w:ilvl="7" w:tplc="AC107814" w:tentative="1">
      <w:start w:val="1"/>
      <w:numFmt w:val="bullet"/>
      <w:lvlText w:val="•"/>
      <w:lvlJc w:val="left"/>
      <w:pPr>
        <w:tabs>
          <w:tab w:val="num" w:pos="5760"/>
        </w:tabs>
        <w:ind w:left="5760" w:hanging="360"/>
      </w:pPr>
      <w:rPr>
        <w:rFonts w:ascii="Times New Roman" w:hAnsi="Times New Roman" w:hint="default"/>
      </w:rPr>
    </w:lvl>
    <w:lvl w:ilvl="8" w:tplc="0AA6DB8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F9D47FC"/>
    <w:multiLevelType w:val="hybridMultilevel"/>
    <w:tmpl w:val="A48871EA"/>
    <w:lvl w:ilvl="0" w:tplc="92C4DB68">
      <w:start w:val="1"/>
      <w:numFmt w:val="bullet"/>
      <w:lvlText w:val="•"/>
      <w:lvlJc w:val="left"/>
      <w:pPr>
        <w:tabs>
          <w:tab w:val="num" w:pos="720"/>
        </w:tabs>
        <w:ind w:left="720" w:hanging="360"/>
      </w:pPr>
      <w:rPr>
        <w:rFonts w:ascii="Times New Roman" w:hAnsi="Times New Roman" w:hint="default"/>
      </w:rPr>
    </w:lvl>
    <w:lvl w:ilvl="1" w:tplc="D9B6D1EC">
      <w:start w:val="1713"/>
      <w:numFmt w:val="bullet"/>
      <w:lvlText w:val="•"/>
      <w:lvlJc w:val="left"/>
      <w:pPr>
        <w:tabs>
          <w:tab w:val="num" w:pos="1440"/>
        </w:tabs>
        <w:ind w:left="1440" w:hanging="360"/>
      </w:pPr>
      <w:rPr>
        <w:rFonts w:ascii="Times New Roman" w:hAnsi="Times New Roman" w:hint="default"/>
      </w:rPr>
    </w:lvl>
    <w:lvl w:ilvl="2" w:tplc="F69A14C2" w:tentative="1">
      <w:start w:val="1"/>
      <w:numFmt w:val="bullet"/>
      <w:lvlText w:val="•"/>
      <w:lvlJc w:val="left"/>
      <w:pPr>
        <w:tabs>
          <w:tab w:val="num" w:pos="2160"/>
        </w:tabs>
        <w:ind w:left="2160" w:hanging="360"/>
      </w:pPr>
      <w:rPr>
        <w:rFonts w:ascii="Times New Roman" w:hAnsi="Times New Roman" w:hint="default"/>
      </w:rPr>
    </w:lvl>
    <w:lvl w:ilvl="3" w:tplc="B400F088" w:tentative="1">
      <w:start w:val="1"/>
      <w:numFmt w:val="bullet"/>
      <w:lvlText w:val="•"/>
      <w:lvlJc w:val="left"/>
      <w:pPr>
        <w:tabs>
          <w:tab w:val="num" w:pos="2880"/>
        </w:tabs>
        <w:ind w:left="2880" w:hanging="360"/>
      </w:pPr>
      <w:rPr>
        <w:rFonts w:ascii="Times New Roman" w:hAnsi="Times New Roman" w:hint="default"/>
      </w:rPr>
    </w:lvl>
    <w:lvl w:ilvl="4" w:tplc="514C4FBE" w:tentative="1">
      <w:start w:val="1"/>
      <w:numFmt w:val="bullet"/>
      <w:lvlText w:val="•"/>
      <w:lvlJc w:val="left"/>
      <w:pPr>
        <w:tabs>
          <w:tab w:val="num" w:pos="3600"/>
        </w:tabs>
        <w:ind w:left="3600" w:hanging="360"/>
      </w:pPr>
      <w:rPr>
        <w:rFonts w:ascii="Times New Roman" w:hAnsi="Times New Roman" w:hint="default"/>
      </w:rPr>
    </w:lvl>
    <w:lvl w:ilvl="5" w:tplc="A2A06E8A" w:tentative="1">
      <w:start w:val="1"/>
      <w:numFmt w:val="bullet"/>
      <w:lvlText w:val="•"/>
      <w:lvlJc w:val="left"/>
      <w:pPr>
        <w:tabs>
          <w:tab w:val="num" w:pos="4320"/>
        </w:tabs>
        <w:ind w:left="4320" w:hanging="360"/>
      </w:pPr>
      <w:rPr>
        <w:rFonts w:ascii="Times New Roman" w:hAnsi="Times New Roman" w:hint="default"/>
      </w:rPr>
    </w:lvl>
    <w:lvl w:ilvl="6" w:tplc="2058400E" w:tentative="1">
      <w:start w:val="1"/>
      <w:numFmt w:val="bullet"/>
      <w:lvlText w:val="•"/>
      <w:lvlJc w:val="left"/>
      <w:pPr>
        <w:tabs>
          <w:tab w:val="num" w:pos="5040"/>
        </w:tabs>
        <w:ind w:left="5040" w:hanging="360"/>
      </w:pPr>
      <w:rPr>
        <w:rFonts w:ascii="Times New Roman" w:hAnsi="Times New Roman" w:hint="default"/>
      </w:rPr>
    </w:lvl>
    <w:lvl w:ilvl="7" w:tplc="AA26F068" w:tentative="1">
      <w:start w:val="1"/>
      <w:numFmt w:val="bullet"/>
      <w:lvlText w:val="•"/>
      <w:lvlJc w:val="left"/>
      <w:pPr>
        <w:tabs>
          <w:tab w:val="num" w:pos="5760"/>
        </w:tabs>
        <w:ind w:left="5760" w:hanging="360"/>
      </w:pPr>
      <w:rPr>
        <w:rFonts w:ascii="Times New Roman" w:hAnsi="Times New Roman" w:hint="default"/>
      </w:rPr>
    </w:lvl>
    <w:lvl w:ilvl="8" w:tplc="6E588E6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BE74C96"/>
    <w:multiLevelType w:val="hybridMultilevel"/>
    <w:tmpl w:val="939081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C221C5B"/>
    <w:multiLevelType w:val="hybridMultilevel"/>
    <w:tmpl w:val="22CAFD38"/>
    <w:lvl w:ilvl="0" w:tplc="04160009">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DA77D3D"/>
    <w:multiLevelType w:val="hybridMultilevel"/>
    <w:tmpl w:val="7FCADB0A"/>
    <w:lvl w:ilvl="0" w:tplc="D3CCB64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1">
    <w:nsid w:val="43A856D5"/>
    <w:multiLevelType w:val="hybridMultilevel"/>
    <w:tmpl w:val="C89EE398"/>
    <w:lvl w:ilvl="0" w:tplc="D6C4AF5C">
      <w:start w:val="1"/>
      <w:numFmt w:val="bullet"/>
      <w:lvlText w:val=""/>
      <w:lvlJc w:val="left"/>
      <w:pPr>
        <w:tabs>
          <w:tab w:val="num" w:pos="720"/>
        </w:tabs>
        <w:ind w:left="720" w:hanging="360"/>
      </w:pPr>
      <w:rPr>
        <w:rFonts w:ascii="Wingdings" w:hAnsi="Wingdings" w:hint="default"/>
      </w:rPr>
    </w:lvl>
    <w:lvl w:ilvl="1" w:tplc="078A8864">
      <w:start w:val="556"/>
      <w:numFmt w:val="bullet"/>
      <w:lvlText w:val=""/>
      <w:lvlJc w:val="left"/>
      <w:pPr>
        <w:tabs>
          <w:tab w:val="num" w:pos="1440"/>
        </w:tabs>
        <w:ind w:left="1440" w:hanging="360"/>
      </w:pPr>
      <w:rPr>
        <w:rFonts w:ascii="Wingdings" w:hAnsi="Wingdings" w:hint="default"/>
      </w:rPr>
    </w:lvl>
    <w:lvl w:ilvl="2" w:tplc="0128B5D6">
      <w:start w:val="1"/>
      <w:numFmt w:val="bullet"/>
      <w:lvlText w:val=""/>
      <w:lvlJc w:val="left"/>
      <w:pPr>
        <w:tabs>
          <w:tab w:val="num" w:pos="2160"/>
        </w:tabs>
        <w:ind w:left="2160" w:hanging="360"/>
      </w:pPr>
      <w:rPr>
        <w:rFonts w:ascii="Wingdings" w:hAnsi="Wingdings" w:hint="default"/>
      </w:rPr>
    </w:lvl>
    <w:lvl w:ilvl="3" w:tplc="8A2E8E98" w:tentative="1">
      <w:start w:val="1"/>
      <w:numFmt w:val="bullet"/>
      <w:lvlText w:val=""/>
      <w:lvlJc w:val="left"/>
      <w:pPr>
        <w:tabs>
          <w:tab w:val="num" w:pos="2880"/>
        </w:tabs>
        <w:ind w:left="2880" w:hanging="360"/>
      </w:pPr>
      <w:rPr>
        <w:rFonts w:ascii="Wingdings" w:hAnsi="Wingdings" w:hint="default"/>
      </w:rPr>
    </w:lvl>
    <w:lvl w:ilvl="4" w:tplc="CA34A8BE" w:tentative="1">
      <w:start w:val="1"/>
      <w:numFmt w:val="bullet"/>
      <w:lvlText w:val=""/>
      <w:lvlJc w:val="left"/>
      <w:pPr>
        <w:tabs>
          <w:tab w:val="num" w:pos="3600"/>
        </w:tabs>
        <w:ind w:left="3600" w:hanging="360"/>
      </w:pPr>
      <w:rPr>
        <w:rFonts w:ascii="Wingdings" w:hAnsi="Wingdings" w:hint="default"/>
      </w:rPr>
    </w:lvl>
    <w:lvl w:ilvl="5" w:tplc="F49EFDE4" w:tentative="1">
      <w:start w:val="1"/>
      <w:numFmt w:val="bullet"/>
      <w:lvlText w:val=""/>
      <w:lvlJc w:val="left"/>
      <w:pPr>
        <w:tabs>
          <w:tab w:val="num" w:pos="4320"/>
        </w:tabs>
        <w:ind w:left="4320" w:hanging="360"/>
      </w:pPr>
      <w:rPr>
        <w:rFonts w:ascii="Wingdings" w:hAnsi="Wingdings" w:hint="default"/>
      </w:rPr>
    </w:lvl>
    <w:lvl w:ilvl="6" w:tplc="AB00C410" w:tentative="1">
      <w:start w:val="1"/>
      <w:numFmt w:val="bullet"/>
      <w:lvlText w:val=""/>
      <w:lvlJc w:val="left"/>
      <w:pPr>
        <w:tabs>
          <w:tab w:val="num" w:pos="5040"/>
        </w:tabs>
        <w:ind w:left="5040" w:hanging="360"/>
      </w:pPr>
      <w:rPr>
        <w:rFonts w:ascii="Wingdings" w:hAnsi="Wingdings" w:hint="default"/>
      </w:rPr>
    </w:lvl>
    <w:lvl w:ilvl="7" w:tplc="130E5FB0" w:tentative="1">
      <w:start w:val="1"/>
      <w:numFmt w:val="bullet"/>
      <w:lvlText w:val=""/>
      <w:lvlJc w:val="left"/>
      <w:pPr>
        <w:tabs>
          <w:tab w:val="num" w:pos="5760"/>
        </w:tabs>
        <w:ind w:left="5760" w:hanging="360"/>
      </w:pPr>
      <w:rPr>
        <w:rFonts w:ascii="Wingdings" w:hAnsi="Wingdings" w:hint="default"/>
      </w:rPr>
    </w:lvl>
    <w:lvl w:ilvl="8" w:tplc="5A480B18" w:tentative="1">
      <w:start w:val="1"/>
      <w:numFmt w:val="bullet"/>
      <w:lvlText w:val=""/>
      <w:lvlJc w:val="left"/>
      <w:pPr>
        <w:tabs>
          <w:tab w:val="num" w:pos="6480"/>
        </w:tabs>
        <w:ind w:left="6480" w:hanging="360"/>
      </w:pPr>
      <w:rPr>
        <w:rFonts w:ascii="Wingdings" w:hAnsi="Wingdings" w:hint="default"/>
      </w:rPr>
    </w:lvl>
  </w:abstractNum>
  <w:abstractNum w:abstractNumId="22">
    <w:nsid w:val="45256C9C"/>
    <w:multiLevelType w:val="hybridMultilevel"/>
    <w:tmpl w:val="F1CCE2D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3">
    <w:nsid w:val="4C5E6C51"/>
    <w:multiLevelType w:val="hybridMultilevel"/>
    <w:tmpl w:val="39420C62"/>
    <w:lvl w:ilvl="0" w:tplc="3544E790">
      <w:start w:val="1"/>
      <w:numFmt w:val="low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nsid w:val="4FC62FCC"/>
    <w:multiLevelType w:val="multilevel"/>
    <w:tmpl w:val="3AA2D0D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5">
    <w:nsid w:val="50076472"/>
    <w:multiLevelType w:val="hybridMultilevel"/>
    <w:tmpl w:val="5C0CB0CE"/>
    <w:lvl w:ilvl="0" w:tplc="488A4128">
      <w:start w:val="1"/>
      <w:numFmt w:val="bullet"/>
      <w:lvlText w:val="•"/>
      <w:lvlJc w:val="left"/>
      <w:pPr>
        <w:tabs>
          <w:tab w:val="num" w:pos="720"/>
        </w:tabs>
        <w:ind w:left="720" w:hanging="360"/>
      </w:pPr>
      <w:rPr>
        <w:rFonts w:ascii="Times New Roman" w:hAnsi="Times New Roman" w:hint="default"/>
      </w:rPr>
    </w:lvl>
    <w:lvl w:ilvl="1" w:tplc="0BECD896" w:tentative="1">
      <w:start w:val="1"/>
      <w:numFmt w:val="bullet"/>
      <w:lvlText w:val="•"/>
      <w:lvlJc w:val="left"/>
      <w:pPr>
        <w:tabs>
          <w:tab w:val="num" w:pos="1440"/>
        </w:tabs>
        <w:ind w:left="1440" w:hanging="360"/>
      </w:pPr>
      <w:rPr>
        <w:rFonts w:ascii="Times New Roman" w:hAnsi="Times New Roman" w:hint="default"/>
      </w:rPr>
    </w:lvl>
    <w:lvl w:ilvl="2" w:tplc="9D04500C" w:tentative="1">
      <w:start w:val="1"/>
      <w:numFmt w:val="bullet"/>
      <w:lvlText w:val="•"/>
      <w:lvlJc w:val="left"/>
      <w:pPr>
        <w:tabs>
          <w:tab w:val="num" w:pos="2160"/>
        </w:tabs>
        <w:ind w:left="2160" w:hanging="360"/>
      </w:pPr>
      <w:rPr>
        <w:rFonts w:ascii="Times New Roman" w:hAnsi="Times New Roman" w:hint="default"/>
      </w:rPr>
    </w:lvl>
    <w:lvl w:ilvl="3" w:tplc="608664F6" w:tentative="1">
      <w:start w:val="1"/>
      <w:numFmt w:val="bullet"/>
      <w:lvlText w:val="•"/>
      <w:lvlJc w:val="left"/>
      <w:pPr>
        <w:tabs>
          <w:tab w:val="num" w:pos="2880"/>
        </w:tabs>
        <w:ind w:left="2880" w:hanging="360"/>
      </w:pPr>
      <w:rPr>
        <w:rFonts w:ascii="Times New Roman" w:hAnsi="Times New Roman" w:hint="default"/>
      </w:rPr>
    </w:lvl>
    <w:lvl w:ilvl="4" w:tplc="A398A92A" w:tentative="1">
      <w:start w:val="1"/>
      <w:numFmt w:val="bullet"/>
      <w:lvlText w:val="•"/>
      <w:lvlJc w:val="left"/>
      <w:pPr>
        <w:tabs>
          <w:tab w:val="num" w:pos="3600"/>
        </w:tabs>
        <w:ind w:left="3600" w:hanging="360"/>
      </w:pPr>
      <w:rPr>
        <w:rFonts w:ascii="Times New Roman" w:hAnsi="Times New Roman" w:hint="default"/>
      </w:rPr>
    </w:lvl>
    <w:lvl w:ilvl="5" w:tplc="3AB4531A" w:tentative="1">
      <w:start w:val="1"/>
      <w:numFmt w:val="bullet"/>
      <w:lvlText w:val="•"/>
      <w:lvlJc w:val="left"/>
      <w:pPr>
        <w:tabs>
          <w:tab w:val="num" w:pos="4320"/>
        </w:tabs>
        <w:ind w:left="4320" w:hanging="360"/>
      </w:pPr>
      <w:rPr>
        <w:rFonts w:ascii="Times New Roman" w:hAnsi="Times New Roman" w:hint="default"/>
      </w:rPr>
    </w:lvl>
    <w:lvl w:ilvl="6" w:tplc="689EDA84" w:tentative="1">
      <w:start w:val="1"/>
      <w:numFmt w:val="bullet"/>
      <w:lvlText w:val="•"/>
      <w:lvlJc w:val="left"/>
      <w:pPr>
        <w:tabs>
          <w:tab w:val="num" w:pos="5040"/>
        </w:tabs>
        <w:ind w:left="5040" w:hanging="360"/>
      </w:pPr>
      <w:rPr>
        <w:rFonts w:ascii="Times New Roman" w:hAnsi="Times New Roman" w:hint="default"/>
      </w:rPr>
    </w:lvl>
    <w:lvl w:ilvl="7" w:tplc="AF04998E" w:tentative="1">
      <w:start w:val="1"/>
      <w:numFmt w:val="bullet"/>
      <w:lvlText w:val="•"/>
      <w:lvlJc w:val="left"/>
      <w:pPr>
        <w:tabs>
          <w:tab w:val="num" w:pos="5760"/>
        </w:tabs>
        <w:ind w:left="5760" w:hanging="360"/>
      </w:pPr>
      <w:rPr>
        <w:rFonts w:ascii="Times New Roman" w:hAnsi="Times New Roman" w:hint="default"/>
      </w:rPr>
    </w:lvl>
    <w:lvl w:ilvl="8" w:tplc="53FE9E3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2635D95"/>
    <w:multiLevelType w:val="multilevel"/>
    <w:tmpl w:val="AFC0ED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68D2BFD"/>
    <w:multiLevelType w:val="hybridMultilevel"/>
    <w:tmpl w:val="9E48D3C8"/>
    <w:lvl w:ilvl="0" w:tplc="04160009">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8">
    <w:nsid w:val="5BE17FD0"/>
    <w:multiLevelType w:val="hybridMultilevel"/>
    <w:tmpl w:val="EA3C8B6A"/>
    <w:lvl w:ilvl="0" w:tplc="0416000F">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nsid w:val="5CD770CE"/>
    <w:multiLevelType w:val="hybridMultilevel"/>
    <w:tmpl w:val="9A60E136"/>
    <w:lvl w:ilvl="0" w:tplc="55D0605E">
      <w:start w:val="1"/>
      <w:numFmt w:val="bullet"/>
      <w:lvlText w:val="•"/>
      <w:lvlJc w:val="left"/>
      <w:pPr>
        <w:tabs>
          <w:tab w:val="num" w:pos="720"/>
        </w:tabs>
        <w:ind w:left="720" w:hanging="360"/>
      </w:pPr>
      <w:rPr>
        <w:rFonts w:ascii="Arial" w:hAnsi="Arial" w:hint="default"/>
      </w:rPr>
    </w:lvl>
    <w:lvl w:ilvl="1" w:tplc="903A6778" w:tentative="1">
      <w:start w:val="1"/>
      <w:numFmt w:val="bullet"/>
      <w:lvlText w:val="•"/>
      <w:lvlJc w:val="left"/>
      <w:pPr>
        <w:tabs>
          <w:tab w:val="num" w:pos="1440"/>
        </w:tabs>
        <w:ind w:left="1440" w:hanging="360"/>
      </w:pPr>
      <w:rPr>
        <w:rFonts w:ascii="Arial" w:hAnsi="Arial" w:hint="default"/>
      </w:rPr>
    </w:lvl>
    <w:lvl w:ilvl="2" w:tplc="F0408D96" w:tentative="1">
      <w:start w:val="1"/>
      <w:numFmt w:val="bullet"/>
      <w:lvlText w:val="•"/>
      <w:lvlJc w:val="left"/>
      <w:pPr>
        <w:tabs>
          <w:tab w:val="num" w:pos="2160"/>
        </w:tabs>
        <w:ind w:left="2160" w:hanging="360"/>
      </w:pPr>
      <w:rPr>
        <w:rFonts w:ascii="Arial" w:hAnsi="Arial" w:hint="default"/>
      </w:rPr>
    </w:lvl>
    <w:lvl w:ilvl="3" w:tplc="2114821A" w:tentative="1">
      <w:start w:val="1"/>
      <w:numFmt w:val="bullet"/>
      <w:lvlText w:val="•"/>
      <w:lvlJc w:val="left"/>
      <w:pPr>
        <w:tabs>
          <w:tab w:val="num" w:pos="2880"/>
        </w:tabs>
        <w:ind w:left="2880" w:hanging="360"/>
      </w:pPr>
      <w:rPr>
        <w:rFonts w:ascii="Arial" w:hAnsi="Arial" w:hint="default"/>
      </w:rPr>
    </w:lvl>
    <w:lvl w:ilvl="4" w:tplc="B94E670A" w:tentative="1">
      <w:start w:val="1"/>
      <w:numFmt w:val="bullet"/>
      <w:lvlText w:val="•"/>
      <w:lvlJc w:val="left"/>
      <w:pPr>
        <w:tabs>
          <w:tab w:val="num" w:pos="3600"/>
        </w:tabs>
        <w:ind w:left="3600" w:hanging="360"/>
      </w:pPr>
      <w:rPr>
        <w:rFonts w:ascii="Arial" w:hAnsi="Arial" w:hint="default"/>
      </w:rPr>
    </w:lvl>
    <w:lvl w:ilvl="5" w:tplc="67EC1FCE" w:tentative="1">
      <w:start w:val="1"/>
      <w:numFmt w:val="bullet"/>
      <w:lvlText w:val="•"/>
      <w:lvlJc w:val="left"/>
      <w:pPr>
        <w:tabs>
          <w:tab w:val="num" w:pos="4320"/>
        </w:tabs>
        <w:ind w:left="4320" w:hanging="360"/>
      </w:pPr>
      <w:rPr>
        <w:rFonts w:ascii="Arial" w:hAnsi="Arial" w:hint="default"/>
      </w:rPr>
    </w:lvl>
    <w:lvl w:ilvl="6" w:tplc="861A3C8C" w:tentative="1">
      <w:start w:val="1"/>
      <w:numFmt w:val="bullet"/>
      <w:lvlText w:val="•"/>
      <w:lvlJc w:val="left"/>
      <w:pPr>
        <w:tabs>
          <w:tab w:val="num" w:pos="5040"/>
        </w:tabs>
        <w:ind w:left="5040" w:hanging="360"/>
      </w:pPr>
      <w:rPr>
        <w:rFonts w:ascii="Arial" w:hAnsi="Arial" w:hint="default"/>
      </w:rPr>
    </w:lvl>
    <w:lvl w:ilvl="7" w:tplc="3FAAD302" w:tentative="1">
      <w:start w:val="1"/>
      <w:numFmt w:val="bullet"/>
      <w:lvlText w:val="•"/>
      <w:lvlJc w:val="left"/>
      <w:pPr>
        <w:tabs>
          <w:tab w:val="num" w:pos="5760"/>
        </w:tabs>
        <w:ind w:left="5760" w:hanging="360"/>
      </w:pPr>
      <w:rPr>
        <w:rFonts w:ascii="Arial" w:hAnsi="Arial" w:hint="default"/>
      </w:rPr>
    </w:lvl>
    <w:lvl w:ilvl="8" w:tplc="7FE26968" w:tentative="1">
      <w:start w:val="1"/>
      <w:numFmt w:val="bullet"/>
      <w:lvlText w:val="•"/>
      <w:lvlJc w:val="left"/>
      <w:pPr>
        <w:tabs>
          <w:tab w:val="num" w:pos="6480"/>
        </w:tabs>
        <w:ind w:left="6480" w:hanging="360"/>
      </w:pPr>
      <w:rPr>
        <w:rFonts w:ascii="Arial" w:hAnsi="Arial" w:hint="default"/>
      </w:rPr>
    </w:lvl>
  </w:abstractNum>
  <w:abstractNum w:abstractNumId="30">
    <w:nsid w:val="644D3518"/>
    <w:multiLevelType w:val="hybridMultilevel"/>
    <w:tmpl w:val="75A0142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nsid w:val="65000DFE"/>
    <w:multiLevelType w:val="hybridMultilevel"/>
    <w:tmpl w:val="E3FE4162"/>
    <w:lvl w:ilvl="0" w:tplc="ABB611F4">
      <w:start w:val="1"/>
      <w:numFmt w:val="bullet"/>
      <w:lvlText w:val="•"/>
      <w:lvlJc w:val="left"/>
      <w:pPr>
        <w:tabs>
          <w:tab w:val="num" w:pos="720"/>
        </w:tabs>
        <w:ind w:left="720" w:hanging="360"/>
      </w:pPr>
      <w:rPr>
        <w:rFonts w:ascii="Times New Roman" w:hAnsi="Times New Roman" w:hint="default"/>
      </w:rPr>
    </w:lvl>
    <w:lvl w:ilvl="1" w:tplc="28DCF876" w:tentative="1">
      <w:start w:val="1"/>
      <w:numFmt w:val="bullet"/>
      <w:lvlText w:val="•"/>
      <w:lvlJc w:val="left"/>
      <w:pPr>
        <w:tabs>
          <w:tab w:val="num" w:pos="1440"/>
        </w:tabs>
        <w:ind w:left="1440" w:hanging="360"/>
      </w:pPr>
      <w:rPr>
        <w:rFonts w:ascii="Times New Roman" w:hAnsi="Times New Roman" w:hint="default"/>
      </w:rPr>
    </w:lvl>
    <w:lvl w:ilvl="2" w:tplc="62B2E332" w:tentative="1">
      <w:start w:val="1"/>
      <w:numFmt w:val="bullet"/>
      <w:lvlText w:val="•"/>
      <w:lvlJc w:val="left"/>
      <w:pPr>
        <w:tabs>
          <w:tab w:val="num" w:pos="2160"/>
        </w:tabs>
        <w:ind w:left="2160" w:hanging="360"/>
      </w:pPr>
      <w:rPr>
        <w:rFonts w:ascii="Times New Roman" w:hAnsi="Times New Roman" w:hint="default"/>
      </w:rPr>
    </w:lvl>
    <w:lvl w:ilvl="3" w:tplc="817CD9E8" w:tentative="1">
      <w:start w:val="1"/>
      <w:numFmt w:val="bullet"/>
      <w:lvlText w:val="•"/>
      <w:lvlJc w:val="left"/>
      <w:pPr>
        <w:tabs>
          <w:tab w:val="num" w:pos="2880"/>
        </w:tabs>
        <w:ind w:left="2880" w:hanging="360"/>
      </w:pPr>
      <w:rPr>
        <w:rFonts w:ascii="Times New Roman" w:hAnsi="Times New Roman" w:hint="default"/>
      </w:rPr>
    </w:lvl>
    <w:lvl w:ilvl="4" w:tplc="451E1A66" w:tentative="1">
      <w:start w:val="1"/>
      <w:numFmt w:val="bullet"/>
      <w:lvlText w:val="•"/>
      <w:lvlJc w:val="left"/>
      <w:pPr>
        <w:tabs>
          <w:tab w:val="num" w:pos="3600"/>
        </w:tabs>
        <w:ind w:left="3600" w:hanging="360"/>
      </w:pPr>
      <w:rPr>
        <w:rFonts w:ascii="Times New Roman" w:hAnsi="Times New Roman" w:hint="default"/>
      </w:rPr>
    </w:lvl>
    <w:lvl w:ilvl="5" w:tplc="1E748B02" w:tentative="1">
      <w:start w:val="1"/>
      <w:numFmt w:val="bullet"/>
      <w:lvlText w:val="•"/>
      <w:lvlJc w:val="left"/>
      <w:pPr>
        <w:tabs>
          <w:tab w:val="num" w:pos="4320"/>
        </w:tabs>
        <w:ind w:left="4320" w:hanging="360"/>
      </w:pPr>
      <w:rPr>
        <w:rFonts w:ascii="Times New Roman" w:hAnsi="Times New Roman" w:hint="default"/>
      </w:rPr>
    </w:lvl>
    <w:lvl w:ilvl="6" w:tplc="58808D72" w:tentative="1">
      <w:start w:val="1"/>
      <w:numFmt w:val="bullet"/>
      <w:lvlText w:val="•"/>
      <w:lvlJc w:val="left"/>
      <w:pPr>
        <w:tabs>
          <w:tab w:val="num" w:pos="5040"/>
        </w:tabs>
        <w:ind w:left="5040" w:hanging="360"/>
      </w:pPr>
      <w:rPr>
        <w:rFonts w:ascii="Times New Roman" w:hAnsi="Times New Roman" w:hint="default"/>
      </w:rPr>
    </w:lvl>
    <w:lvl w:ilvl="7" w:tplc="E056F5F6" w:tentative="1">
      <w:start w:val="1"/>
      <w:numFmt w:val="bullet"/>
      <w:lvlText w:val="•"/>
      <w:lvlJc w:val="left"/>
      <w:pPr>
        <w:tabs>
          <w:tab w:val="num" w:pos="5760"/>
        </w:tabs>
        <w:ind w:left="5760" w:hanging="360"/>
      </w:pPr>
      <w:rPr>
        <w:rFonts w:ascii="Times New Roman" w:hAnsi="Times New Roman" w:hint="default"/>
      </w:rPr>
    </w:lvl>
    <w:lvl w:ilvl="8" w:tplc="9F7005BC"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6CB5477"/>
    <w:multiLevelType w:val="hybridMultilevel"/>
    <w:tmpl w:val="4720FE18"/>
    <w:lvl w:ilvl="0" w:tplc="86FCED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6CE31D1"/>
    <w:multiLevelType w:val="multilevel"/>
    <w:tmpl w:val="AA5E7BF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7544730"/>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81120BA"/>
    <w:multiLevelType w:val="multilevel"/>
    <w:tmpl w:val="527A83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CF6361"/>
    <w:multiLevelType w:val="hybridMultilevel"/>
    <w:tmpl w:val="B8BC770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7">
    <w:nsid w:val="6B2232B8"/>
    <w:multiLevelType w:val="hybridMultilevel"/>
    <w:tmpl w:val="102CB4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111739E"/>
    <w:multiLevelType w:val="multilevel"/>
    <w:tmpl w:val="7DFA778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2EA5344"/>
    <w:multiLevelType w:val="multilevel"/>
    <w:tmpl w:val="D5B62B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61F6590"/>
    <w:multiLevelType w:val="hybridMultilevel"/>
    <w:tmpl w:val="18FCE91E"/>
    <w:lvl w:ilvl="0" w:tplc="D096C71A">
      <w:start w:val="1"/>
      <w:numFmt w:val="bullet"/>
      <w:lvlText w:val="•"/>
      <w:lvlJc w:val="left"/>
      <w:pPr>
        <w:tabs>
          <w:tab w:val="num" w:pos="720"/>
        </w:tabs>
        <w:ind w:left="720" w:hanging="360"/>
      </w:pPr>
      <w:rPr>
        <w:rFonts w:ascii="Times New Roman" w:hAnsi="Times New Roman" w:hint="default"/>
      </w:rPr>
    </w:lvl>
    <w:lvl w:ilvl="1" w:tplc="C2F0F99A">
      <w:start w:val="1263"/>
      <w:numFmt w:val="bullet"/>
      <w:lvlText w:val="•"/>
      <w:lvlJc w:val="left"/>
      <w:pPr>
        <w:tabs>
          <w:tab w:val="num" w:pos="1440"/>
        </w:tabs>
        <w:ind w:left="1440" w:hanging="360"/>
      </w:pPr>
      <w:rPr>
        <w:rFonts w:ascii="Times New Roman" w:hAnsi="Times New Roman" w:hint="default"/>
      </w:rPr>
    </w:lvl>
    <w:lvl w:ilvl="2" w:tplc="467C9776" w:tentative="1">
      <w:start w:val="1"/>
      <w:numFmt w:val="bullet"/>
      <w:lvlText w:val="•"/>
      <w:lvlJc w:val="left"/>
      <w:pPr>
        <w:tabs>
          <w:tab w:val="num" w:pos="2160"/>
        </w:tabs>
        <w:ind w:left="2160" w:hanging="360"/>
      </w:pPr>
      <w:rPr>
        <w:rFonts w:ascii="Times New Roman" w:hAnsi="Times New Roman" w:hint="default"/>
      </w:rPr>
    </w:lvl>
    <w:lvl w:ilvl="3" w:tplc="0D908F10" w:tentative="1">
      <w:start w:val="1"/>
      <w:numFmt w:val="bullet"/>
      <w:lvlText w:val="•"/>
      <w:lvlJc w:val="left"/>
      <w:pPr>
        <w:tabs>
          <w:tab w:val="num" w:pos="2880"/>
        </w:tabs>
        <w:ind w:left="2880" w:hanging="360"/>
      </w:pPr>
      <w:rPr>
        <w:rFonts w:ascii="Times New Roman" w:hAnsi="Times New Roman" w:hint="default"/>
      </w:rPr>
    </w:lvl>
    <w:lvl w:ilvl="4" w:tplc="D3363744" w:tentative="1">
      <w:start w:val="1"/>
      <w:numFmt w:val="bullet"/>
      <w:lvlText w:val="•"/>
      <w:lvlJc w:val="left"/>
      <w:pPr>
        <w:tabs>
          <w:tab w:val="num" w:pos="3600"/>
        </w:tabs>
        <w:ind w:left="3600" w:hanging="360"/>
      </w:pPr>
      <w:rPr>
        <w:rFonts w:ascii="Times New Roman" w:hAnsi="Times New Roman" w:hint="default"/>
      </w:rPr>
    </w:lvl>
    <w:lvl w:ilvl="5" w:tplc="7BDE7658" w:tentative="1">
      <w:start w:val="1"/>
      <w:numFmt w:val="bullet"/>
      <w:lvlText w:val="•"/>
      <w:lvlJc w:val="left"/>
      <w:pPr>
        <w:tabs>
          <w:tab w:val="num" w:pos="4320"/>
        </w:tabs>
        <w:ind w:left="4320" w:hanging="360"/>
      </w:pPr>
      <w:rPr>
        <w:rFonts w:ascii="Times New Roman" w:hAnsi="Times New Roman" w:hint="default"/>
      </w:rPr>
    </w:lvl>
    <w:lvl w:ilvl="6" w:tplc="71AC3DAA" w:tentative="1">
      <w:start w:val="1"/>
      <w:numFmt w:val="bullet"/>
      <w:lvlText w:val="•"/>
      <w:lvlJc w:val="left"/>
      <w:pPr>
        <w:tabs>
          <w:tab w:val="num" w:pos="5040"/>
        </w:tabs>
        <w:ind w:left="5040" w:hanging="360"/>
      </w:pPr>
      <w:rPr>
        <w:rFonts w:ascii="Times New Roman" w:hAnsi="Times New Roman" w:hint="default"/>
      </w:rPr>
    </w:lvl>
    <w:lvl w:ilvl="7" w:tplc="33826580" w:tentative="1">
      <w:start w:val="1"/>
      <w:numFmt w:val="bullet"/>
      <w:lvlText w:val="•"/>
      <w:lvlJc w:val="left"/>
      <w:pPr>
        <w:tabs>
          <w:tab w:val="num" w:pos="5760"/>
        </w:tabs>
        <w:ind w:left="5760" w:hanging="360"/>
      </w:pPr>
      <w:rPr>
        <w:rFonts w:ascii="Times New Roman" w:hAnsi="Times New Roman" w:hint="default"/>
      </w:rPr>
    </w:lvl>
    <w:lvl w:ilvl="8" w:tplc="622A3CC6"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6DD40A8"/>
    <w:multiLevelType w:val="hybridMultilevel"/>
    <w:tmpl w:val="794E21FA"/>
    <w:lvl w:ilvl="0" w:tplc="C35075F0">
      <w:start w:val="1"/>
      <w:numFmt w:val="bullet"/>
      <w:lvlText w:val="•"/>
      <w:lvlJc w:val="left"/>
      <w:pPr>
        <w:tabs>
          <w:tab w:val="num" w:pos="720"/>
        </w:tabs>
        <w:ind w:left="720" w:hanging="360"/>
      </w:pPr>
      <w:rPr>
        <w:rFonts w:ascii="Times New Roman" w:hAnsi="Times New Roman" w:hint="default"/>
      </w:rPr>
    </w:lvl>
    <w:lvl w:ilvl="1" w:tplc="0AA0FCD2" w:tentative="1">
      <w:start w:val="1"/>
      <w:numFmt w:val="bullet"/>
      <w:lvlText w:val="•"/>
      <w:lvlJc w:val="left"/>
      <w:pPr>
        <w:tabs>
          <w:tab w:val="num" w:pos="1440"/>
        </w:tabs>
        <w:ind w:left="1440" w:hanging="360"/>
      </w:pPr>
      <w:rPr>
        <w:rFonts w:ascii="Times New Roman" w:hAnsi="Times New Roman" w:hint="default"/>
      </w:rPr>
    </w:lvl>
    <w:lvl w:ilvl="2" w:tplc="A32E9ED6" w:tentative="1">
      <w:start w:val="1"/>
      <w:numFmt w:val="bullet"/>
      <w:lvlText w:val="•"/>
      <w:lvlJc w:val="left"/>
      <w:pPr>
        <w:tabs>
          <w:tab w:val="num" w:pos="2160"/>
        </w:tabs>
        <w:ind w:left="2160" w:hanging="360"/>
      </w:pPr>
      <w:rPr>
        <w:rFonts w:ascii="Times New Roman" w:hAnsi="Times New Roman" w:hint="default"/>
      </w:rPr>
    </w:lvl>
    <w:lvl w:ilvl="3" w:tplc="02A26656" w:tentative="1">
      <w:start w:val="1"/>
      <w:numFmt w:val="bullet"/>
      <w:lvlText w:val="•"/>
      <w:lvlJc w:val="left"/>
      <w:pPr>
        <w:tabs>
          <w:tab w:val="num" w:pos="2880"/>
        </w:tabs>
        <w:ind w:left="2880" w:hanging="360"/>
      </w:pPr>
      <w:rPr>
        <w:rFonts w:ascii="Times New Roman" w:hAnsi="Times New Roman" w:hint="default"/>
      </w:rPr>
    </w:lvl>
    <w:lvl w:ilvl="4" w:tplc="4976B198" w:tentative="1">
      <w:start w:val="1"/>
      <w:numFmt w:val="bullet"/>
      <w:lvlText w:val="•"/>
      <w:lvlJc w:val="left"/>
      <w:pPr>
        <w:tabs>
          <w:tab w:val="num" w:pos="3600"/>
        </w:tabs>
        <w:ind w:left="3600" w:hanging="360"/>
      </w:pPr>
      <w:rPr>
        <w:rFonts w:ascii="Times New Roman" w:hAnsi="Times New Roman" w:hint="default"/>
      </w:rPr>
    </w:lvl>
    <w:lvl w:ilvl="5" w:tplc="BD62FB02" w:tentative="1">
      <w:start w:val="1"/>
      <w:numFmt w:val="bullet"/>
      <w:lvlText w:val="•"/>
      <w:lvlJc w:val="left"/>
      <w:pPr>
        <w:tabs>
          <w:tab w:val="num" w:pos="4320"/>
        </w:tabs>
        <w:ind w:left="4320" w:hanging="360"/>
      </w:pPr>
      <w:rPr>
        <w:rFonts w:ascii="Times New Roman" w:hAnsi="Times New Roman" w:hint="default"/>
      </w:rPr>
    </w:lvl>
    <w:lvl w:ilvl="6" w:tplc="1D98C6CC" w:tentative="1">
      <w:start w:val="1"/>
      <w:numFmt w:val="bullet"/>
      <w:lvlText w:val="•"/>
      <w:lvlJc w:val="left"/>
      <w:pPr>
        <w:tabs>
          <w:tab w:val="num" w:pos="5040"/>
        </w:tabs>
        <w:ind w:left="5040" w:hanging="360"/>
      </w:pPr>
      <w:rPr>
        <w:rFonts w:ascii="Times New Roman" w:hAnsi="Times New Roman" w:hint="default"/>
      </w:rPr>
    </w:lvl>
    <w:lvl w:ilvl="7" w:tplc="057A978E" w:tentative="1">
      <w:start w:val="1"/>
      <w:numFmt w:val="bullet"/>
      <w:lvlText w:val="•"/>
      <w:lvlJc w:val="left"/>
      <w:pPr>
        <w:tabs>
          <w:tab w:val="num" w:pos="5760"/>
        </w:tabs>
        <w:ind w:left="5760" w:hanging="360"/>
      </w:pPr>
      <w:rPr>
        <w:rFonts w:ascii="Times New Roman" w:hAnsi="Times New Roman" w:hint="default"/>
      </w:rPr>
    </w:lvl>
    <w:lvl w:ilvl="8" w:tplc="C55C07B2"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B2621B8"/>
    <w:multiLevelType w:val="hybridMultilevel"/>
    <w:tmpl w:val="6E7E762A"/>
    <w:lvl w:ilvl="0" w:tplc="B914D662">
      <w:start w:val="1"/>
      <w:numFmt w:val="decimal"/>
      <w:lvlText w:val="%1."/>
      <w:lvlJc w:val="left"/>
      <w:pPr>
        <w:tabs>
          <w:tab w:val="num" w:pos="720"/>
        </w:tabs>
        <w:ind w:left="720" w:hanging="360"/>
      </w:pPr>
    </w:lvl>
    <w:lvl w:ilvl="1" w:tplc="F84CFC64">
      <w:start w:val="1"/>
      <w:numFmt w:val="decimal"/>
      <w:lvlText w:val="%2."/>
      <w:lvlJc w:val="left"/>
      <w:pPr>
        <w:tabs>
          <w:tab w:val="num" w:pos="1440"/>
        </w:tabs>
        <w:ind w:left="1440" w:hanging="360"/>
      </w:pPr>
    </w:lvl>
    <w:lvl w:ilvl="2" w:tplc="4CCCBA3A" w:tentative="1">
      <w:start w:val="1"/>
      <w:numFmt w:val="decimal"/>
      <w:lvlText w:val="%3."/>
      <w:lvlJc w:val="left"/>
      <w:pPr>
        <w:tabs>
          <w:tab w:val="num" w:pos="2160"/>
        </w:tabs>
        <w:ind w:left="2160" w:hanging="360"/>
      </w:pPr>
    </w:lvl>
    <w:lvl w:ilvl="3" w:tplc="BB9025A6" w:tentative="1">
      <w:start w:val="1"/>
      <w:numFmt w:val="decimal"/>
      <w:lvlText w:val="%4."/>
      <w:lvlJc w:val="left"/>
      <w:pPr>
        <w:tabs>
          <w:tab w:val="num" w:pos="2880"/>
        </w:tabs>
        <w:ind w:left="2880" w:hanging="360"/>
      </w:pPr>
    </w:lvl>
    <w:lvl w:ilvl="4" w:tplc="C460440C" w:tentative="1">
      <w:start w:val="1"/>
      <w:numFmt w:val="decimal"/>
      <w:lvlText w:val="%5."/>
      <w:lvlJc w:val="left"/>
      <w:pPr>
        <w:tabs>
          <w:tab w:val="num" w:pos="3600"/>
        </w:tabs>
        <w:ind w:left="3600" w:hanging="360"/>
      </w:pPr>
    </w:lvl>
    <w:lvl w:ilvl="5" w:tplc="0E0E9E8C" w:tentative="1">
      <w:start w:val="1"/>
      <w:numFmt w:val="decimal"/>
      <w:lvlText w:val="%6."/>
      <w:lvlJc w:val="left"/>
      <w:pPr>
        <w:tabs>
          <w:tab w:val="num" w:pos="4320"/>
        </w:tabs>
        <w:ind w:left="4320" w:hanging="360"/>
      </w:pPr>
    </w:lvl>
    <w:lvl w:ilvl="6" w:tplc="EA6CC584" w:tentative="1">
      <w:start w:val="1"/>
      <w:numFmt w:val="decimal"/>
      <w:lvlText w:val="%7."/>
      <w:lvlJc w:val="left"/>
      <w:pPr>
        <w:tabs>
          <w:tab w:val="num" w:pos="5040"/>
        </w:tabs>
        <w:ind w:left="5040" w:hanging="360"/>
      </w:pPr>
    </w:lvl>
    <w:lvl w:ilvl="7" w:tplc="E076B100" w:tentative="1">
      <w:start w:val="1"/>
      <w:numFmt w:val="decimal"/>
      <w:lvlText w:val="%8."/>
      <w:lvlJc w:val="left"/>
      <w:pPr>
        <w:tabs>
          <w:tab w:val="num" w:pos="5760"/>
        </w:tabs>
        <w:ind w:left="5760" w:hanging="360"/>
      </w:pPr>
    </w:lvl>
    <w:lvl w:ilvl="8" w:tplc="E7B46076" w:tentative="1">
      <w:start w:val="1"/>
      <w:numFmt w:val="decimal"/>
      <w:lvlText w:val="%9."/>
      <w:lvlJc w:val="left"/>
      <w:pPr>
        <w:tabs>
          <w:tab w:val="num" w:pos="6480"/>
        </w:tabs>
        <w:ind w:left="6480" w:hanging="360"/>
      </w:pPr>
    </w:lvl>
  </w:abstractNum>
  <w:abstractNum w:abstractNumId="43">
    <w:nsid w:val="7BB17902"/>
    <w:multiLevelType w:val="hybridMultilevel"/>
    <w:tmpl w:val="1AA446C6"/>
    <w:lvl w:ilvl="0" w:tplc="04160011">
      <w:start w:val="1"/>
      <w:numFmt w:val="decimal"/>
      <w:lvlText w:val="%1)"/>
      <w:lvlJc w:val="left"/>
      <w:pPr>
        <w:tabs>
          <w:tab w:val="num" w:pos="720"/>
        </w:tabs>
        <w:ind w:left="720" w:hanging="360"/>
      </w:pPr>
      <w:rPr>
        <w:rFonts w:hint="default"/>
      </w:rPr>
    </w:lvl>
    <w:lvl w:ilvl="1" w:tplc="C7D4AEC0">
      <w:start w:val="1"/>
      <w:numFmt w:val="bullet"/>
      <w:lvlText w:val=""/>
      <w:lvlJc w:val="left"/>
      <w:pPr>
        <w:tabs>
          <w:tab w:val="num" w:pos="1440"/>
        </w:tabs>
        <w:ind w:left="1440" w:hanging="360"/>
      </w:pPr>
      <w:rPr>
        <w:rFonts w:ascii="Wingdings 2" w:hAnsi="Wingdings 2" w:hint="default"/>
      </w:rPr>
    </w:lvl>
    <w:lvl w:ilvl="2" w:tplc="9A24C798">
      <w:start w:val="1"/>
      <w:numFmt w:val="bullet"/>
      <w:lvlText w:val=""/>
      <w:lvlJc w:val="left"/>
      <w:pPr>
        <w:tabs>
          <w:tab w:val="num" w:pos="2160"/>
        </w:tabs>
        <w:ind w:left="2160" w:hanging="360"/>
      </w:pPr>
      <w:rPr>
        <w:rFonts w:ascii="Wingdings 2" w:hAnsi="Wingdings 2" w:hint="default"/>
      </w:rPr>
    </w:lvl>
    <w:lvl w:ilvl="3" w:tplc="B0D21116" w:tentative="1">
      <w:start w:val="1"/>
      <w:numFmt w:val="bullet"/>
      <w:lvlText w:val=""/>
      <w:lvlJc w:val="left"/>
      <w:pPr>
        <w:tabs>
          <w:tab w:val="num" w:pos="2880"/>
        </w:tabs>
        <w:ind w:left="2880" w:hanging="360"/>
      </w:pPr>
      <w:rPr>
        <w:rFonts w:ascii="Wingdings 2" w:hAnsi="Wingdings 2" w:hint="default"/>
      </w:rPr>
    </w:lvl>
    <w:lvl w:ilvl="4" w:tplc="C1D6B988" w:tentative="1">
      <w:start w:val="1"/>
      <w:numFmt w:val="bullet"/>
      <w:lvlText w:val=""/>
      <w:lvlJc w:val="left"/>
      <w:pPr>
        <w:tabs>
          <w:tab w:val="num" w:pos="3600"/>
        </w:tabs>
        <w:ind w:left="3600" w:hanging="360"/>
      </w:pPr>
      <w:rPr>
        <w:rFonts w:ascii="Wingdings 2" w:hAnsi="Wingdings 2" w:hint="default"/>
      </w:rPr>
    </w:lvl>
    <w:lvl w:ilvl="5" w:tplc="13167B30" w:tentative="1">
      <w:start w:val="1"/>
      <w:numFmt w:val="bullet"/>
      <w:lvlText w:val=""/>
      <w:lvlJc w:val="left"/>
      <w:pPr>
        <w:tabs>
          <w:tab w:val="num" w:pos="4320"/>
        </w:tabs>
        <w:ind w:left="4320" w:hanging="360"/>
      </w:pPr>
      <w:rPr>
        <w:rFonts w:ascii="Wingdings 2" w:hAnsi="Wingdings 2" w:hint="default"/>
      </w:rPr>
    </w:lvl>
    <w:lvl w:ilvl="6" w:tplc="71C29B0E" w:tentative="1">
      <w:start w:val="1"/>
      <w:numFmt w:val="bullet"/>
      <w:lvlText w:val=""/>
      <w:lvlJc w:val="left"/>
      <w:pPr>
        <w:tabs>
          <w:tab w:val="num" w:pos="5040"/>
        </w:tabs>
        <w:ind w:left="5040" w:hanging="360"/>
      </w:pPr>
      <w:rPr>
        <w:rFonts w:ascii="Wingdings 2" w:hAnsi="Wingdings 2" w:hint="default"/>
      </w:rPr>
    </w:lvl>
    <w:lvl w:ilvl="7" w:tplc="D428B518" w:tentative="1">
      <w:start w:val="1"/>
      <w:numFmt w:val="bullet"/>
      <w:lvlText w:val=""/>
      <w:lvlJc w:val="left"/>
      <w:pPr>
        <w:tabs>
          <w:tab w:val="num" w:pos="5760"/>
        </w:tabs>
        <w:ind w:left="5760" w:hanging="360"/>
      </w:pPr>
      <w:rPr>
        <w:rFonts w:ascii="Wingdings 2" w:hAnsi="Wingdings 2" w:hint="default"/>
      </w:rPr>
    </w:lvl>
    <w:lvl w:ilvl="8" w:tplc="CA4C7F58" w:tentative="1">
      <w:start w:val="1"/>
      <w:numFmt w:val="bullet"/>
      <w:lvlText w:val=""/>
      <w:lvlJc w:val="left"/>
      <w:pPr>
        <w:tabs>
          <w:tab w:val="num" w:pos="6480"/>
        </w:tabs>
        <w:ind w:left="6480" w:hanging="360"/>
      </w:pPr>
      <w:rPr>
        <w:rFonts w:ascii="Wingdings 2" w:hAnsi="Wingdings 2" w:hint="default"/>
      </w:rPr>
    </w:lvl>
  </w:abstractNum>
  <w:abstractNum w:abstractNumId="44">
    <w:nsid w:val="7BB92B6F"/>
    <w:multiLevelType w:val="hybridMultilevel"/>
    <w:tmpl w:val="EC02C74E"/>
    <w:lvl w:ilvl="0" w:tplc="A760B11A">
      <w:start w:val="1"/>
      <w:numFmt w:val="bullet"/>
      <w:lvlText w:val="•"/>
      <w:lvlJc w:val="left"/>
      <w:pPr>
        <w:tabs>
          <w:tab w:val="num" w:pos="720"/>
        </w:tabs>
        <w:ind w:left="720" w:hanging="360"/>
      </w:pPr>
      <w:rPr>
        <w:rFonts w:ascii="Times New Roman" w:hAnsi="Times New Roman" w:hint="default"/>
      </w:rPr>
    </w:lvl>
    <w:lvl w:ilvl="1" w:tplc="DE20EC04" w:tentative="1">
      <w:start w:val="1"/>
      <w:numFmt w:val="bullet"/>
      <w:lvlText w:val="•"/>
      <w:lvlJc w:val="left"/>
      <w:pPr>
        <w:tabs>
          <w:tab w:val="num" w:pos="1440"/>
        </w:tabs>
        <w:ind w:left="1440" w:hanging="360"/>
      </w:pPr>
      <w:rPr>
        <w:rFonts w:ascii="Times New Roman" w:hAnsi="Times New Roman" w:hint="default"/>
      </w:rPr>
    </w:lvl>
    <w:lvl w:ilvl="2" w:tplc="06147AE2" w:tentative="1">
      <w:start w:val="1"/>
      <w:numFmt w:val="bullet"/>
      <w:lvlText w:val="•"/>
      <w:lvlJc w:val="left"/>
      <w:pPr>
        <w:tabs>
          <w:tab w:val="num" w:pos="2160"/>
        </w:tabs>
        <w:ind w:left="2160" w:hanging="360"/>
      </w:pPr>
      <w:rPr>
        <w:rFonts w:ascii="Times New Roman" w:hAnsi="Times New Roman" w:hint="default"/>
      </w:rPr>
    </w:lvl>
    <w:lvl w:ilvl="3" w:tplc="A38A66F6" w:tentative="1">
      <w:start w:val="1"/>
      <w:numFmt w:val="bullet"/>
      <w:lvlText w:val="•"/>
      <w:lvlJc w:val="left"/>
      <w:pPr>
        <w:tabs>
          <w:tab w:val="num" w:pos="2880"/>
        </w:tabs>
        <w:ind w:left="2880" w:hanging="360"/>
      </w:pPr>
      <w:rPr>
        <w:rFonts w:ascii="Times New Roman" w:hAnsi="Times New Roman" w:hint="default"/>
      </w:rPr>
    </w:lvl>
    <w:lvl w:ilvl="4" w:tplc="6186AC2A" w:tentative="1">
      <w:start w:val="1"/>
      <w:numFmt w:val="bullet"/>
      <w:lvlText w:val="•"/>
      <w:lvlJc w:val="left"/>
      <w:pPr>
        <w:tabs>
          <w:tab w:val="num" w:pos="3600"/>
        </w:tabs>
        <w:ind w:left="3600" w:hanging="360"/>
      </w:pPr>
      <w:rPr>
        <w:rFonts w:ascii="Times New Roman" w:hAnsi="Times New Roman" w:hint="default"/>
      </w:rPr>
    </w:lvl>
    <w:lvl w:ilvl="5" w:tplc="3F3E7A4C" w:tentative="1">
      <w:start w:val="1"/>
      <w:numFmt w:val="bullet"/>
      <w:lvlText w:val="•"/>
      <w:lvlJc w:val="left"/>
      <w:pPr>
        <w:tabs>
          <w:tab w:val="num" w:pos="4320"/>
        </w:tabs>
        <w:ind w:left="4320" w:hanging="360"/>
      </w:pPr>
      <w:rPr>
        <w:rFonts w:ascii="Times New Roman" w:hAnsi="Times New Roman" w:hint="default"/>
      </w:rPr>
    </w:lvl>
    <w:lvl w:ilvl="6" w:tplc="3B0E0082" w:tentative="1">
      <w:start w:val="1"/>
      <w:numFmt w:val="bullet"/>
      <w:lvlText w:val="•"/>
      <w:lvlJc w:val="left"/>
      <w:pPr>
        <w:tabs>
          <w:tab w:val="num" w:pos="5040"/>
        </w:tabs>
        <w:ind w:left="5040" w:hanging="360"/>
      </w:pPr>
      <w:rPr>
        <w:rFonts w:ascii="Times New Roman" w:hAnsi="Times New Roman" w:hint="default"/>
      </w:rPr>
    </w:lvl>
    <w:lvl w:ilvl="7" w:tplc="F752BC76" w:tentative="1">
      <w:start w:val="1"/>
      <w:numFmt w:val="bullet"/>
      <w:lvlText w:val="•"/>
      <w:lvlJc w:val="left"/>
      <w:pPr>
        <w:tabs>
          <w:tab w:val="num" w:pos="5760"/>
        </w:tabs>
        <w:ind w:left="5760" w:hanging="360"/>
      </w:pPr>
      <w:rPr>
        <w:rFonts w:ascii="Times New Roman" w:hAnsi="Times New Roman" w:hint="default"/>
      </w:rPr>
    </w:lvl>
    <w:lvl w:ilvl="8" w:tplc="91528C56"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C1B76CE"/>
    <w:multiLevelType w:val="hybridMultilevel"/>
    <w:tmpl w:val="6B2E2830"/>
    <w:lvl w:ilvl="0" w:tplc="0416000F">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5"/>
  </w:num>
  <w:num w:numId="2">
    <w:abstractNumId w:val="10"/>
  </w:num>
  <w:num w:numId="3">
    <w:abstractNumId w:val="30"/>
  </w:num>
  <w:num w:numId="4">
    <w:abstractNumId w:val="28"/>
  </w:num>
  <w:num w:numId="5">
    <w:abstractNumId w:val="45"/>
  </w:num>
  <w:num w:numId="6">
    <w:abstractNumId w:val="0"/>
  </w:num>
  <w:num w:numId="7">
    <w:abstractNumId w:val="23"/>
  </w:num>
  <w:num w:numId="8">
    <w:abstractNumId w:val="32"/>
  </w:num>
  <w:num w:numId="9">
    <w:abstractNumId w:val="39"/>
  </w:num>
  <w:num w:numId="10">
    <w:abstractNumId w:val="12"/>
  </w:num>
  <w:num w:numId="11">
    <w:abstractNumId w:val="38"/>
  </w:num>
  <w:num w:numId="12">
    <w:abstractNumId w:val="21"/>
  </w:num>
  <w:num w:numId="13">
    <w:abstractNumId w:val="8"/>
  </w:num>
  <w:num w:numId="14">
    <w:abstractNumId w:val="1"/>
  </w:num>
  <w:num w:numId="15">
    <w:abstractNumId w:val="9"/>
  </w:num>
  <w:num w:numId="16">
    <w:abstractNumId w:val="17"/>
  </w:num>
  <w:num w:numId="17">
    <w:abstractNumId w:val="40"/>
  </w:num>
  <w:num w:numId="18">
    <w:abstractNumId w:val="24"/>
  </w:num>
  <w:num w:numId="19">
    <w:abstractNumId w:val="37"/>
  </w:num>
  <w:num w:numId="20">
    <w:abstractNumId w:val="43"/>
  </w:num>
  <w:num w:numId="21">
    <w:abstractNumId w:val="14"/>
  </w:num>
  <w:num w:numId="22">
    <w:abstractNumId w:val="15"/>
  </w:num>
  <w:num w:numId="23">
    <w:abstractNumId w:val="16"/>
  </w:num>
  <w:num w:numId="24">
    <w:abstractNumId w:val="2"/>
  </w:num>
  <w:num w:numId="25">
    <w:abstractNumId w:val="7"/>
  </w:num>
  <w:num w:numId="26">
    <w:abstractNumId w:val="19"/>
  </w:num>
  <w:num w:numId="27">
    <w:abstractNumId w:val="41"/>
  </w:num>
  <w:num w:numId="28">
    <w:abstractNumId w:val="31"/>
  </w:num>
  <w:num w:numId="29">
    <w:abstractNumId w:val="25"/>
  </w:num>
  <w:num w:numId="30">
    <w:abstractNumId w:val="44"/>
  </w:num>
  <w:num w:numId="31">
    <w:abstractNumId w:val="3"/>
  </w:num>
  <w:num w:numId="32">
    <w:abstractNumId w:val="29"/>
  </w:num>
  <w:num w:numId="33">
    <w:abstractNumId w:val="6"/>
  </w:num>
  <w:num w:numId="34">
    <w:abstractNumId w:val="42"/>
  </w:num>
  <w:num w:numId="35">
    <w:abstractNumId w:val="27"/>
  </w:num>
  <w:num w:numId="36">
    <w:abstractNumId w:val="26"/>
  </w:num>
  <w:num w:numId="37">
    <w:abstractNumId w:val="11"/>
  </w:num>
  <w:num w:numId="38">
    <w:abstractNumId w:val="20"/>
  </w:num>
  <w:num w:numId="39">
    <w:abstractNumId w:val="18"/>
  </w:num>
  <w:num w:numId="40">
    <w:abstractNumId w:val="4"/>
  </w:num>
  <w:num w:numId="41">
    <w:abstractNumId w:val="34"/>
  </w:num>
  <w:num w:numId="42">
    <w:abstractNumId w:val="13"/>
  </w:num>
  <w:num w:numId="43">
    <w:abstractNumId w:val="22"/>
  </w:num>
  <w:num w:numId="44">
    <w:abstractNumId w:val="36"/>
  </w:num>
  <w:num w:numId="45">
    <w:abstractNumId w:val="35"/>
  </w:num>
  <w:num w:numId="4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A577C"/>
    <w:rsid w:val="00003521"/>
    <w:rsid w:val="00003D53"/>
    <w:rsid w:val="00004871"/>
    <w:rsid w:val="000052FC"/>
    <w:rsid w:val="000057D8"/>
    <w:rsid w:val="0000588D"/>
    <w:rsid w:val="00006A60"/>
    <w:rsid w:val="00006FBF"/>
    <w:rsid w:val="000075F8"/>
    <w:rsid w:val="00011BFF"/>
    <w:rsid w:val="00013206"/>
    <w:rsid w:val="0001406B"/>
    <w:rsid w:val="00015BED"/>
    <w:rsid w:val="00015E0E"/>
    <w:rsid w:val="00020D77"/>
    <w:rsid w:val="000227B7"/>
    <w:rsid w:val="00022E22"/>
    <w:rsid w:val="00023215"/>
    <w:rsid w:val="00024163"/>
    <w:rsid w:val="00026709"/>
    <w:rsid w:val="00030358"/>
    <w:rsid w:val="00031BFD"/>
    <w:rsid w:val="0003236E"/>
    <w:rsid w:val="00033EEE"/>
    <w:rsid w:val="0003491A"/>
    <w:rsid w:val="00036746"/>
    <w:rsid w:val="00037151"/>
    <w:rsid w:val="000378C8"/>
    <w:rsid w:val="000405D4"/>
    <w:rsid w:val="0004242C"/>
    <w:rsid w:val="0004383D"/>
    <w:rsid w:val="00045193"/>
    <w:rsid w:val="000453CA"/>
    <w:rsid w:val="00045D04"/>
    <w:rsid w:val="00046CEA"/>
    <w:rsid w:val="000509C1"/>
    <w:rsid w:val="00051627"/>
    <w:rsid w:val="00052D6E"/>
    <w:rsid w:val="000530D9"/>
    <w:rsid w:val="000551F1"/>
    <w:rsid w:val="000610AF"/>
    <w:rsid w:val="0006142A"/>
    <w:rsid w:val="000615E9"/>
    <w:rsid w:val="00063475"/>
    <w:rsid w:val="00063C7D"/>
    <w:rsid w:val="000643F9"/>
    <w:rsid w:val="00065ECF"/>
    <w:rsid w:val="00071242"/>
    <w:rsid w:val="000716C1"/>
    <w:rsid w:val="00072387"/>
    <w:rsid w:val="000734EE"/>
    <w:rsid w:val="000737E7"/>
    <w:rsid w:val="00074BD2"/>
    <w:rsid w:val="000756E4"/>
    <w:rsid w:val="000759C5"/>
    <w:rsid w:val="00077B5A"/>
    <w:rsid w:val="00080DD0"/>
    <w:rsid w:val="00080DEA"/>
    <w:rsid w:val="000822AD"/>
    <w:rsid w:val="000836BA"/>
    <w:rsid w:val="00083A38"/>
    <w:rsid w:val="00083D33"/>
    <w:rsid w:val="00085549"/>
    <w:rsid w:val="00085828"/>
    <w:rsid w:val="00085E8A"/>
    <w:rsid w:val="000902FA"/>
    <w:rsid w:val="0009079F"/>
    <w:rsid w:val="00091937"/>
    <w:rsid w:val="000922E2"/>
    <w:rsid w:val="000934A6"/>
    <w:rsid w:val="00093D4C"/>
    <w:rsid w:val="000A2F04"/>
    <w:rsid w:val="000A32E0"/>
    <w:rsid w:val="000A35EA"/>
    <w:rsid w:val="000A3666"/>
    <w:rsid w:val="000A37C6"/>
    <w:rsid w:val="000A3B5E"/>
    <w:rsid w:val="000A5F23"/>
    <w:rsid w:val="000B0220"/>
    <w:rsid w:val="000B132F"/>
    <w:rsid w:val="000B356A"/>
    <w:rsid w:val="000B619D"/>
    <w:rsid w:val="000B6A34"/>
    <w:rsid w:val="000B7EE9"/>
    <w:rsid w:val="000C0B36"/>
    <w:rsid w:val="000C13C0"/>
    <w:rsid w:val="000C315A"/>
    <w:rsid w:val="000C3527"/>
    <w:rsid w:val="000D080D"/>
    <w:rsid w:val="000D1526"/>
    <w:rsid w:val="000E05B0"/>
    <w:rsid w:val="000E248C"/>
    <w:rsid w:val="000E381F"/>
    <w:rsid w:val="000E6CF9"/>
    <w:rsid w:val="000E7482"/>
    <w:rsid w:val="000F0168"/>
    <w:rsid w:val="000F19CC"/>
    <w:rsid w:val="000F497D"/>
    <w:rsid w:val="000F5206"/>
    <w:rsid w:val="000F61F3"/>
    <w:rsid w:val="00102B6F"/>
    <w:rsid w:val="00105279"/>
    <w:rsid w:val="00105B0D"/>
    <w:rsid w:val="00110966"/>
    <w:rsid w:val="0011153D"/>
    <w:rsid w:val="00112945"/>
    <w:rsid w:val="00116E5A"/>
    <w:rsid w:val="0011774E"/>
    <w:rsid w:val="00117FB4"/>
    <w:rsid w:val="00121437"/>
    <w:rsid w:val="00122659"/>
    <w:rsid w:val="00122D4D"/>
    <w:rsid w:val="00123CF5"/>
    <w:rsid w:val="00124345"/>
    <w:rsid w:val="00126579"/>
    <w:rsid w:val="00130783"/>
    <w:rsid w:val="001332D3"/>
    <w:rsid w:val="0013376D"/>
    <w:rsid w:val="00133B8F"/>
    <w:rsid w:val="00133E23"/>
    <w:rsid w:val="0013403C"/>
    <w:rsid w:val="0014228F"/>
    <w:rsid w:val="00142C13"/>
    <w:rsid w:val="0014356A"/>
    <w:rsid w:val="001458A4"/>
    <w:rsid w:val="00146154"/>
    <w:rsid w:val="0014664C"/>
    <w:rsid w:val="00146C0C"/>
    <w:rsid w:val="00147179"/>
    <w:rsid w:val="00150E32"/>
    <w:rsid w:val="001513A3"/>
    <w:rsid w:val="00151F97"/>
    <w:rsid w:val="001520FF"/>
    <w:rsid w:val="00152BD2"/>
    <w:rsid w:val="00153ABC"/>
    <w:rsid w:val="0015424B"/>
    <w:rsid w:val="0015511E"/>
    <w:rsid w:val="00155F21"/>
    <w:rsid w:val="0015681B"/>
    <w:rsid w:val="00161CD4"/>
    <w:rsid w:val="00161F23"/>
    <w:rsid w:val="00163272"/>
    <w:rsid w:val="00165C86"/>
    <w:rsid w:val="001660F6"/>
    <w:rsid w:val="00166C9C"/>
    <w:rsid w:val="001670A5"/>
    <w:rsid w:val="00172896"/>
    <w:rsid w:val="001751B5"/>
    <w:rsid w:val="0017630B"/>
    <w:rsid w:val="00177521"/>
    <w:rsid w:val="0017769C"/>
    <w:rsid w:val="00180B68"/>
    <w:rsid w:val="001840F0"/>
    <w:rsid w:val="00184916"/>
    <w:rsid w:val="00185CB0"/>
    <w:rsid w:val="00186634"/>
    <w:rsid w:val="00187CE7"/>
    <w:rsid w:val="00187E4B"/>
    <w:rsid w:val="0019038D"/>
    <w:rsid w:val="00191232"/>
    <w:rsid w:val="00191DA8"/>
    <w:rsid w:val="00192E1B"/>
    <w:rsid w:val="001978EE"/>
    <w:rsid w:val="001A5048"/>
    <w:rsid w:val="001A5707"/>
    <w:rsid w:val="001A577C"/>
    <w:rsid w:val="001A7237"/>
    <w:rsid w:val="001B08A2"/>
    <w:rsid w:val="001B226E"/>
    <w:rsid w:val="001B3EB2"/>
    <w:rsid w:val="001B758F"/>
    <w:rsid w:val="001B79BF"/>
    <w:rsid w:val="001C068B"/>
    <w:rsid w:val="001C0C0F"/>
    <w:rsid w:val="001C139D"/>
    <w:rsid w:val="001C2F57"/>
    <w:rsid w:val="001C4DCA"/>
    <w:rsid w:val="001C504E"/>
    <w:rsid w:val="001D0AD5"/>
    <w:rsid w:val="001D12B3"/>
    <w:rsid w:val="001D1F48"/>
    <w:rsid w:val="001D6044"/>
    <w:rsid w:val="001D765E"/>
    <w:rsid w:val="001D7BA7"/>
    <w:rsid w:val="001D7CF3"/>
    <w:rsid w:val="001E3620"/>
    <w:rsid w:val="001E436A"/>
    <w:rsid w:val="001E4D61"/>
    <w:rsid w:val="001E53CD"/>
    <w:rsid w:val="001F0AED"/>
    <w:rsid w:val="001F1F23"/>
    <w:rsid w:val="001F43E3"/>
    <w:rsid w:val="001F48C5"/>
    <w:rsid w:val="001F672A"/>
    <w:rsid w:val="001F6A39"/>
    <w:rsid w:val="002017F9"/>
    <w:rsid w:val="0020523C"/>
    <w:rsid w:val="00205C89"/>
    <w:rsid w:val="00211212"/>
    <w:rsid w:val="00214C7F"/>
    <w:rsid w:val="002177B1"/>
    <w:rsid w:val="00217AFA"/>
    <w:rsid w:val="00217D97"/>
    <w:rsid w:val="002223E3"/>
    <w:rsid w:val="002238CB"/>
    <w:rsid w:val="0022438D"/>
    <w:rsid w:val="00225279"/>
    <w:rsid w:val="00226231"/>
    <w:rsid w:val="00227D60"/>
    <w:rsid w:val="00227F42"/>
    <w:rsid w:val="0023095C"/>
    <w:rsid w:val="0023173E"/>
    <w:rsid w:val="00232156"/>
    <w:rsid w:val="002350E5"/>
    <w:rsid w:val="002362B5"/>
    <w:rsid w:val="00237B8B"/>
    <w:rsid w:val="00241772"/>
    <w:rsid w:val="002420B8"/>
    <w:rsid w:val="002426C2"/>
    <w:rsid w:val="002429BE"/>
    <w:rsid w:val="00242F67"/>
    <w:rsid w:val="00243B7A"/>
    <w:rsid w:val="0024654F"/>
    <w:rsid w:val="00251ECA"/>
    <w:rsid w:val="002544D4"/>
    <w:rsid w:val="0025479B"/>
    <w:rsid w:val="00254D0D"/>
    <w:rsid w:val="00255455"/>
    <w:rsid w:val="00255862"/>
    <w:rsid w:val="00261A73"/>
    <w:rsid w:val="00264C05"/>
    <w:rsid w:val="0026703F"/>
    <w:rsid w:val="00270435"/>
    <w:rsid w:val="002712A0"/>
    <w:rsid w:val="002713DA"/>
    <w:rsid w:val="00272EA7"/>
    <w:rsid w:val="002734B8"/>
    <w:rsid w:val="00273566"/>
    <w:rsid w:val="002741F5"/>
    <w:rsid w:val="00274815"/>
    <w:rsid w:val="00274FFE"/>
    <w:rsid w:val="00276C9C"/>
    <w:rsid w:val="00276FE7"/>
    <w:rsid w:val="00277083"/>
    <w:rsid w:val="00277667"/>
    <w:rsid w:val="0028060C"/>
    <w:rsid w:val="002810EC"/>
    <w:rsid w:val="002828B3"/>
    <w:rsid w:val="00282F1B"/>
    <w:rsid w:val="0028336C"/>
    <w:rsid w:val="0028337C"/>
    <w:rsid w:val="00283DAA"/>
    <w:rsid w:val="00284FDC"/>
    <w:rsid w:val="00286303"/>
    <w:rsid w:val="0028731F"/>
    <w:rsid w:val="00292BB0"/>
    <w:rsid w:val="00293086"/>
    <w:rsid w:val="00293CD6"/>
    <w:rsid w:val="00295D58"/>
    <w:rsid w:val="00296760"/>
    <w:rsid w:val="00296D13"/>
    <w:rsid w:val="002A5356"/>
    <w:rsid w:val="002A6CC5"/>
    <w:rsid w:val="002A7871"/>
    <w:rsid w:val="002B07B3"/>
    <w:rsid w:val="002B1BA1"/>
    <w:rsid w:val="002B44DE"/>
    <w:rsid w:val="002B6DE6"/>
    <w:rsid w:val="002B748D"/>
    <w:rsid w:val="002C04AC"/>
    <w:rsid w:val="002C1254"/>
    <w:rsid w:val="002C3A9C"/>
    <w:rsid w:val="002C653B"/>
    <w:rsid w:val="002D1BEF"/>
    <w:rsid w:val="002D319A"/>
    <w:rsid w:val="002D4002"/>
    <w:rsid w:val="002D4481"/>
    <w:rsid w:val="002D6039"/>
    <w:rsid w:val="002D622E"/>
    <w:rsid w:val="002D6C8E"/>
    <w:rsid w:val="002D7F2F"/>
    <w:rsid w:val="002E0CBE"/>
    <w:rsid w:val="002E4AC2"/>
    <w:rsid w:val="002E64D4"/>
    <w:rsid w:val="002F05E1"/>
    <w:rsid w:val="002F11BF"/>
    <w:rsid w:val="002F1218"/>
    <w:rsid w:val="002F1E70"/>
    <w:rsid w:val="002F2412"/>
    <w:rsid w:val="002F5295"/>
    <w:rsid w:val="002F53E3"/>
    <w:rsid w:val="002F6AF1"/>
    <w:rsid w:val="002F7D7E"/>
    <w:rsid w:val="003017A7"/>
    <w:rsid w:val="003047EA"/>
    <w:rsid w:val="00305010"/>
    <w:rsid w:val="003100F5"/>
    <w:rsid w:val="003101D7"/>
    <w:rsid w:val="0031624E"/>
    <w:rsid w:val="00316778"/>
    <w:rsid w:val="00320939"/>
    <w:rsid w:val="003210BA"/>
    <w:rsid w:val="00323B92"/>
    <w:rsid w:val="00324F2A"/>
    <w:rsid w:val="00327449"/>
    <w:rsid w:val="00330476"/>
    <w:rsid w:val="00331FE3"/>
    <w:rsid w:val="00334072"/>
    <w:rsid w:val="00334D60"/>
    <w:rsid w:val="00336C3D"/>
    <w:rsid w:val="00336DC1"/>
    <w:rsid w:val="00337AEA"/>
    <w:rsid w:val="00340309"/>
    <w:rsid w:val="0034116D"/>
    <w:rsid w:val="00343066"/>
    <w:rsid w:val="003449C2"/>
    <w:rsid w:val="003451B4"/>
    <w:rsid w:val="003456DE"/>
    <w:rsid w:val="00346245"/>
    <w:rsid w:val="003468C7"/>
    <w:rsid w:val="00350BC4"/>
    <w:rsid w:val="00351232"/>
    <w:rsid w:val="00354967"/>
    <w:rsid w:val="0035618A"/>
    <w:rsid w:val="003605F9"/>
    <w:rsid w:val="003639D8"/>
    <w:rsid w:val="003643BD"/>
    <w:rsid w:val="0036638B"/>
    <w:rsid w:val="00366565"/>
    <w:rsid w:val="00366BB4"/>
    <w:rsid w:val="00370275"/>
    <w:rsid w:val="00376383"/>
    <w:rsid w:val="00377811"/>
    <w:rsid w:val="00377BC7"/>
    <w:rsid w:val="00380D7D"/>
    <w:rsid w:val="003811A0"/>
    <w:rsid w:val="00383054"/>
    <w:rsid w:val="00383AF4"/>
    <w:rsid w:val="00384AA6"/>
    <w:rsid w:val="00385160"/>
    <w:rsid w:val="00385391"/>
    <w:rsid w:val="00385DB0"/>
    <w:rsid w:val="00390BAC"/>
    <w:rsid w:val="00391927"/>
    <w:rsid w:val="00391BEE"/>
    <w:rsid w:val="003930DC"/>
    <w:rsid w:val="0039519F"/>
    <w:rsid w:val="00396CA6"/>
    <w:rsid w:val="00397000"/>
    <w:rsid w:val="003A11B1"/>
    <w:rsid w:val="003A48E1"/>
    <w:rsid w:val="003A518F"/>
    <w:rsid w:val="003A51E2"/>
    <w:rsid w:val="003A5B3D"/>
    <w:rsid w:val="003A64BD"/>
    <w:rsid w:val="003A6610"/>
    <w:rsid w:val="003A6900"/>
    <w:rsid w:val="003B098A"/>
    <w:rsid w:val="003B0E4E"/>
    <w:rsid w:val="003B1012"/>
    <w:rsid w:val="003B125D"/>
    <w:rsid w:val="003B262D"/>
    <w:rsid w:val="003B3252"/>
    <w:rsid w:val="003B352E"/>
    <w:rsid w:val="003B4083"/>
    <w:rsid w:val="003B6AD1"/>
    <w:rsid w:val="003B6F82"/>
    <w:rsid w:val="003B7506"/>
    <w:rsid w:val="003B7F14"/>
    <w:rsid w:val="003C2BA1"/>
    <w:rsid w:val="003C4C49"/>
    <w:rsid w:val="003C56FC"/>
    <w:rsid w:val="003C6BB3"/>
    <w:rsid w:val="003C6EDD"/>
    <w:rsid w:val="003C79E6"/>
    <w:rsid w:val="003C7CE6"/>
    <w:rsid w:val="003D0477"/>
    <w:rsid w:val="003D3073"/>
    <w:rsid w:val="003D60DC"/>
    <w:rsid w:val="003D7E29"/>
    <w:rsid w:val="003E005A"/>
    <w:rsid w:val="003E1455"/>
    <w:rsid w:val="003E4090"/>
    <w:rsid w:val="003E4A98"/>
    <w:rsid w:val="003E5555"/>
    <w:rsid w:val="003F06C9"/>
    <w:rsid w:val="003F0A7D"/>
    <w:rsid w:val="003F10A8"/>
    <w:rsid w:val="003F10C6"/>
    <w:rsid w:val="003F1A2D"/>
    <w:rsid w:val="003F1B7C"/>
    <w:rsid w:val="003F2318"/>
    <w:rsid w:val="003F264A"/>
    <w:rsid w:val="003F416D"/>
    <w:rsid w:val="00400373"/>
    <w:rsid w:val="00400DBA"/>
    <w:rsid w:val="00401811"/>
    <w:rsid w:val="004030E3"/>
    <w:rsid w:val="00403322"/>
    <w:rsid w:val="00405E8A"/>
    <w:rsid w:val="00405FE3"/>
    <w:rsid w:val="004066CD"/>
    <w:rsid w:val="004074CF"/>
    <w:rsid w:val="00412C62"/>
    <w:rsid w:val="00413803"/>
    <w:rsid w:val="00414353"/>
    <w:rsid w:val="004151AA"/>
    <w:rsid w:val="00421B80"/>
    <w:rsid w:val="004228C2"/>
    <w:rsid w:val="00426437"/>
    <w:rsid w:val="00430B7D"/>
    <w:rsid w:val="0043207A"/>
    <w:rsid w:val="00433C67"/>
    <w:rsid w:val="00434CD7"/>
    <w:rsid w:val="00434F4C"/>
    <w:rsid w:val="00437818"/>
    <w:rsid w:val="00440C9F"/>
    <w:rsid w:val="00441706"/>
    <w:rsid w:val="00441FA4"/>
    <w:rsid w:val="00442C76"/>
    <w:rsid w:val="00443383"/>
    <w:rsid w:val="004468AC"/>
    <w:rsid w:val="00450E0E"/>
    <w:rsid w:val="00451286"/>
    <w:rsid w:val="0045141F"/>
    <w:rsid w:val="0045359C"/>
    <w:rsid w:val="00454EEC"/>
    <w:rsid w:val="00462FC1"/>
    <w:rsid w:val="004642BA"/>
    <w:rsid w:val="00471538"/>
    <w:rsid w:val="00471E59"/>
    <w:rsid w:val="00474BBE"/>
    <w:rsid w:val="004752BE"/>
    <w:rsid w:val="0048211A"/>
    <w:rsid w:val="004822C6"/>
    <w:rsid w:val="00484ECB"/>
    <w:rsid w:val="0048757E"/>
    <w:rsid w:val="004876F6"/>
    <w:rsid w:val="00487DA1"/>
    <w:rsid w:val="00487F19"/>
    <w:rsid w:val="00490C1B"/>
    <w:rsid w:val="00490FBD"/>
    <w:rsid w:val="004912A7"/>
    <w:rsid w:val="00491977"/>
    <w:rsid w:val="00492A3F"/>
    <w:rsid w:val="00494228"/>
    <w:rsid w:val="004952E7"/>
    <w:rsid w:val="00496286"/>
    <w:rsid w:val="00496C9A"/>
    <w:rsid w:val="00496FD0"/>
    <w:rsid w:val="00497772"/>
    <w:rsid w:val="004A1EBB"/>
    <w:rsid w:val="004A1FF9"/>
    <w:rsid w:val="004A22A6"/>
    <w:rsid w:val="004A3199"/>
    <w:rsid w:val="004A7314"/>
    <w:rsid w:val="004B149F"/>
    <w:rsid w:val="004B15A9"/>
    <w:rsid w:val="004B1D22"/>
    <w:rsid w:val="004B6C2E"/>
    <w:rsid w:val="004C1171"/>
    <w:rsid w:val="004C1516"/>
    <w:rsid w:val="004C2FC7"/>
    <w:rsid w:val="004C508B"/>
    <w:rsid w:val="004C52E5"/>
    <w:rsid w:val="004C5AB3"/>
    <w:rsid w:val="004C5D14"/>
    <w:rsid w:val="004C64B7"/>
    <w:rsid w:val="004C666C"/>
    <w:rsid w:val="004C7A62"/>
    <w:rsid w:val="004C7B06"/>
    <w:rsid w:val="004D1361"/>
    <w:rsid w:val="004D1401"/>
    <w:rsid w:val="004D2014"/>
    <w:rsid w:val="004D3306"/>
    <w:rsid w:val="004D3E6E"/>
    <w:rsid w:val="004D4C20"/>
    <w:rsid w:val="004D53BB"/>
    <w:rsid w:val="004D7321"/>
    <w:rsid w:val="004E2A7C"/>
    <w:rsid w:val="004E2A8D"/>
    <w:rsid w:val="004E2C5A"/>
    <w:rsid w:val="004E3551"/>
    <w:rsid w:val="004E38E9"/>
    <w:rsid w:val="004E3CA6"/>
    <w:rsid w:val="004E4CCB"/>
    <w:rsid w:val="004E52B7"/>
    <w:rsid w:val="004E71C6"/>
    <w:rsid w:val="004F10E4"/>
    <w:rsid w:val="004F1537"/>
    <w:rsid w:val="004F2365"/>
    <w:rsid w:val="004F2C8D"/>
    <w:rsid w:val="004F4AEB"/>
    <w:rsid w:val="004F7DBF"/>
    <w:rsid w:val="004F7F0F"/>
    <w:rsid w:val="00500A98"/>
    <w:rsid w:val="00501457"/>
    <w:rsid w:val="00501545"/>
    <w:rsid w:val="005040F7"/>
    <w:rsid w:val="0050450C"/>
    <w:rsid w:val="00504CDC"/>
    <w:rsid w:val="00504F52"/>
    <w:rsid w:val="0050797A"/>
    <w:rsid w:val="00510287"/>
    <w:rsid w:val="005117A2"/>
    <w:rsid w:val="0051188B"/>
    <w:rsid w:val="00513547"/>
    <w:rsid w:val="0051389F"/>
    <w:rsid w:val="005139CA"/>
    <w:rsid w:val="00514AB6"/>
    <w:rsid w:val="005153AA"/>
    <w:rsid w:val="0051541B"/>
    <w:rsid w:val="005156F5"/>
    <w:rsid w:val="00515F4A"/>
    <w:rsid w:val="005169B9"/>
    <w:rsid w:val="00516D20"/>
    <w:rsid w:val="0052007A"/>
    <w:rsid w:val="00521295"/>
    <w:rsid w:val="0052292B"/>
    <w:rsid w:val="005234C1"/>
    <w:rsid w:val="00523841"/>
    <w:rsid w:val="00523C8C"/>
    <w:rsid w:val="005256EF"/>
    <w:rsid w:val="0052730E"/>
    <w:rsid w:val="00530561"/>
    <w:rsid w:val="005320CC"/>
    <w:rsid w:val="005325DA"/>
    <w:rsid w:val="00534C88"/>
    <w:rsid w:val="0053509E"/>
    <w:rsid w:val="00536A63"/>
    <w:rsid w:val="00537D94"/>
    <w:rsid w:val="00537E67"/>
    <w:rsid w:val="00540C31"/>
    <w:rsid w:val="00541A4F"/>
    <w:rsid w:val="00542280"/>
    <w:rsid w:val="00542DEC"/>
    <w:rsid w:val="00543C34"/>
    <w:rsid w:val="00545DC0"/>
    <w:rsid w:val="00551D21"/>
    <w:rsid w:val="00553326"/>
    <w:rsid w:val="00557ADF"/>
    <w:rsid w:val="00557EE9"/>
    <w:rsid w:val="00561DD4"/>
    <w:rsid w:val="00561F50"/>
    <w:rsid w:val="00562645"/>
    <w:rsid w:val="00564667"/>
    <w:rsid w:val="00565AA3"/>
    <w:rsid w:val="00566EDA"/>
    <w:rsid w:val="00566EF0"/>
    <w:rsid w:val="00567C7F"/>
    <w:rsid w:val="00573745"/>
    <w:rsid w:val="00574803"/>
    <w:rsid w:val="005764CC"/>
    <w:rsid w:val="00585C6A"/>
    <w:rsid w:val="00586808"/>
    <w:rsid w:val="00587318"/>
    <w:rsid w:val="00587569"/>
    <w:rsid w:val="00587B44"/>
    <w:rsid w:val="0059403F"/>
    <w:rsid w:val="00594FF5"/>
    <w:rsid w:val="0059617F"/>
    <w:rsid w:val="005968DB"/>
    <w:rsid w:val="005A0970"/>
    <w:rsid w:val="005A0C41"/>
    <w:rsid w:val="005A1B5D"/>
    <w:rsid w:val="005A2953"/>
    <w:rsid w:val="005A2BBD"/>
    <w:rsid w:val="005A3EEB"/>
    <w:rsid w:val="005A5E75"/>
    <w:rsid w:val="005A7712"/>
    <w:rsid w:val="005A7CB8"/>
    <w:rsid w:val="005B0C27"/>
    <w:rsid w:val="005B145D"/>
    <w:rsid w:val="005B14E7"/>
    <w:rsid w:val="005B38A2"/>
    <w:rsid w:val="005B4E1F"/>
    <w:rsid w:val="005B7576"/>
    <w:rsid w:val="005B7603"/>
    <w:rsid w:val="005B763E"/>
    <w:rsid w:val="005C0DEA"/>
    <w:rsid w:val="005C1E93"/>
    <w:rsid w:val="005C1F0E"/>
    <w:rsid w:val="005C2145"/>
    <w:rsid w:val="005C2588"/>
    <w:rsid w:val="005C4A73"/>
    <w:rsid w:val="005C5F2E"/>
    <w:rsid w:val="005C67AE"/>
    <w:rsid w:val="005C69E0"/>
    <w:rsid w:val="005C6E2F"/>
    <w:rsid w:val="005C7509"/>
    <w:rsid w:val="005D097E"/>
    <w:rsid w:val="005D13F4"/>
    <w:rsid w:val="005D2340"/>
    <w:rsid w:val="005D39C0"/>
    <w:rsid w:val="005D48EF"/>
    <w:rsid w:val="005D5193"/>
    <w:rsid w:val="005E0307"/>
    <w:rsid w:val="005E286D"/>
    <w:rsid w:val="005E2876"/>
    <w:rsid w:val="005E3230"/>
    <w:rsid w:val="005E525D"/>
    <w:rsid w:val="005E59B1"/>
    <w:rsid w:val="005E7750"/>
    <w:rsid w:val="005F0F3E"/>
    <w:rsid w:val="005F1692"/>
    <w:rsid w:val="005F2516"/>
    <w:rsid w:val="005F2A9C"/>
    <w:rsid w:val="005F446C"/>
    <w:rsid w:val="005F5275"/>
    <w:rsid w:val="005F69DB"/>
    <w:rsid w:val="005F6C1A"/>
    <w:rsid w:val="00601B54"/>
    <w:rsid w:val="00601E27"/>
    <w:rsid w:val="00602E43"/>
    <w:rsid w:val="00603EDB"/>
    <w:rsid w:val="00605031"/>
    <w:rsid w:val="0060503C"/>
    <w:rsid w:val="006056B7"/>
    <w:rsid w:val="0060794A"/>
    <w:rsid w:val="00607E2B"/>
    <w:rsid w:val="006101EE"/>
    <w:rsid w:val="00610D27"/>
    <w:rsid w:val="00610FA3"/>
    <w:rsid w:val="0061225A"/>
    <w:rsid w:val="006144B2"/>
    <w:rsid w:val="00615016"/>
    <w:rsid w:val="00615390"/>
    <w:rsid w:val="006156C6"/>
    <w:rsid w:val="006179FE"/>
    <w:rsid w:val="0062104C"/>
    <w:rsid w:val="00621DB8"/>
    <w:rsid w:val="00622685"/>
    <w:rsid w:val="006228A7"/>
    <w:rsid w:val="0062478C"/>
    <w:rsid w:val="00624DD6"/>
    <w:rsid w:val="00630921"/>
    <w:rsid w:val="00630C25"/>
    <w:rsid w:val="00633CCB"/>
    <w:rsid w:val="006366D3"/>
    <w:rsid w:val="00636CCA"/>
    <w:rsid w:val="006429E3"/>
    <w:rsid w:val="00644A7D"/>
    <w:rsid w:val="00644F12"/>
    <w:rsid w:val="00645938"/>
    <w:rsid w:val="006468DF"/>
    <w:rsid w:val="0064773C"/>
    <w:rsid w:val="00650F52"/>
    <w:rsid w:val="006521A7"/>
    <w:rsid w:val="00652C80"/>
    <w:rsid w:val="006538E1"/>
    <w:rsid w:val="00654153"/>
    <w:rsid w:val="00655059"/>
    <w:rsid w:val="0065577D"/>
    <w:rsid w:val="00655C76"/>
    <w:rsid w:val="006570EF"/>
    <w:rsid w:val="006577E4"/>
    <w:rsid w:val="00660748"/>
    <w:rsid w:val="00660B3D"/>
    <w:rsid w:val="00661100"/>
    <w:rsid w:val="00661DE0"/>
    <w:rsid w:val="006635BF"/>
    <w:rsid w:val="00663D7D"/>
    <w:rsid w:val="00664D29"/>
    <w:rsid w:val="00664F26"/>
    <w:rsid w:val="0066587D"/>
    <w:rsid w:val="006669D9"/>
    <w:rsid w:val="0066733C"/>
    <w:rsid w:val="006707AD"/>
    <w:rsid w:val="0067208A"/>
    <w:rsid w:val="00673848"/>
    <w:rsid w:val="00673EB5"/>
    <w:rsid w:val="0068245B"/>
    <w:rsid w:val="00682DDD"/>
    <w:rsid w:val="00684858"/>
    <w:rsid w:val="006854C5"/>
    <w:rsid w:val="0068726C"/>
    <w:rsid w:val="0069069C"/>
    <w:rsid w:val="006909DF"/>
    <w:rsid w:val="00691164"/>
    <w:rsid w:val="00691924"/>
    <w:rsid w:val="00692C32"/>
    <w:rsid w:val="006948DA"/>
    <w:rsid w:val="006960CE"/>
    <w:rsid w:val="0069682C"/>
    <w:rsid w:val="006972C1"/>
    <w:rsid w:val="006A3CC1"/>
    <w:rsid w:val="006A3E71"/>
    <w:rsid w:val="006A4B3D"/>
    <w:rsid w:val="006A607B"/>
    <w:rsid w:val="006A6323"/>
    <w:rsid w:val="006B0333"/>
    <w:rsid w:val="006B082C"/>
    <w:rsid w:val="006B0D53"/>
    <w:rsid w:val="006B127D"/>
    <w:rsid w:val="006B234B"/>
    <w:rsid w:val="006B2D14"/>
    <w:rsid w:val="006B4E9B"/>
    <w:rsid w:val="006B6886"/>
    <w:rsid w:val="006B68DE"/>
    <w:rsid w:val="006B6AED"/>
    <w:rsid w:val="006C095B"/>
    <w:rsid w:val="006C0BCF"/>
    <w:rsid w:val="006C13D4"/>
    <w:rsid w:val="006C1A9A"/>
    <w:rsid w:val="006C3116"/>
    <w:rsid w:val="006C5996"/>
    <w:rsid w:val="006D1714"/>
    <w:rsid w:val="006D686A"/>
    <w:rsid w:val="006E0107"/>
    <w:rsid w:val="006E2FA0"/>
    <w:rsid w:val="006E3252"/>
    <w:rsid w:val="006E3A8C"/>
    <w:rsid w:val="006E461B"/>
    <w:rsid w:val="006E50BC"/>
    <w:rsid w:val="006E5C04"/>
    <w:rsid w:val="006E62CD"/>
    <w:rsid w:val="006E71AA"/>
    <w:rsid w:val="006E7945"/>
    <w:rsid w:val="006F0C3D"/>
    <w:rsid w:val="006F202F"/>
    <w:rsid w:val="006F51E5"/>
    <w:rsid w:val="006F5E3E"/>
    <w:rsid w:val="006F6453"/>
    <w:rsid w:val="006F742A"/>
    <w:rsid w:val="0070099E"/>
    <w:rsid w:val="00700E56"/>
    <w:rsid w:val="00702AC4"/>
    <w:rsid w:val="00702C79"/>
    <w:rsid w:val="00702F5A"/>
    <w:rsid w:val="00702FE4"/>
    <w:rsid w:val="00703BD3"/>
    <w:rsid w:val="007063E0"/>
    <w:rsid w:val="00710CB5"/>
    <w:rsid w:val="007115E9"/>
    <w:rsid w:val="00711AB2"/>
    <w:rsid w:val="00712E94"/>
    <w:rsid w:val="007174D3"/>
    <w:rsid w:val="00720625"/>
    <w:rsid w:val="007208C1"/>
    <w:rsid w:val="0072376F"/>
    <w:rsid w:val="00724C8F"/>
    <w:rsid w:val="00725DE9"/>
    <w:rsid w:val="0072626E"/>
    <w:rsid w:val="00727022"/>
    <w:rsid w:val="00730A91"/>
    <w:rsid w:val="00730B9A"/>
    <w:rsid w:val="00732183"/>
    <w:rsid w:val="00732850"/>
    <w:rsid w:val="007331D3"/>
    <w:rsid w:val="00733943"/>
    <w:rsid w:val="007352C4"/>
    <w:rsid w:val="007354FB"/>
    <w:rsid w:val="0073599A"/>
    <w:rsid w:val="00735FDF"/>
    <w:rsid w:val="007406B2"/>
    <w:rsid w:val="00741A6C"/>
    <w:rsid w:val="00742806"/>
    <w:rsid w:val="00742C2F"/>
    <w:rsid w:val="00753103"/>
    <w:rsid w:val="0075386E"/>
    <w:rsid w:val="00753FF7"/>
    <w:rsid w:val="007544DB"/>
    <w:rsid w:val="00754598"/>
    <w:rsid w:val="007554A8"/>
    <w:rsid w:val="0075764A"/>
    <w:rsid w:val="007622F0"/>
    <w:rsid w:val="007636F6"/>
    <w:rsid w:val="00763736"/>
    <w:rsid w:val="007637DF"/>
    <w:rsid w:val="00763839"/>
    <w:rsid w:val="00763907"/>
    <w:rsid w:val="007667DF"/>
    <w:rsid w:val="00766BA4"/>
    <w:rsid w:val="00770AD1"/>
    <w:rsid w:val="00770F8F"/>
    <w:rsid w:val="00771820"/>
    <w:rsid w:val="007730FF"/>
    <w:rsid w:val="00773839"/>
    <w:rsid w:val="0077448A"/>
    <w:rsid w:val="007755DE"/>
    <w:rsid w:val="007778F0"/>
    <w:rsid w:val="0078133A"/>
    <w:rsid w:val="00783479"/>
    <w:rsid w:val="0078460E"/>
    <w:rsid w:val="0078602E"/>
    <w:rsid w:val="00790D49"/>
    <w:rsid w:val="007915CC"/>
    <w:rsid w:val="00791F1F"/>
    <w:rsid w:val="007940AC"/>
    <w:rsid w:val="00794944"/>
    <w:rsid w:val="00795004"/>
    <w:rsid w:val="00796869"/>
    <w:rsid w:val="00797C77"/>
    <w:rsid w:val="007A005E"/>
    <w:rsid w:val="007A0BB5"/>
    <w:rsid w:val="007A4E48"/>
    <w:rsid w:val="007A569D"/>
    <w:rsid w:val="007A5B2A"/>
    <w:rsid w:val="007A5E8C"/>
    <w:rsid w:val="007A69B9"/>
    <w:rsid w:val="007B03FC"/>
    <w:rsid w:val="007B0453"/>
    <w:rsid w:val="007B4494"/>
    <w:rsid w:val="007B556F"/>
    <w:rsid w:val="007B6722"/>
    <w:rsid w:val="007B718C"/>
    <w:rsid w:val="007C08C4"/>
    <w:rsid w:val="007C0B36"/>
    <w:rsid w:val="007C1105"/>
    <w:rsid w:val="007C35BB"/>
    <w:rsid w:val="007C4EE5"/>
    <w:rsid w:val="007C61E8"/>
    <w:rsid w:val="007C6709"/>
    <w:rsid w:val="007C6A0F"/>
    <w:rsid w:val="007C6E66"/>
    <w:rsid w:val="007C78E2"/>
    <w:rsid w:val="007D0D1A"/>
    <w:rsid w:val="007D0F73"/>
    <w:rsid w:val="007D2029"/>
    <w:rsid w:val="007D22A9"/>
    <w:rsid w:val="007D2510"/>
    <w:rsid w:val="007D299B"/>
    <w:rsid w:val="007D39CD"/>
    <w:rsid w:val="007D67D4"/>
    <w:rsid w:val="007E2014"/>
    <w:rsid w:val="007E56A8"/>
    <w:rsid w:val="007F0A59"/>
    <w:rsid w:val="007F2C7C"/>
    <w:rsid w:val="007F3736"/>
    <w:rsid w:val="007F43E0"/>
    <w:rsid w:val="00800440"/>
    <w:rsid w:val="00802111"/>
    <w:rsid w:val="0080357E"/>
    <w:rsid w:val="00804103"/>
    <w:rsid w:val="008058A0"/>
    <w:rsid w:val="0080642F"/>
    <w:rsid w:val="008070BC"/>
    <w:rsid w:val="00813531"/>
    <w:rsid w:val="00814299"/>
    <w:rsid w:val="008149B2"/>
    <w:rsid w:val="00814D21"/>
    <w:rsid w:val="00815A95"/>
    <w:rsid w:val="00816EF9"/>
    <w:rsid w:val="00822589"/>
    <w:rsid w:val="00826950"/>
    <w:rsid w:val="0083052C"/>
    <w:rsid w:val="00832D65"/>
    <w:rsid w:val="00836D4D"/>
    <w:rsid w:val="00837A2C"/>
    <w:rsid w:val="00837B3B"/>
    <w:rsid w:val="0084208F"/>
    <w:rsid w:val="00842B5D"/>
    <w:rsid w:val="0084479D"/>
    <w:rsid w:val="00851798"/>
    <w:rsid w:val="00851BC4"/>
    <w:rsid w:val="008523C1"/>
    <w:rsid w:val="00853239"/>
    <w:rsid w:val="008556AF"/>
    <w:rsid w:val="00855BA6"/>
    <w:rsid w:val="00855FE4"/>
    <w:rsid w:val="00860309"/>
    <w:rsid w:val="008624B8"/>
    <w:rsid w:val="00863E79"/>
    <w:rsid w:val="0086483A"/>
    <w:rsid w:val="008665FA"/>
    <w:rsid w:val="008668F2"/>
    <w:rsid w:val="0087055C"/>
    <w:rsid w:val="008719CE"/>
    <w:rsid w:val="00872084"/>
    <w:rsid w:val="00872F4E"/>
    <w:rsid w:val="00875389"/>
    <w:rsid w:val="008753BE"/>
    <w:rsid w:val="008807F5"/>
    <w:rsid w:val="00880CAF"/>
    <w:rsid w:val="00880DA6"/>
    <w:rsid w:val="0088412A"/>
    <w:rsid w:val="0088486C"/>
    <w:rsid w:val="00884BFC"/>
    <w:rsid w:val="00884CD9"/>
    <w:rsid w:val="00885C6B"/>
    <w:rsid w:val="00886668"/>
    <w:rsid w:val="00886C04"/>
    <w:rsid w:val="00886D1B"/>
    <w:rsid w:val="00886E15"/>
    <w:rsid w:val="00887236"/>
    <w:rsid w:val="00887FB0"/>
    <w:rsid w:val="0089074E"/>
    <w:rsid w:val="0089156F"/>
    <w:rsid w:val="00893161"/>
    <w:rsid w:val="008943A7"/>
    <w:rsid w:val="00894520"/>
    <w:rsid w:val="00894536"/>
    <w:rsid w:val="00895269"/>
    <w:rsid w:val="00895D3B"/>
    <w:rsid w:val="008974CB"/>
    <w:rsid w:val="00897A9C"/>
    <w:rsid w:val="008A008A"/>
    <w:rsid w:val="008A228B"/>
    <w:rsid w:val="008A23D1"/>
    <w:rsid w:val="008A29D8"/>
    <w:rsid w:val="008A2AEC"/>
    <w:rsid w:val="008A3753"/>
    <w:rsid w:val="008A449F"/>
    <w:rsid w:val="008A7025"/>
    <w:rsid w:val="008A754A"/>
    <w:rsid w:val="008B0245"/>
    <w:rsid w:val="008B0532"/>
    <w:rsid w:val="008B1516"/>
    <w:rsid w:val="008B3494"/>
    <w:rsid w:val="008B35D4"/>
    <w:rsid w:val="008B3A6C"/>
    <w:rsid w:val="008B570D"/>
    <w:rsid w:val="008B76FC"/>
    <w:rsid w:val="008C0F50"/>
    <w:rsid w:val="008C1389"/>
    <w:rsid w:val="008C1F9B"/>
    <w:rsid w:val="008C391C"/>
    <w:rsid w:val="008C6E55"/>
    <w:rsid w:val="008C7956"/>
    <w:rsid w:val="008D0E5D"/>
    <w:rsid w:val="008D0E5F"/>
    <w:rsid w:val="008D427B"/>
    <w:rsid w:val="008D7092"/>
    <w:rsid w:val="008D74C1"/>
    <w:rsid w:val="008E0505"/>
    <w:rsid w:val="008E05B1"/>
    <w:rsid w:val="008E231C"/>
    <w:rsid w:val="008E23FC"/>
    <w:rsid w:val="008E723C"/>
    <w:rsid w:val="008F1E1B"/>
    <w:rsid w:val="008F2D19"/>
    <w:rsid w:val="008F4D0E"/>
    <w:rsid w:val="008F54F5"/>
    <w:rsid w:val="008F7AE3"/>
    <w:rsid w:val="0090084D"/>
    <w:rsid w:val="009013DC"/>
    <w:rsid w:val="00901B96"/>
    <w:rsid w:val="00902B0D"/>
    <w:rsid w:val="0090629F"/>
    <w:rsid w:val="0090686F"/>
    <w:rsid w:val="009069C5"/>
    <w:rsid w:val="00907B05"/>
    <w:rsid w:val="00912AED"/>
    <w:rsid w:val="0091460F"/>
    <w:rsid w:val="00914DDE"/>
    <w:rsid w:val="0091752D"/>
    <w:rsid w:val="00917D04"/>
    <w:rsid w:val="009206B8"/>
    <w:rsid w:val="00920C3B"/>
    <w:rsid w:val="00920CF7"/>
    <w:rsid w:val="00921902"/>
    <w:rsid w:val="00925223"/>
    <w:rsid w:val="00930866"/>
    <w:rsid w:val="00930B41"/>
    <w:rsid w:val="00930C05"/>
    <w:rsid w:val="009322A9"/>
    <w:rsid w:val="009328F3"/>
    <w:rsid w:val="00932E20"/>
    <w:rsid w:val="00932FDA"/>
    <w:rsid w:val="00933C18"/>
    <w:rsid w:val="00935A0D"/>
    <w:rsid w:val="00937853"/>
    <w:rsid w:val="00944032"/>
    <w:rsid w:val="0094611E"/>
    <w:rsid w:val="009473D6"/>
    <w:rsid w:val="00947428"/>
    <w:rsid w:val="00950CC2"/>
    <w:rsid w:val="00952F31"/>
    <w:rsid w:val="009530F2"/>
    <w:rsid w:val="0095352B"/>
    <w:rsid w:val="00953973"/>
    <w:rsid w:val="00954E36"/>
    <w:rsid w:val="00955E72"/>
    <w:rsid w:val="00956F43"/>
    <w:rsid w:val="00960E77"/>
    <w:rsid w:val="00961550"/>
    <w:rsid w:val="00961591"/>
    <w:rsid w:val="00963076"/>
    <w:rsid w:val="009636C9"/>
    <w:rsid w:val="009636F9"/>
    <w:rsid w:val="00965250"/>
    <w:rsid w:val="009659E8"/>
    <w:rsid w:val="009722B0"/>
    <w:rsid w:val="009741EC"/>
    <w:rsid w:val="0097583F"/>
    <w:rsid w:val="00975B1A"/>
    <w:rsid w:val="00980505"/>
    <w:rsid w:val="00980AD6"/>
    <w:rsid w:val="009823E2"/>
    <w:rsid w:val="00983000"/>
    <w:rsid w:val="00983B18"/>
    <w:rsid w:val="00983EBE"/>
    <w:rsid w:val="00986333"/>
    <w:rsid w:val="00986530"/>
    <w:rsid w:val="00986679"/>
    <w:rsid w:val="00987296"/>
    <w:rsid w:val="00987996"/>
    <w:rsid w:val="00990780"/>
    <w:rsid w:val="00991226"/>
    <w:rsid w:val="0099444F"/>
    <w:rsid w:val="009965C3"/>
    <w:rsid w:val="00996E38"/>
    <w:rsid w:val="009970D3"/>
    <w:rsid w:val="00997E64"/>
    <w:rsid w:val="009A084F"/>
    <w:rsid w:val="009A095A"/>
    <w:rsid w:val="009A0CC4"/>
    <w:rsid w:val="009A29CF"/>
    <w:rsid w:val="009A2F34"/>
    <w:rsid w:val="009A2FD5"/>
    <w:rsid w:val="009A31FF"/>
    <w:rsid w:val="009A3B4A"/>
    <w:rsid w:val="009A4C34"/>
    <w:rsid w:val="009A4EAF"/>
    <w:rsid w:val="009A5555"/>
    <w:rsid w:val="009A6623"/>
    <w:rsid w:val="009B035D"/>
    <w:rsid w:val="009B1368"/>
    <w:rsid w:val="009B1CBD"/>
    <w:rsid w:val="009B3A82"/>
    <w:rsid w:val="009B43A5"/>
    <w:rsid w:val="009B6E7B"/>
    <w:rsid w:val="009B7AEE"/>
    <w:rsid w:val="009C392D"/>
    <w:rsid w:val="009C4A82"/>
    <w:rsid w:val="009C5D33"/>
    <w:rsid w:val="009C7484"/>
    <w:rsid w:val="009D085E"/>
    <w:rsid w:val="009D1085"/>
    <w:rsid w:val="009D1901"/>
    <w:rsid w:val="009D3222"/>
    <w:rsid w:val="009D344A"/>
    <w:rsid w:val="009D3EE4"/>
    <w:rsid w:val="009E0F06"/>
    <w:rsid w:val="009E1526"/>
    <w:rsid w:val="009E4E27"/>
    <w:rsid w:val="009E5B1F"/>
    <w:rsid w:val="009E5FF0"/>
    <w:rsid w:val="009E6078"/>
    <w:rsid w:val="009E75FB"/>
    <w:rsid w:val="009F28B9"/>
    <w:rsid w:val="009F37DF"/>
    <w:rsid w:val="009F4DD8"/>
    <w:rsid w:val="009F5ACE"/>
    <w:rsid w:val="009F604D"/>
    <w:rsid w:val="009F7096"/>
    <w:rsid w:val="009F75B7"/>
    <w:rsid w:val="009F7DDD"/>
    <w:rsid w:val="00A013F1"/>
    <w:rsid w:val="00A01DB4"/>
    <w:rsid w:val="00A04C4B"/>
    <w:rsid w:val="00A06E7A"/>
    <w:rsid w:val="00A06F71"/>
    <w:rsid w:val="00A072F0"/>
    <w:rsid w:val="00A10346"/>
    <w:rsid w:val="00A10CAB"/>
    <w:rsid w:val="00A10ED5"/>
    <w:rsid w:val="00A119F4"/>
    <w:rsid w:val="00A135AF"/>
    <w:rsid w:val="00A14C68"/>
    <w:rsid w:val="00A2084F"/>
    <w:rsid w:val="00A20B91"/>
    <w:rsid w:val="00A20D0B"/>
    <w:rsid w:val="00A21BC8"/>
    <w:rsid w:val="00A21E4F"/>
    <w:rsid w:val="00A23468"/>
    <w:rsid w:val="00A26F6B"/>
    <w:rsid w:val="00A2709B"/>
    <w:rsid w:val="00A30470"/>
    <w:rsid w:val="00A31C71"/>
    <w:rsid w:val="00A3353D"/>
    <w:rsid w:val="00A3414C"/>
    <w:rsid w:val="00A35ADA"/>
    <w:rsid w:val="00A36AC2"/>
    <w:rsid w:val="00A375DF"/>
    <w:rsid w:val="00A41C87"/>
    <w:rsid w:val="00A4200B"/>
    <w:rsid w:val="00A42EBE"/>
    <w:rsid w:val="00A45679"/>
    <w:rsid w:val="00A46814"/>
    <w:rsid w:val="00A46FF6"/>
    <w:rsid w:val="00A47773"/>
    <w:rsid w:val="00A5157B"/>
    <w:rsid w:val="00A51F1A"/>
    <w:rsid w:val="00A53FC7"/>
    <w:rsid w:val="00A54281"/>
    <w:rsid w:val="00A55676"/>
    <w:rsid w:val="00A56182"/>
    <w:rsid w:val="00A5695E"/>
    <w:rsid w:val="00A57571"/>
    <w:rsid w:val="00A6728C"/>
    <w:rsid w:val="00A70812"/>
    <w:rsid w:val="00A70AD1"/>
    <w:rsid w:val="00A71175"/>
    <w:rsid w:val="00A74835"/>
    <w:rsid w:val="00A75A05"/>
    <w:rsid w:val="00A76F72"/>
    <w:rsid w:val="00A80A68"/>
    <w:rsid w:val="00A81131"/>
    <w:rsid w:val="00A8130C"/>
    <w:rsid w:val="00A81895"/>
    <w:rsid w:val="00A82292"/>
    <w:rsid w:val="00A82D7D"/>
    <w:rsid w:val="00A83099"/>
    <w:rsid w:val="00A83454"/>
    <w:rsid w:val="00A85E22"/>
    <w:rsid w:val="00A8741B"/>
    <w:rsid w:val="00A87B50"/>
    <w:rsid w:val="00A91BB5"/>
    <w:rsid w:val="00A9408D"/>
    <w:rsid w:val="00A94118"/>
    <w:rsid w:val="00A941BD"/>
    <w:rsid w:val="00A94BE8"/>
    <w:rsid w:val="00A950B4"/>
    <w:rsid w:val="00A9602D"/>
    <w:rsid w:val="00A96628"/>
    <w:rsid w:val="00A96D78"/>
    <w:rsid w:val="00AA4446"/>
    <w:rsid w:val="00AA6855"/>
    <w:rsid w:val="00AA747C"/>
    <w:rsid w:val="00AA7664"/>
    <w:rsid w:val="00AB4459"/>
    <w:rsid w:val="00AB4774"/>
    <w:rsid w:val="00AB48D1"/>
    <w:rsid w:val="00AB5D6A"/>
    <w:rsid w:val="00AB6166"/>
    <w:rsid w:val="00AB6785"/>
    <w:rsid w:val="00AB68CC"/>
    <w:rsid w:val="00AC0BEE"/>
    <w:rsid w:val="00AC0F82"/>
    <w:rsid w:val="00AC2C48"/>
    <w:rsid w:val="00AC3228"/>
    <w:rsid w:val="00AC36AC"/>
    <w:rsid w:val="00AC3B61"/>
    <w:rsid w:val="00AC5297"/>
    <w:rsid w:val="00AC5775"/>
    <w:rsid w:val="00AC57B8"/>
    <w:rsid w:val="00AC6D8F"/>
    <w:rsid w:val="00AC7FC9"/>
    <w:rsid w:val="00AD0270"/>
    <w:rsid w:val="00AD0BEA"/>
    <w:rsid w:val="00AD1848"/>
    <w:rsid w:val="00AD33D8"/>
    <w:rsid w:val="00AD4B4C"/>
    <w:rsid w:val="00AD5432"/>
    <w:rsid w:val="00AD5F78"/>
    <w:rsid w:val="00AD64A1"/>
    <w:rsid w:val="00AD64EC"/>
    <w:rsid w:val="00AD7271"/>
    <w:rsid w:val="00AE06D4"/>
    <w:rsid w:val="00AE2EA6"/>
    <w:rsid w:val="00AE35F5"/>
    <w:rsid w:val="00AE3A1D"/>
    <w:rsid w:val="00AE624F"/>
    <w:rsid w:val="00AE78D6"/>
    <w:rsid w:val="00AF0D58"/>
    <w:rsid w:val="00AF3932"/>
    <w:rsid w:val="00AF39C8"/>
    <w:rsid w:val="00AF44A5"/>
    <w:rsid w:val="00AF49E6"/>
    <w:rsid w:val="00AF6400"/>
    <w:rsid w:val="00B0010A"/>
    <w:rsid w:val="00B00C1E"/>
    <w:rsid w:val="00B02BEA"/>
    <w:rsid w:val="00B06498"/>
    <w:rsid w:val="00B102E4"/>
    <w:rsid w:val="00B10A8B"/>
    <w:rsid w:val="00B10D9B"/>
    <w:rsid w:val="00B114CE"/>
    <w:rsid w:val="00B1226C"/>
    <w:rsid w:val="00B129ED"/>
    <w:rsid w:val="00B13523"/>
    <w:rsid w:val="00B1458A"/>
    <w:rsid w:val="00B164FE"/>
    <w:rsid w:val="00B16C57"/>
    <w:rsid w:val="00B17A10"/>
    <w:rsid w:val="00B202C7"/>
    <w:rsid w:val="00B21194"/>
    <w:rsid w:val="00B213B2"/>
    <w:rsid w:val="00B22954"/>
    <w:rsid w:val="00B23098"/>
    <w:rsid w:val="00B31037"/>
    <w:rsid w:val="00B31AD1"/>
    <w:rsid w:val="00B31ECC"/>
    <w:rsid w:val="00B32927"/>
    <w:rsid w:val="00B33568"/>
    <w:rsid w:val="00B338DD"/>
    <w:rsid w:val="00B33B98"/>
    <w:rsid w:val="00B34109"/>
    <w:rsid w:val="00B3674A"/>
    <w:rsid w:val="00B36F9F"/>
    <w:rsid w:val="00B42B91"/>
    <w:rsid w:val="00B457BB"/>
    <w:rsid w:val="00B458A7"/>
    <w:rsid w:val="00B47D39"/>
    <w:rsid w:val="00B501F8"/>
    <w:rsid w:val="00B503A1"/>
    <w:rsid w:val="00B50A95"/>
    <w:rsid w:val="00B50B3D"/>
    <w:rsid w:val="00B50E43"/>
    <w:rsid w:val="00B5167B"/>
    <w:rsid w:val="00B529DC"/>
    <w:rsid w:val="00B5387D"/>
    <w:rsid w:val="00B542CE"/>
    <w:rsid w:val="00B54852"/>
    <w:rsid w:val="00B54C09"/>
    <w:rsid w:val="00B55649"/>
    <w:rsid w:val="00B60E7F"/>
    <w:rsid w:val="00B610C9"/>
    <w:rsid w:val="00B622B4"/>
    <w:rsid w:val="00B623A3"/>
    <w:rsid w:val="00B64833"/>
    <w:rsid w:val="00B6484C"/>
    <w:rsid w:val="00B65522"/>
    <w:rsid w:val="00B70156"/>
    <w:rsid w:val="00B704F5"/>
    <w:rsid w:val="00B71EB4"/>
    <w:rsid w:val="00B73326"/>
    <w:rsid w:val="00B7361B"/>
    <w:rsid w:val="00B74303"/>
    <w:rsid w:val="00B7753E"/>
    <w:rsid w:val="00B8374B"/>
    <w:rsid w:val="00B85BBD"/>
    <w:rsid w:val="00B87A22"/>
    <w:rsid w:val="00B906A7"/>
    <w:rsid w:val="00B9089E"/>
    <w:rsid w:val="00B90C56"/>
    <w:rsid w:val="00B929F2"/>
    <w:rsid w:val="00B92D9B"/>
    <w:rsid w:val="00B9673A"/>
    <w:rsid w:val="00B96FCB"/>
    <w:rsid w:val="00BA006E"/>
    <w:rsid w:val="00BA0171"/>
    <w:rsid w:val="00BA053D"/>
    <w:rsid w:val="00BA0C9F"/>
    <w:rsid w:val="00BA0F50"/>
    <w:rsid w:val="00BA1243"/>
    <w:rsid w:val="00BA1514"/>
    <w:rsid w:val="00BA1F44"/>
    <w:rsid w:val="00BA2608"/>
    <w:rsid w:val="00BA2C19"/>
    <w:rsid w:val="00BA493E"/>
    <w:rsid w:val="00BA690C"/>
    <w:rsid w:val="00BA6D45"/>
    <w:rsid w:val="00BB1D95"/>
    <w:rsid w:val="00BB314F"/>
    <w:rsid w:val="00BB3A3B"/>
    <w:rsid w:val="00BB40FD"/>
    <w:rsid w:val="00BB7DBC"/>
    <w:rsid w:val="00BC1610"/>
    <w:rsid w:val="00BC17E5"/>
    <w:rsid w:val="00BC189B"/>
    <w:rsid w:val="00BC35E8"/>
    <w:rsid w:val="00BC60B8"/>
    <w:rsid w:val="00BD11F6"/>
    <w:rsid w:val="00BD2A97"/>
    <w:rsid w:val="00BD4CB1"/>
    <w:rsid w:val="00BD5207"/>
    <w:rsid w:val="00BD5946"/>
    <w:rsid w:val="00BD6F10"/>
    <w:rsid w:val="00BE331C"/>
    <w:rsid w:val="00BE5BA6"/>
    <w:rsid w:val="00BF056F"/>
    <w:rsid w:val="00BF0E14"/>
    <w:rsid w:val="00BF1ACC"/>
    <w:rsid w:val="00BF302B"/>
    <w:rsid w:val="00BF48CC"/>
    <w:rsid w:val="00BF4BF2"/>
    <w:rsid w:val="00BF6C8B"/>
    <w:rsid w:val="00C0098D"/>
    <w:rsid w:val="00C01141"/>
    <w:rsid w:val="00C02BEF"/>
    <w:rsid w:val="00C02E93"/>
    <w:rsid w:val="00C05482"/>
    <w:rsid w:val="00C059A5"/>
    <w:rsid w:val="00C0716A"/>
    <w:rsid w:val="00C11D26"/>
    <w:rsid w:val="00C1243A"/>
    <w:rsid w:val="00C21CED"/>
    <w:rsid w:val="00C221FD"/>
    <w:rsid w:val="00C22DC7"/>
    <w:rsid w:val="00C232DE"/>
    <w:rsid w:val="00C23CBF"/>
    <w:rsid w:val="00C24A80"/>
    <w:rsid w:val="00C25353"/>
    <w:rsid w:val="00C26D71"/>
    <w:rsid w:val="00C27B7D"/>
    <w:rsid w:val="00C311DE"/>
    <w:rsid w:val="00C349C5"/>
    <w:rsid w:val="00C37EF4"/>
    <w:rsid w:val="00C4115E"/>
    <w:rsid w:val="00C41758"/>
    <w:rsid w:val="00C41C83"/>
    <w:rsid w:val="00C444C0"/>
    <w:rsid w:val="00C4785E"/>
    <w:rsid w:val="00C5173B"/>
    <w:rsid w:val="00C51873"/>
    <w:rsid w:val="00C52C37"/>
    <w:rsid w:val="00C5369A"/>
    <w:rsid w:val="00C5376B"/>
    <w:rsid w:val="00C53CD6"/>
    <w:rsid w:val="00C552F2"/>
    <w:rsid w:val="00C605D7"/>
    <w:rsid w:val="00C60875"/>
    <w:rsid w:val="00C615C0"/>
    <w:rsid w:val="00C61D6A"/>
    <w:rsid w:val="00C6278A"/>
    <w:rsid w:val="00C64F39"/>
    <w:rsid w:val="00C662AE"/>
    <w:rsid w:val="00C707CC"/>
    <w:rsid w:val="00C759B1"/>
    <w:rsid w:val="00C75E3F"/>
    <w:rsid w:val="00C76078"/>
    <w:rsid w:val="00C764D2"/>
    <w:rsid w:val="00C77A42"/>
    <w:rsid w:val="00C77FA0"/>
    <w:rsid w:val="00C8253D"/>
    <w:rsid w:val="00C8258F"/>
    <w:rsid w:val="00C82AEE"/>
    <w:rsid w:val="00C82C53"/>
    <w:rsid w:val="00C83AB4"/>
    <w:rsid w:val="00C83C7E"/>
    <w:rsid w:val="00C85812"/>
    <w:rsid w:val="00C85C7B"/>
    <w:rsid w:val="00C8657F"/>
    <w:rsid w:val="00C86E01"/>
    <w:rsid w:val="00C901E9"/>
    <w:rsid w:val="00C9175D"/>
    <w:rsid w:val="00C91A5A"/>
    <w:rsid w:val="00C92DCB"/>
    <w:rsid w:val="00C93229"/>
    <w:rsid w:val="00C936EE"/>
    <w:rsid w:val="00C9537E"/>
    <w:rsid w:val="00C95B4A"/>
    <w:rsid w:val="00C95B5D"/>
    <w:rsid w:val="00CA2AE8"/>
    <w:rsid w:val="00CA2B4C"/>
    <w:rsid w:val="00CA2CE5"/>
    <w:rsid w:val="00CA3182"/>
    <w:rsid w:val="00CA460F"/>
    <w:rsid w:val="00CA5554"/>
    <w:rsid w:val="00CB01E1"/>
    <w:rsid w:val="00CB078E"/>
    <w:rsid w:val="00CB0D3C"/>
    <w:rsid w:val="00CB2142"/>
    <w:rsid w:val="00CB2F86"/>
    <w:rsid w:val="00CB5190"/>
    <w:rsid w:val="00CB70AA"/>
    <w:rsid w:val="00CB7190"/>
    <w:rsid w:val="00CC04E7"/>
    <w:rsid w:val="00CC1A20"/>
    <w:rsid w:val="00CC371F"/>
    <w:rsid w:val="00CC3DB4"/>
    <w:rsid w:val="00CC49BE"/>
    <w:rsid w:val="00CC527F"/>
    <w:rsid w:val="00CC57F7"/>
    <w:rsid w:val="00CC6F06"/>
    <w:rsid w:val="00CD133B"/>
    <w:rsid w:val="00CD2CB0"/>
    <w:rsid w:val="00CD5553"/>
    <w:rsid w:val="00CD7E62"/>
    <w:rsid w:val="00CE094B"/>
    <w:rsid w:val="00CE0BF5"/>
    <w:rsid w:val="00CE0E15"/>
    <w:rsid w:val="00CE1212"/>
    <w:rsid w:val="00CE2B90"/>
    <w:rsid w:val="00CE3786"/>
    <w:rsid w:val="00CE3D75"/>
    <w:rsid w:val="00CE476E"/>
    <w:rsid w:val="00CE6101"/>
    <w:rsid w:val="00CE6941"/>
    <w:rsid w:val="00CF058B"/>
    <w:rsid w:val="00CF0904"/>
    <w:rsid w:val="00CF23A1"/>
    <w:rsid w:val="00D00AA9"/>
    <w:rsid w:val="00D05F50"/>
    <w:rsid w:val="00D06873"/>
    <w:rsid w:val="00D07249"/>
    <w:rsid w:val="00D121BC"/>
    <w:rsid w:val="00D1465C"/>
    <w:rsid w:val="00D15BBE"/>
    <w:rsid w:val="00D15F13"/>
    <w:rsid w:val="00D16059"/>
    <w:rsid w:val="00D17A1A"/>
    <w:rsid w:val="00D22A5C"/>
    <w:rsid w:val="00D2391B"/>
    <w:rsid w:val="00D23BAC"/>
    <w:rsid w:val="00D247D0"/>
    <w:rsid w:val="00D25842"/>
    <w:rsid w:val="00D2641E"/>
    <w:rsid w:val="00D26DE8"/>
    <w:rsid w:val="00D27F1D"/>
    <w:rsid w:val="00D30AF2"/>
    <w:rsid w:val="00D31688"/>
    <w:rsid w:val="00D31B41"/>
    <w:rsid w:val="00D31CE5"/>
    <w:rsid w:val="00D32127"/>
    <w:rsid w:val="00D32A45"/>
    <w:rsid w:val="00D35956"/>
    <w:rsid w:val="00D364B8"/>
    <w:rsid w:val="00D3698A"/>
    <w:rsid w:val="00D40EEB"/>
    <w:rsid w:val="00D4125E"/>
    <w:rsid w:val="00D414CC"/>
    <w:rsid w:val="00D424DA"/>
    <w:rsid w:val="00D42876"/>
    <w:rsid w:val="00D4303D"/>
    <w:rsid w:val="00D43924"/>
    <w:rsid w:val="00D43C01"/>
    <w:rsid w:val="00D448C6"/>
    <w:rsid w:val="00D45452"/>
    <w:rsid w:val="00D46228"/>
    <w:rsid w:val="00D47BB0"/>
    <w:rsid w:val="00D501BC"/>
    <w:rsid w:val="00D50FBD"/>
    <w:rsid w:val="00D526F8"/>
    <w:rsid w:val="00D550B8"/>
    <w:rsid w:val="00D554DA"/>
    <w:rsid w:val="00D55987"/>
    <w:rsid w:val="00D55E78"/>
    <w:rsid w:val="00D610FC"/>
    <w:rsid w:val="00D620A9"/>
    <w:rsid w:val="00D654F9"/>
    <w:rsid w:val="00D65A22"/>
    <w:rsid w:val="00D66D2B"/>
    <w:rsid w:val="00D73069"/>
    <w:rsid w:val="00D7379B"/>
    <w:rsid w:val="00D73BA1"/>
    <w:rsid w:val="00D73FA2"/>
    <w:rsid w:val="00D74CED"/>
    <w:rsid w:val="00D74E71"/>
    <w:rsid w:val="00D74EF5"/>
    <w:rsid w:val="00D756A8"/>
    <w:rsid w:val="00D761B9"/>
    <w:rsid w:val="00D76907"/>
    <w:rsid w:val="00D76CA1"/>
    <w:rsid w:val="00D77E5C"/>
    <w:rsid w:val="00D80498"/>
    <w:rsid w:val="00D80B57"/>
    <w:rsid w:val="00D8436E"/>
    <w:rsid w:val="00D84B85"/>
    <w:rsid w:val="00D867BC"/>
    <w:rsid w:val="00D86FBA"/>
    <w:rsid w:val="00D87782"/>
    <w:rsid w:val="00D87F8F"/>
    <w:rsid w:val="00D90FCF"/>
    <w:rsid w:val="00D9291E"/>
    <w:rsid w:val="00D945C8"/>
    <w:rsid w:val="00D95F05"/>
    <w:rsid w:val="00DA0BA3"/>
    <w:rsid w:val="00DA262F"/>
    <w:rsid w:val="00DA2C5C"/>
    <w:rsid w:val="00DA2D5B"/>
    <w:rsid w:val="00DA333D"/>
    <w:rsid w:val="00DA3AC5"/>
    <w:rsid w:val="00DA4FF8"/>
    <w:rsid w:val="00DA50A4"/>
    <w:rsid w:val="00DA5375"/>
    <w:rsid w:val="00DB0FDE"/>
    <w:rsid w:val="00DB32EF"/>
    <w:rsid w:val="00DB3F9F"/>
    <w:rsid w:val="00DB61DC"/>
    <w:rsid w:val="00DB623F"/>
    <w:rsid w:val="00DC1C93"/>
    <w:rsid w:val="00DC2C14"/>
    <w:rsid w:val="00DC3146"/>
    <w:rsid w:val="00DD097D"/>
    <w:rsid w:val="00DD1A7A"/>
    <w:rsid w:val="00DD2873"/>
    <w:rsid w:val="00DD53F9"/>
    <w:rsid w:val="00DD76D3"/>
    <w:rsid w:val="00DE0C5F"/>
    <w:rsid w:val="00DE100A"/>
    <w:rsid w:val="00DE3C70"/>
    <w:rsid w:val="00DE497B"/>
    <w:rsid w:val="00DE5346"/>
    <w:rsid w:val="00DE551F"/>
    <w:rsid w:val="00DE5793"/>
    <w:rsid w:val="00DE7A3D"/>
    <w:rsid w:val="00DF0CCE"/>
    <w:rsid w:val="00DF315C"/>
    <w:rsid w:val="00DF3E1D"/>
    <w:rsid w:val="00DF3FE3"/>
    <w:rsid w:val="00DF551B"/>
    <w:rsid w:val="00DF60F4"/>
    <w:rsid w:val="00DF6AEA"/>
    <w:rsid w:val="00DF6EDB"/>
    <w:rsid w:val="00DF7CC2"/>
    <w:rsid w:val="00E0097B"/>
    <w:rsid w:val="00E00DE4"/>
    <w:rsid w:val="00E0265E"/>
    <w:rsid w:val="00E02F76"/>
    <w:rsid w:val="00E054A7"/>
    <w:rsid w:val="00E11341"/>
    <w:rsid w:val="00E123A6"/>
    <w:rsid w:val="00E148DA"/>
    <w:rsid w:val="00E14B38"/>
    <w:rsid w:val="00E21828"/>
    <w:rsid w:val="00E22E50"/>
    <w:rsid w:val="00E23035"/>
    <w:rsid w:val="00E248BC"/>
    <w:rsid w:val="00E2552C"/>
    <w:rsid w:val="00E31B3E"/>
    <w:rsid w:val="00E3317C"/>
    <w:rsid w:val="00E33216"/>
    <w:rsid w:val="00E3491A"/>
    <w:rsid w:val="00E369D9"/>
    <w:rsid w:val="00E37732"/>
    <w:rsid w:val="00E404FC"/>
    <w:rsid w:val="00E4244F"/>
    <w:rsid w:val="00E42C8A"/>
    <w:rsid w:val="00E4305D"/>
    <w:rsid w:val="00E47B7C"/>
    <w:rsid w:val="00E500AD"/>
    <w:rsid w:val="00E54065"/>
    <w:rsid w:val="00E55227"/>
    <w:rsid w:val="00E55DD0"/>
    <w:rsid w:val="00E56F36"/>
    <w:rsid w:val="00E57F22"/>
    <w:rsid w:val="00E617E1"/>
    <w:rsid w:val="00E6299E"/>
    <w:rsid w:val="00E62A60"/>
    <w:rsid w:val="00E62D50"/>
    <w:rsid w:val="00E655B4"/>
    <w:rsid w:val="00E659AB"/>
    <w:rsid w:val="00E65CAD"/>
    <w:rsid w:val="00E65F1D"/>
    <w:rsid w:val="00E6621F"/>
    <w:rsid w:val="00E665F7"/>
    <w:rsid w:val="00E70171"/>
    <w:rsid w:val="00E702AC"/>
    <w:rsid w:val="00E70899"/>
    <w:rsid w:val="00E70AB3"/>
    <w:rsid w:val="00E70E95"/>
    <w:rsid w:val="00E719C9"/>
    <w:rsid w:val="00E71D01"/>
    <w:rsid w:val="00E72B44"/>
    <w:rsid w:val="00E750B3"/>
    <w:rsid w:val="00E77569"/>
    <w:rsid w:val="00E810B7"/>
    <w:rsid w:val="00E84BCD"/>
    <w:rsid w:val="00E85188"/>
    <w:rsid w:val="00E86EB4"/>
    <w:rsid w:val="00E86FFF"/>
    <w:rsid w:val="00E87A34"/>
    <w:rsid w:val="00E935EC"/>
    <w:rsid w:val="00E94A46"/>
    <w:rsid w:val="00EA15A0"/>
    <w:rsid w:val="00EA2609"/>
    <w:rsid w:val="00EA7B19"/>
    <w:rsid w:val="00EA7DB4"/>
    <w:rsid w:val="00EB04DF"/>
    <w:rsid w:val="00EB1985"/>
    <w:rsid w:val="00EB2495"/>
    <w:rsid w:val="00EB340A"/>
    <w:rsid w:val="00EB3F6A"/>
    <w:rsid w:val="00EB594B"/>
    <w:rsid w:val="00EB7EBD"/>
    <w:rsid w:val="00EC02EE"/>
    <w:rsid w:val="00EC1A97"/>
    <w:rsid w:val="00EC231E"/>
    <w:rsid w:val="00EC276F"/>
    <w:rsid w:val="00EC5113"/>
    <w:rsid w:val="00EC6498"/>
    <w:rsid w:val="00ED12D8"/>
    <w:rsid w:val="00ED3BAD"/>
    <w:rsid w:val="00ED45FE"/>
    <w:rsid w:val="00ED5BED"/>
    <w:rsid w:val="00ED5C35"/>
    <w:rsid w:val="00ED6BEE"/>
    <w:rsid w:val="00ED7896"/>
    <w:rsid w:val="00EE0506"/>
    <w:rsid w:val="00EE0C8B"/>
    <w:rsid w:val="00EE43B8"/>
    <w:rsid w:val="00EE7862"/>
    <w:rsid w:val="00EF1B4C"/>
    <w:rsid w:val="00EF320A"/>
    <w:rsid w:val="00EF5C0A"/>
    <w:rsid w:val="00EF60A7"/>
    <w:rsid w:val="00EF655E"/>
    <w:rsid w:val="00EF6EF0"/>
    <w:rsid w:val="00EF7192"/>
    <w:rsid w:val="00EF780E"/>
    <w:rsid w:val="00F02B8A"/>
    <w:rsid w:val="00F033F4"/>
    <w:rsid w:val="00F03846"/>
    <w:rsid w:val="00F044A9"/>
    <w:rsid w:val="00F05A9D"/>
    <w:rsid w:val="00F06EAA"/>
    <w:rsid w:val="00F07836"/>
    <w:rsid w:val="00F118EF"/>
    <w:rsid w:val="00F13C88"/>
    <w:rsid w:val="00F15FF0"/>
    <w:rsid w:val="00F17022"/>
    <w:rsid w:val="00F170B4"/>
    <w:rsid w:val="00F20931"/>
    <w:rsid w:val="00F24517"/>
    <w:rsid w:val="00F24676"/>
    <w:rsid w:val="00F25D8F"/>
    <w:rsid w:val="00F25E54"/>
    <w:rsid w:val="00F26B3D"/>
    <w:rsid w:val="00F27C2C"/>
    <w:rsid w:val="00F27D64"/>
    <w:rsid w:val="00F316A9"/>
    <w:rsid w:val="00F3208A"/>
    <w:rsid w:val="00F32FD9"/>
    <w:rsid w:val="00F33830"/>
    <w:rsid w:val="00F33E4C"/>
    <w:rsid w:val="00F33EA0"/>
    <w:rsid w:val="00F364D2"/>
    <w:rsid w:val="00F37B53"/>
    <w:rsid w:val="00F40D17"/>
    <w:rsid w:val="00F41876"/>
    <w:rsid w:val="00F42F36"/>
    <w:rsid w:val="00F4308F"/>
    <w:rsid w:val="00F43C5A"/>
    <w:rsid w:val="00F44F81"/>
    <w:rsid w:val="00F45ADE"/>
    <w:rsid w:val="00F4696A"/>
    <w:rsid w:val="00F46BFA"/>
    <w:rsid w:val="00F47AB5"/>
    <w:rsid w:val="00F47D82"/>
    <w:rsid w:val="00F50848"/>
    <w:rsid w:val="00F51931"/>
    <w:rsid w:val="00F56599"/>
    <w:rsid w:val="00F56821"/>
    <w:rsid w:val="00F57751"/>
    <w:rsid w:val="00F617BC"/>
    <w:rsid w:val="00F625B0"/>
    <w:rsid w:val="00F62775"/>
    <w:rsid w:val="00F62DF1"/>
    <w:rsid w:val="00F63393"/>
    <w:rsid w:val="00F635A0"/>
    <w:rsid w:val="00F63725"/>
    <w:rsid w:val="00F6484C"/>
    <w:rsid w:val="00F64FDD"/>
    <w:rsid w:val="00F66FCF"/>
    <w:rsid w:val="00F6760F"/>
    <w:rsid w:val="00F72CE5"/>
    <w:rsid w:val="00F73FEF"/>
    <w:rsid w:val="00F74181"/>
    <w:rsid w:val="00F742AC"/>
    <w:rsid w:val="00F7507F"/>
    <w:rsid w:val="00F75476"/>
    <w:rsid w:val="00F766DC"/>
    <w:rsid w:val="00F82A07"/>
    <w:rsid w:val="00F84D4F"/>
    <w:rsid w:val="00F85A76"/>
    <w:rsid w:val="00F92B11"/>
    <w:rsid w:val="00F9511F"/>
    <w:rsid w:val="00F96E28"/>
    <w:rsid w:val="00F970BE"/>
    <w:rsid w:val="00FA0116"/>
    <w:rsid w:val="00FA0AE8"/>
    <w:rsid w:val="00FA1257"/>
    <w:rsid w:val="00FA3F14"/>
    <w:rsid w:val="00FA3F5A"/>
    <w:rsid w:val="00FA4BBC"/>
    <w:rsid w:val="00FA69AA"/>
    <w:rsid w:val="00FB1E0A"/>
    <w:rsid w:val="00FB3485"/>
    <w:rsid w:val="00FB491C"/>
    <w:rsid w:val="00FB66DB"/>
    <w:rsid w:val="00FB6A0C"/>
    <w:rsid w:val="00FB6B16"/>
    <w:rsid w:val="00FB726F"/>
    <w:rsid w:val="00FC339C"/>
    <w:rsid w:val="00FC5029"/>
    <w:rsid w:val="00FC6681"/>
    <w:rsid w:val="00FD05EB"/>
    <w:rsid w:val="00FD7379"/>
    <w:rsid w:val="00FD7874"/>
    <w:rsid w:val="00FD7988"/>
    <w:rsid w:val="00FE11C4"/>
    <w:rsid w:val="00FE292A"/>
    <w:rsid w:val="00FE31E3"/>
    <w:rsid w:val="00FE3D47"/>
    <w:rsid w:val="00FE3E73"/>
    <w:rsid w:val="00FE438B"/>
    <w:rsid w:val="00FE5578"/>
    <w:rsid w:val="00FE58E5"/>
    <w:rsid w:val="00FE5AA4"/>
    <w:rsid w:val="00FE62EE"/>
    <w:rsid w:val="00FE6B39"/>
    <w:rsid w:val="00FF02E5"/>
    <w:rsid w:val="00FF0F04"/>
    <w:rsid w:val="00FF1E7D"/>
    <w:rsid w:val="00FF3324"/>
    <w:rsid w:val="00FF3E0A"/>
    <w:rsid w:val="00FF43D3"/>
    <w:rsid w:val="00FF5129"/>
    <w:rsid w:val="00FF7F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77C"/>
    <w:rPr>
      <w:rFonts w:ascii="Times New Roman" w:eastAsia="Times New Roman" w:hAnsi="Times New Roman"/>
      <w:sz w:val="24"/>
      <w:szCs w:val="24"/>
    </w:rPr>
  </w:style>
  <w:style w:type="paragraph" w:styleId="Ttulo1">
    <w:name w:val="heading 1"/>
    <w:basedOn w:val="Normal"/>
    <w:next w:val="Normal"/>
    <w:link w:val="Ttulo1Char"/>
    <w:uiPriority w:val="9"/>
    <w:qFormat/>
    <w:rsid w:val="00DB0FDE"/>
    <w:pPr>
      <w:keepNext/>
      <w:spacing w:before="240" w:after="60"/>
      <w:outlineLvl w:val="0"/>
    </w:pPr>
    <w:rPr>
      <w:rFonts w:ascii="Cambria" w:hAnsi="Cambria"/>
      <w:b/>
      <w:bCs/>
      <w:kern w:val="32"/>
      <w:sz w:val="32"/>
      <w:szCs w:val="32"/>
    </w:rPr>
  </w:style>
  <w:style w:type="paragraph" w:styleId="Ttulo2">
    <w:name w:val="heading 2"/>
    <w:basedOn w:val="Normal"/>
    <w:link w:val="Ttulo2Char"/>
    <w:uiPriority w:val="9"/>
    <w:qFormat/>
    <w:rsid w:val="000B619D"/>
    <w:pPr>
      <w:spacing w:before="100" w:beforeAutospacing="1" w:after="100" w:afterAutospacing="1"/>
      <w:outlineLvl w:val="1"/>
    </w:pPr>
    <w:rPr>
      <w:b/>
      <w:bCs/>
      <w:color w:val="000000"/>
      <w:sz w:val="36"/>
      <w:szCs w:val="36"/>
    </w:rPr>
  </w:style>
  <w:style w:type="paragraph" w:styleId="Ttulo7">
    <w:name w:val="heading 7"/>
    <w:basedOn w:val="Normal"/>
    <w:next w:val="Normal"/>
    <w:link w:val="Ttulo7Char"/>
    <w:qFormat/>
    <w:rsid w:val="00DA5375"/>
    <w:pPr>
      <w:spacing w:before="240" w:after="60"/>
      <w:outlineLvl w:val="6"/>
    </w:pPr>
    <w:rPr>
      <w:rFonts w:ascii="Calibri" w:hAnsi="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A577C"/>
    <w:pPr>
      <w:ind w:left="708"/>
    </w:pPr>
  </w:style>
  <w:style w:type="character" w:styleId="Forte">
    <w:name w:val="Strong"/>
    <w:basedOn w:val="Fontepargpadro"/>
    <w:uiPriority w:val="22"/>
    <w:qFormat/>
    <w:rsid w:val="001A577C"/>
    <w:rPr>
      <w:b/>
      <w:bCs/>
    </w:rPr>
  </w:style>
  <w:style w:type="paragraph" w:styleId="NormalWeb">
    <w:name w:val="Normal (Web)"/>
    <w:basedOn w:val="Normal"/>
    <w:uiPriority w:val="99"/>
    <w:unhideWhenUsed/>
    <w:rsid w:val="00D15BBE"/>
    <w:pPr>
      <w:spacing w:before="100" w:beforeAutospacing="1" w:after="100" w:afterAutospacing="1"/>
    </w:pPr>
    <w:rPr>
      <w:color w:val="000000"/>
    </w:rPr>
  </w:style>
  <w:style w:type="paragraph" w:styleId="Cabealho">
    <w:name w:val="header"/>
    <w:basedOn w:val="Normal"/>
    <w:link w:val="CabealhoChar"/>
    <w:uiPriority w:val="99"/>
    <w:unhideWhenUsed/>
    <w:rsid w:val="009E5FF0"/>
    <w:pPr>
      <w:tabs>
        <w:tab w:val="center" w:pos="4252"/>
        <w:tab w:val="right" w:pos="8504"/>
      </w:tabs>
    </w:pPr>
  </w:style>
  <w:style w:type="character" w:customStyle="1" w:styleId="CabealhoChar">
    <w:name w:val="Cabeçalho Char"/>
    <w:basedOn w:val="Fontepargpadro"/>
    <w:link w:val="Cabealho"/>
    <w:uiPriority w:val="99"/>
    <w:rsid w:val="009E5FF0"/>
    <w:rPr>
      <w:rFonts w:ascii="Times New Roman" w:eastAsia="Times New Roman" w:hAnsi="Times New Roman"/>
      <w:sz w:val="24"/>
      <w:szCs w:val="24"/>
    </w:rPr>
  </w:style>
  <w:style w:type="paragraph" w:styleId="Rodap">
    <w:name w:val="footer"/>
    <w:basedOn w:val="Normal"/>
    <w:link w:val="RodapChar"/>
    <w:uiPriority w:val="99"/>
    <w:unhideWhenUsed/>
    <w:rsid w:val="009E5FF0"/>
    <w:pPr>
      <w:tabs>
        <w:tab w:val="center" w:pos="4252"/>
        <w:tab w:val="right" w:pos="8504"/>
      </w:tabs>
    </w:pPr>
  </w:style>
  <w:style w:type="character" w:customStyle="1" w:styleId="RodapChar">
    <w:name w:val="Rodapé Char"/>
    <w:basedOn w:val="Fontepargpadro"/>
    <w:link w:val="Rodap"/>
    <w:uiPriority w:val="99"/>
    <w:rsid w:val="009E5FF0"/>
    <w:rPr>
      <w:rFonts w:ascii="Times New Roman" w:eastAsia="Times New Roman" w:hAnsi="Times New Roman"/>
      <w:sz w:val="24"/>
      <w:szCs w:val="24"/>
    </w:rPr>
  </w:style>
  <w:style w:type="character" w:customStyle="1" w:styleId="Ttulo2Char">
    <w:name w:val="Título 2 Char"/>
    <w:basedOn w:val="Fontepargpadro"/>
    <w:link w:val="Ttulo2"/>
    <w:uiPriority w:val="9"/>
    <w:rsid w:val="000B619D"/>
    <w:rPr>
      <w:rFonts w:ascii="Times New Roman" w:eastAsia="Times New Roman" w:hAnsi="Times New Roman"/>
      <w:b/>
      <w:bCs/>
      <w:color w:val="000000"/>
      <w:sz w:val="36"/>
      <w:szCs w:val="36"/>
    </w:rPr>
  </w:style>
  <w:style w:type="character" w:styleId="Refdenotaderodap">
    <w:name w:val="footnote reference"/>
    <w:basedOn w:val="Fontepargpadro"/>
    <w:uiPriority w:val="99"/>
    <w:rsid w:val="00DA5375"/>
    <w:rPr>
      <w:vertAlign w:val="superscript"/>
    </w:rPr>
  </w:style>
  <w:style w:type="paragraph" w:styleId="Textodenotaderodap">
    <w:name w:val="footnote text"/>
    <w:basedOn w:val="Normal"/>
    <w:link w:val="TextodenotaderodapChar"/>
    <w:uiPriority w:val="99"/>
    <w:rsid w:val="00DA5375"/>
    <w:rPr>
      <w:sz w:val="20"/>
      <w:szCs w:val="20"/>
    </w:rPr>
  </w:style>
  <w:style w:type="character" w:customStyle="1" w:styleId="TextodenotaderodapChar">
    <w:name w:val="Texto de nota de rodapé Char"/>
    <w:basedOn w:val="Fontepargpadro"/>
    <w:link w:val="Textodenotaderodap"/>
    <w:uiPriority w:val="99"/>
    <w:rsid w:val="00DA5375"/>
    <w:rPr>
      <w:lang w:val="pt-BR" w:eastAsia="pt-BR" w:bidi="ar-SA"/>
    </w:rPr>
  </w:style>
  <w:style w:type="character" w:customStyle="1" w:styleId="Ttulo7Char">
    <w:name w:val="Título 7 Char"/>
    <w:basedOn w:val="Fontepargpadro"/>
    <w:link w:val="Ttulo7"/>
    <w:rsid w:val="00DA5375"/>
    <w:rPr>
      <w:rFonts w:ascii="Calibri" w:hAnsi="Calibri"/>
      <w:sz w:val="24"/>
      <w:szCs w:val="24"/>
      <w:lang w:val="pt-BR" w:eastAsia="pt-BR" w:bidi="ar-SA"/>
    </w:rPr>
  </w:style>
  <w:style w:type="paragraph" w:styleId="Corpodetexto2">
    <w:name w:val="Body Text 2"/>
    <w:basedOn w:val="Normal"/>
    <w:link w:val="Corpodetexto2Char"/>
    <w:unhideWhenUsed/>
    <w:rsid w:val="00DA5375"/>
    <w:pPr>
      <w:spacing w:after="120" w:line="480" w:lineRule="auto"/>
    </w:pPr>
  </w:style>
  <w:style w:type="paragraph" w:styleId="Recuodecorpodetexto3">
    <w:name w:val="Body Text Indent 3"/>
    <w:basedOn w:val="Normal"/>
    <w:link w:val="Recuodecorpodetexto3Char"/>
    <w:rsid w:val="000B7EE9"/>
    <w:pPr>
      <w:spacing w:after="120"/>
      <w:ind w:left="283"/>
    </w:pPr>
    <w:rPr>
      <w:sz w:val="16"/>
      <w:szCs w:val="16"/>
    </w:rPr>
  </w:style>
  <w:style w:type="character" w:styleId="Hyperlink">
    <w:name w:val="Hyperlink"/>
    <w:basedOn w:val="Fontepargpadro"/>
    <w:rsid w:val="000B7EE9"/>
    <w:rPr>
      <w:color w:val="0000FF"/>
      <w:u w:val="single"/>
    </w:rPr>
  </w:style>
  <w:style w:type="paragraph" w:styleId="Corpodetexto">
    <w:name w:val="Body Text"/>
    <w:basedOn w:val="Normal"/>
    <w:link w:val="CorpodetextoChar"/>
    <w:rsid w:val="00BB7DBC"/>
    <w:pPr>
      <w:spacing w:after="120"/>
    </w:pPr>
  </w:style>
  <w:style w:type="paragraph" w:styleId="Corpodetexto3">
    <w:name w:val="Body Text 3"/>
    <w:basedOn w:val="Normal"/>
    <w:link w:val="Corpodetexto3Char"/>
    <w:uiPriority w:val="99"/>
    <w:semiHidden/>
    <w:unhideWhenUsed/>
    <w:rsid w:val="00366565"/>
    <w:pPr>
      <w:spacing w:after="120"/>
    </w:pPr>
    <w:rPr>
      <w:sz w:val="16"/>
      <w:szCs w:val="16"/>
    </w:rPr>
  </w:style>
  <w:style w:type="character" w:customStyle="1" w:styleId="Corpodetexto3Char">
    <w:name w:val="Corpo de texto 3 Char"/>
    <w:basedOn w:val="Fontepargpadro"/>
    <w:link w:val="Corpodetexto3"/>
    <w:uiPriority w:val="99"/>
    <w:semiHidden/>
    <w:rsid w:val="00366565"/>
    <w:rPr>
      <w:rFonts w:ascii="Times New Roman" w:eastAsia="Times New Roman" w:hAnsi="Times New Roman"/>
      <w:sz w:val="16"/>
      <w:szCs w:val="16"/>
    </w:rPr>
  </w:style>
  <w:style w:type="paragraph" w:styleId="MapadoDocumento">
    <w:name w:val="Document Map"/>
    <w:basedOn w:val="Normal"/>
    <w:link w:val="MapadoDocumentoChar"/>
    <w:uiPriority w:val="99"/>
    <w:semiHidden/>
    <w:unhideWhenUsed/>
    <w:rsid w:val="003B7506"/>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3B7506"/>
    <w:rPr>
      <w:rFonts w:ascii="Tahoma" w:eastAsia="Times New Roman" w:hAnsi="Tahoma" w:cs="Tahoma"/>
      <w:sz w:val="16"/>
      <w:szCs w:val="16"/>
    </w:rPr>
  </w:style>
  <w:style w:type="character" w:styleId="nfase">
    <w:name w:val="Emphasis"/>
    <w:basedOn w:val="Fontepargpadro"/>
    <w:uiPriority w:val="20"/>
    <w:qFormat/>
    <w:rsid w:val="00BD6F10"/>
    <w:rPr>
      <w:b/>
      <w:bCs/>
      <w:i w:val="0"/>
      <w:iCs w:val="0"/>
    </w:rPr>
  </w:style>
  <w:style w:type="character" w:customStyle="1" w:styleId="Corpodetexto2Char">
    <w:name w:val="Corpo de texto 2 Char"/>
    <w:basedOn w:val="Fontepargpadro"/>
    <w:link w:val="Corpodetexto2"/>
    <w:rsid w:val="006E5C04"/>
    <w:rPr>
      <w:rFonts w:ascii="Times New Roman" w:eastAsia="Times New Roman" w:hAnsi="Times New Roman"/>
      <w:sz w:val="24"/>
      <w:szCs w:val="24"/>
    </w:rPr>
  </w:style>
  <w:style w:type="character" w:customStyle="1" w:styleId="Recuodecorpodetexto3Char">
    <w:name w:val="Recuo de corpo de texto 3 Char"/>
    <w:basedOn w:val="Fontepargpadro"/>
    <w:link w:val="Recuodecorpodetexto3"/>
    <w:rsid w:val="006E5C04"/>
    <w:rPr>
      <w:rFonts w:ascii="Times New Roman" w:eastAsia="Times New Roman" w:hAnsi="Times New Roman"/>
      <w:sz w:val="16"/>
      <w:szCs w:val="16"/>
    </w:rPr>
  </w:style>
  <w:style w:type="character" w:customStyle="1" w:styleId="CorpodetextoChar">
    <w:name w:val="Corpo de texto Char"/>
    <w:basedOn w:val="Fontepargpadro"/>
    <w:link w:val="Corpodetexto"/>
    <w:rsid w:val="006E5C04"/>
    <w:rPr>
      <w:rFonts w:ascii="Times New Roman" w:eastAsia="Times New Roman" w:hAnsi="Times New Roman"/>
      <w:sz w:val="24"/>
      <w:szCs w:val="24"/>
    </w:rPr>
  </w:style>
  <w:style w:type="character" w:customStyle="1" w:styleId="hps">
    <w:name w:val="hps"/>
    <w:basedOn w:val="Fontepargpadro"/>
    <w:rsid w:val="009B3A82"/>
  </w:style>
  <w:style w:type="character" w:customStyle="1" w:styleId="atn">
    <w:name w:val="atn"/>
    <w:basedOn w:val="Fontepargpadro"/>
    <w:rsid w:val="009B3A82"/>
  </w:style>
  <w:style w:type="paragraph" w:customStyle="1" w:styleId="papertitle">
    <w:name w:val="paper title"/>
    <w:basedOn w:val="Normal"/>
    <w:next w:val="Normal"/>
    <w:uiPriority w:val="99"/>
    <w:rsid w:val="00DB0FDE"/>
    <w:pPr>
      <w:autoSpaceDE w:val="0"/>
      <w:autoSpaceDN w:val="0"/>
      <w:adjustRightInd w:val="0"/>
    </w:pPr>
    <w:rPr>
      <w:rFonts w:eastAsia="Calibri"/>
    </w:rPr>
  </w:style>
  <w:style w:type="character" w:customStyle="1" w:styleId="st">
    <w:name w:val="st"/>
    <w:basedOn w:val="Fontepargpadro"/>
    <w:rsid w:val="00DB0FDE"/>
  </w:style>
  <w:style w:type="character" w:customStyle="1" w:styleId="Ttulo1Char">
    <w:name w:val="Título 1 Char"/>
    <w:basedOn w:val="Fontepargpadro"/>
    <w:link w:val="Ttulo1"/>
    <w:uiPriority w:val="9"/>
    <w:rsid w:val="00DB0FDE"/>
    <w:rPr>
      <w:rFonts w:ascii="Cambria" w:eastAsia="Times New Roman" w:hAnsi="Cambria" w:cs="Times New Roman"/>
      <w:b/>
      <w:bCs/>
      <w:kern w:val="32"/>
      <w:sz w:val="32"/>
      <w:szCs w:val="32"/>
    </w:rPr>
  </w:style>
  <w:style w:type="paragraph" w:customStyle="1" w:styleId="centralizado">
    <w:name w:val="centralizado"/>
    <w:basedOn w:val="Normal"/>
    <w:rsid w:val="00F033F4"/>
    <w:pPr>
      <w:spacing w:before="100" w:beforeAutospacing="1" w:after="100" w:afterAutospacing="1"/>
    </w:pPr>
  </w:style>
  <w:style w:type="paragraph" w:customStyle="1" w:styleId="Default">
    <w:name w:val="Default"/>
    <w:rsid w:val="007A0BB5"/>
    <w:pPr>
      <w:autoSpaceDE w:val="0"/>
      <w:autoSpaceDN w:val="0"/>
      <w:adjustRightInd w:val="0"/>
    </w:pPr>
    <w:rPr>
      <w:rFonts w:ascii="Times New Roman" w:hAnsi="Times New Roman"/>
      <w:color w:val="000000"/>
      <w:sz w:val="24"/>
      <w:szCs w:val="24"/>
    </w:rPr>
  </w:style>
  <w:style w:type="paragraph" w:styleId="Textodebalo">
    <w:name w:val="Balloon Text"/>
    <w:basedOn w:val="Normal"/>
    <w:link w:val="TextodebaloChar"/>
    <w:uiPriority w:val="99"/>
    <w:semiHidden/>
    <w:unhideWhenUsed/>
    <w:rsid w:val="00730A91"/>
    <w:rPr>
      <w:rFonts w:ascii="Tahoma" w:hAnsi="Tahoma" w:cs="Tahoma"/>
      <w:sz w:val="16"/>
      <w:szCs w:val="16"/>
    </w:rPr>
  </w:style>
  <w:style w:type="character" w:customStyle="1" w:styleId="TextodebaloChar">
    <w:name w:val="Texto de balão Char"/>
    <w:basedOn w:val="Fontepargpadro"/>
    <w:link w:val="Textodebalo"/>
    <w:uiPriority w:val="99"/>
    <w:semiHidden/>
    <w:rsid w:val="00730A91"/>
    <w:rPr>
      <w:rFonts w:ascii="Tahoma" w:eastAsia="Times New Roman" w:hAnsi="Tahoma" w:cs="Tahoma"/>
      <w:sz w:val="16"/>
      <w:szCs w:val="16"/>
    </w:rPr>
  </w:style>
  <w:style w:type="character" w:customStyle="1" w:styleId="shorttext">
    <w:name w:val="short_text"/>
    <w:basedOn w:val="Fontepargpadro"/>
    <w:rsid w:val="00CA2B4C"/>
  </w:style>
  <w:style w:type="table" w:styleId="Tabelacomgrade">
    <w:name w:val="Table Grid"/>
    <w:basedOn w:val="Tabelanormal"/>
    <w:uiPriority w:val="59"/>
    <w:rsid w:val="00AC3B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Fontepargpadro"/>
    <w:rsid w:val="00D05F50"/>
  </w:style>
  <w:style w:type="character" w:customStyle="1" w:styleId="texhtml">
    <w:name w:val="texhtml"/>
    <w:basedOn w:val="Fontepargpadro"/>
    <w:rsid w:val="00B71EB4"/>
    <w:rPr>
      <w:rFonts w:ascii="Times New Roman" w:hAnsi="Times New Roman" w:cs="Times New Roman" w:hint="default"/>
    </w:rPr>
  </w:style>
  <w:style w:type="character" w:styleId="TextodoEspaoReservado">
    <w:name w:val="Placeholder Text"/>
    <w:basedOn w:val="Fontepargpadro"/>
    <w:uiPriority w:val="99"/>
    <w:semiHidden/>
    <w:rsid w:val="00E71D01"/>
    <w:rPr>
      <w:color w:val="808080"/>
    </w:rPr>
  </w:style>
</w:styles>
</file>

<file path=word/webSettings.xml><?xml version="1.0" encoding="utf-8"?>
<w:webSettings xmlns:r="http://schemas.openxmlformats.org/officeDocument/2006/relationships" xmlns:w="http://schemas.openxmlformats.org/wordprocessingml/2006/main">
  <w:divs>
    <w:div w:id="7291906">
      <w:bodyDiv w:val="1"/>
      <w:marLeft w:val="0"/>
      <w:marRight w:val="0"/>
      <w:marTop w:val="0"/>
      <w:marBottom w:val="0"/>
      <w:divBdr>
        <w:top w:val="none" w:sz="0" w:space="0" w:color="auto"/>
        <w:left w:val="none" w:sz="0" w:space="0" w:color="auto"/>
        <w:bottom w:val="none" w:sz="0" w:space="0" w:color="auto"/>
        <w:right w:val="none" w:sz="0" w:space="0" w:color="auto"/>
      </w:divBdr>
      <w:divsChild>
        <w:div w:id="192041728">
          <w:marLeft w:val="547"/>
          <w:marRight w:val="0"/>
          <w:marTop w:val="0"/>
          <w:marBottom w:val="360"/>
          <w:divBdr>
            <w:top w:val="none" w:sz="0" w:space="0" w:color="auto"/>
            <w:left w:val="none" w:sz="0" w:space="0" w:color="auto"/>
            <w:bottom w:val="none" w:sz="0" w:space="0" w:color="auto"/>
            <w:right w:val="none" w:sz="0" w:space="0" w:color="auto"/>
          </w:divBdr>
        </w:div>
        <w:div w:id="886065770">
          <w:marLeft w:val="1267"/>
          <w:marRight w:val="0"/>
          <w:marTop w:val="0"/>
          <w:marBottom w:val="360"/>
          <w:divBdr>
            <w:top w:val="none" w:sz="0" w:space="0" w:color="auto"/>
            <w:left w:val="none" w:sz="0" w:space="0" w:color="auto"/>
            <w:bottom w:val="none" w:sz="0" w:space="0" w:color="auto"/>
            <w:right w:val="none" w:sz="0" w:space="0" w:color="auto"/>
          </w:divBdr>
        </w:div>
        <w:div w:id="1735203873">
          <w:marLeft w:val="1267"/>
          <w:marRight w:val="0"/>
          <w:marTop w:val="0"/>
          <w:marBottom w:val="360"/>
          <w:divBdr>
            <w:top w:val="none" w:sz="0" w:space="0" w:color="auto"/>
            <w:left w:val="none" w:sz="0" w:space="0" w:color="auto"/>
            <w:bottom w:val="none" w:sz="0" w:space="0" w:color="auto"/>
            <w:right w:val="none" w:sz="0" w:space="0" w:color="auto"/>
          </w:divBdr>
        </w:div>
        <w:div w:id="913322172">
          <w:marLeft w:val="1267"/>
          <w:marRight w:val="0"/>
          <w:marTop w:val="0"/>
          <w:marBottom w:val="360"/>
          <w:divBdr>
            <w:top w:val="none" w:sz="0" w:space="0" w:color="auto"/>
            <w:left w:val="none" w:sz="0" w:space="0" w:color="auto"/>
            <w:bottom w:val="none" w:sz="0" w:space="0" w:color="auto"/>
            <w:right w:val="none" w:sz="0" w:space="0" w:color="auto"/>
          </w:divBdr>
        </w:div>
        <w:div w:id="1016273828">
          <w:marLeft w:val="547"/>
          <w:marRight w:val="0"/>
          <w:marTop w:val="0"/>
          <w:marBottom w:val="360"/>
          <w:divBdr>
            <w:top w:val="none" w:sz="0" w:space="0" w:color="auto"/>
            <w:left w:val="none" w:sz="0" w:space="0" w:color="auto"/>
            <w:bottom w:val="none" w:sz="0" w:space="0" w:color="auto"/>
            <w:right w:val="none" w:sz="0" w:space="0" w:color="auto"/>
          </w:divBdr>
        </w:div>
      </w:divsChild>
    </w:div>
    <w:div w:id="8796526">
      <w:bodyDiv w:val="1"/>
      <w:marLeft w:val="0"/>
      <w:marRight w:val="0"/>
      <w:marTop w:val="0"/>
      <w:marBottom w:val="0"/>
      <w:divBdr>
        <w:top w:val="none" w:sz="0" w:space="0" w:color="auto"/>
        <w:left w:val="none" w:sz="0" w:space="0" w:color="auto"/>
        <w:bottom w:val="none" w:sz="0" w:space="0" w:color="auto"/>
        <w:right w:val="none" w:sz="0" w:space="0" w:color="auto"/>
      </w:divBdr>
    </w:div>
    <w:div w:id="11611948">
      <w:bodyDiv w:val="1"/>
      <w:marLeft w:val="0"/>
      <w:marRight w:val="0"/>
      <w:marTop w:val="0"/>
      <w:marBottom w:val="0"/>
      <w:divBdr>
        <w:top w:val="none" w:sz="0" w:space="0" w:color="auto"/>
        <w:left w:val="none" w:sz="0" w:space="0" w:color="auto"/>
        <w:bottom w:val="none" w:sz="0" w:space="0" w:color="auto"/>
        <w:right w:val="none" w:sz="0" w:space="0" w:color="auto"/>
      </w:divBdr>
    </w:div>
    <w:div w:id="35397661">
      <w:bodyDiv w:val="1"/>
      <w:marLeft w:val="0"/>
      <w:marRight w:val="0"/>
      <w:marTop w:val="0"/>
      <w:marBottom w:val="0"/>
      <w:divBdr>
        <w:top w:val="none" w:sz="0" w:space="0" w:color="auto"/>
        <w:left w:val="none" w:sz="0" w:space="0" w:color="auto"/>
        <w:bottom w:val="none" w:sz="0" w:space="0" w:color="auto"/>
        <w:right w:val="none" w:sz="0" w:space="0" w:color="auto"/>
      </w:divBdr>
      <w:divsChild>
        <w:div w:id="1074670855">
          <w:marLeft w:val="547"/>
          <w:marRight w:val="0"/>
          <w:marTop w:val="0"/>
          <w:marBottom w:val="0"/>
          <w:divBdr>
            <w:top w:val="none" w:sz="0" w:space="0" w:color="auto"/>
            <w:left w:val="none" w:sz="0" w:space="0" w:color="auto"/>
            <w:bottom w:val="none" w:sz="0" w:space="0" w:color="auto"/>
            <w:right w:val="none" w:sz="0" w:space="0" w:color="auto"/>
          </w:divBdr>
        </w:div>
      </w:divsChild>
    </w:div>
    <w:div w:id="47606107">
      <w:bodyDiv w:val="1"/>
      <w:marLeft w:val="0"/>
      <w:marRight w:val="0"/>
      <w:marTop w:val="0"/>
      <w:marBottom w:val="0"/>
      <w:divBdr>
        <w:top w:val="none" w:sz="0" w:space="0" w:color="auto"/>
        <w:left w:val="none" w:sz="0" w:space="0" w:color="auto"/>
        <w:bottom w:val="none" w:sz="0" w:space="0" w:color="auto"/>
        <w:right w:val="none" w:sz="0" w:space="0" w:color="auto"/>
      </w:divBdr>
    </w:div>
    <w:div w:id="51083132">
      <w:bodyDiv w:val="1"/>
      <w:marLeft w:val="0"/>
      <w:marRight w:val="0"/>
      <w:marTop w:val="0"/>
      <w:marBottom w:val="0"/>
      <w:divBdr>
        <w:top w:val="none" w:sz="0" w:space="0" w:color="auto"/>
        <w:left w:val="none" w:sz="0" w:space="0" w:color="auto"/>
        <w:bottom w:val="none" w:sz="0" w:space="0" w:color="auto"/>
        <w:right w:val="none" w:sz="0" w:space="0" w:color="auto"/>
      </w:divBdr>
      <w:divsChild>
        <w:div w:id="750128949">
          <w:marLeft w:val="547"/>
          <w:marRight w:val="0"/>
          <w:marTop w:val="0"/>
          <w:marBottom w:val="0"/>
          <w:divBdr>
            <w:top w:val="none" w:sz="0" w:space="0" w:color="auto"/>
            <w:left w:val="none" w:sz="0" w:space="0" w:color="auto"/>
            <w:bottom w:val="none" w:sz="0" w:space="0" w:color="auto"/>
            <w:right w:val="none" w:sz="0" w:space="0" w:color="auto"/>
          </w:divBdr>
        </w:div>
      </w:divsChild>
    </w:div>
    <w:div w:id="54158431">
      <w:bodyDiv w:val="1"/>
      <w:marLeft w:val="0"/>
      <w:marRight w:val="0"/>
      <w:marTop w:val="0"/>
      <w:marBottom w:val="0"/>
      <w:divBdr>
        <w:top w:val="none" w:sz="0" w:space="0" w:color="auto"/>
        <w:left w:val="none" w:sz="0" w:space="0" w:color="auto"/>
        <w:bottom w:val="none" w:sz="0" w:space="0" w:color="auto"/>
        <w:right w:val="none" w:sz="0" w:space="0" w:color="auto"/>
      </w:divBdr>
      <w:divsChild>
        <w:div w:id="948973815">
          <w:marLeft w:val="0"/>
          <w:marRight w:val="0"/>
          <w:marTop w:val="0"/>
          <w:marBottom w:val="0"/>
          <w:divBdr>
            <w:top w:val="none" w:sz="0" w:space="0" w:color="auto"/>
            <w:left w:val="none" w:sz="0" w:space="0" w:color="auto"/>
            <w:bottom w:val="none" w:sz="0" w:space="0" w:color="auto"/>
            <w:right w:val="none" w:sz="0" w:space="0" w:color="auto"/>
          </w:divBdr>
          <w:divsChild>
            <w:div w:id="566383707">
              <w:marLeft w:val="0"/>
              <w:marRight w:val="0"/>
              <w:marTop w:val="0"/>
              <w:marBottom w:val="0"/>
              <w:divBdr>
                <w:top w:val="none" w:sz="0" w:space="0" w:color="auto"/>
                <w:left w:val="none" w:sz="0" w:space="0" w:color="auto"/>
                <w:bottom w:val="none" w:sz="0" w:space="0" w:color="auto"/>
                <w:right w:val="none" w:sz="0" w:space="0" w:color="auto"/>
              </w:divBdr>
              <w:divsChild>
                <w:div w:id="1293364248">
                  <w:marLeft w:val="0"/>
                  <w:marRight w:val="0"/>
                  <w:marTop w:val="0"/>
                  <w:marBottom w:val="0"/>
                  <w:divBdr>
                    <w:top w:val="none" w:sz="0" w:space="0" w:color="auto"/>
                    <w:left w:val="none" w:sz="0" w:space="0" w:color="auto"/>
                    <w:bottom w:val="none" w:sz="0" w:space="0" w:color="auto"/>
                    <w:right w:val="none" w:sz="0" w:space="0" w:color="auto"/>
                  </w:divBdr>
                  <w:divsChild>
                    <w:div w:id="2038655889">
                      <w:marLeft w:val="0"/>
                      <w:marRight w:val="0"/>
                      <w:marTop w:val="0"/>
                      <w:marBottom w:val="0"/>
                      <w:divBdr>
                        <w:top w:val="none" w:sz="0" w:space="0" w:color="auto"/>
                        <w:left w:val="none" w:sz="0" w:space="0" w:color="auto"/>
                        <w:bottom w:val="none" w:sz="0" w:space="0" w:color="auto"/>
                        <w:right w:val="none" w:sz="0" w:space="0" w:color="auto"/>
                      </w:divBdr>
                      <w:divsChild>
                        <w:div w:id="269044097">
                          <w:marLeft w:val="0"/>
                          <w:marRight w:val="0"/>
                          <w:marTop w:val="0"/>
                          <w:marBottom w:val="0"/>
                          <w:divBdr>
                            <w:top w:val="none" w:sz="0" w:space="0" w:color="auto"/>
                            <w:left w:val="none" w:sz="0" w:space="0" w:color="auto"/>
                            <w:bottom w:val="none" w:sz="0" w:space="0" w:color="auto"/>
                            <w:right w:val="none" w:sz="0" w:space="0" w:color="auto"/>
                          </w:divBdr>
                          <w:divsChild>
                            <w:div w:id="1049525390">
                              <w:marLeft w:val="0"/>
                              <w:marRight w:val="0"/>
                              <w:marTop w:val="0"/>
                              <w:marBottom w:val="0"/>
                              <w:divBdr>
                                <w:top w:val="none" w:sz="0" w:space="0" w:color="auto"/>
                                <w:left w:val="none" w:sz="0" w:space="0" w:color="auto"/>
                                <w:bottom w:val="none" w:sz="0" w:space="0" w:color="auto"/>
                                <w:right w:val="none" w:sz="0" w:space="0" w:color="auto"/>
                              </w:divBdr>
                              <w:divsChild>
                                <w:div w:id="883180584">
                                  <w:marLeft w:val="0"/>
                                  <w:marRight w:val="0"/>
                                  <w:marTop w:val="0"/>
                                  <w:marBottom w:val="0"/>
                                  <w:divBdr>
                                    <w:top w:val="none" w:sz="0" w:space="0" w:color="auto"/>
                                    <w:left w:val="none" w:sz="0" w:space="0" w:color="auto"/>
                                    <w:bottom w:val="none" w:sz="0" w:space="0" w:color="auto"/>
                                    <w:right w:val="none" w:sz="0" w:space="0" w:color="auto"/>
                                  </w:divBdr>
                                  <w:divsChild>
                                    <w:div w:id="1874610606">
                                      <w:marLeft w:val="0"/>
                                      <w:marRight w:val="0"/>
                                      <w:marTop w:val="0"/>
                                      <w:marBottom w:val="0"/>
                                      <w:divBdr>
                                        <w:top w:val="none" w:sz="0" w:space="0" w:color="auto"/>
                                        <w:left w:val="none" w:sz="0" w:space="0" w:color="auto"/>
                                        <w:bottom w:val="none" w:sz="0" w:space="0" w:color="auto"/>
                                        <w:right w:val="none" w:sz="0" w:space="0" w:color="auto"/>
                                      </w:divBdr>
                                    </w:div>
                                    <w:div w:id="1926645574">
                                      <w:marLeft w:val="0"/>
                                      <w:marRight w:val="0"/>
                                      <w:marTop w:val="0"/>
                                      <w:marBottom w:val="13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18467">
      <w:bodyDiv w:val="1"/>
      <w:marLeft w:val="0"/>
      <w:marRight w:val="0"/>
      <w:marTop w:val="0"/>
      <w:marBottom w:val="0"/>
      <w:divBdr>
        <w:top w:val="none" w:sz="0" w:space="0" w:color="auto"/>
        <w:left w:val="none" w:sz="0" w:space="0" w:color="auto"/>
        <w:bottom w:val="none" w:sz="0" w:space="0" w:color="auto"/>
        <w:right w:val="none" w:sz="0" w:space="0" w:color="auto"/>
      </w:divBdr>
      <w:divsChild>
        <w:div w:id="1081413279">
          <w:marLeft w:val="547"/>
          <w:marRight w:val="0"/>
          <w:marTop w:val="0"/>
          <w:marBottom w:val="0"/>
          <w:divBdr>
            <w:top w:val="none" w:sz="0" w:space="0" w:color="auto"/>
            <w:left w:val="none" w:sz="0" w:space="0" w:color="auto"/>
            <w:bottom w:val="none" w:sz="0" w:space="0" w:color="auto"/>
            <w:right w:val="none" w:sz="0" w:space="0" w:color="auto"/>
          </w:divBdr>
        </w:div>
      </w:divsChild>
    </w:div>
    <w:div w:id="66847019">
      <w:bodyDiv w:val="1"/>
      <w:marLeft w:val="0"/>
      <w:marRight w:val="0"/>
      <w:marTop w:val="0"/>
      <w:marBottom w:val="0"/>
      <w:divBdr>
        <w:top w:val="none" w:sz="0" w:space="0" w:color="auto"/>
        <w:left w:val="none" w:sz="0" w:space="0" w:color="auto"/>
        <w:bottom w:val="none" w:sz="0" w:space="0" w:color="auto"/>
        <w:right w:val="none" w:sz="0" w:space="0" w:color="auto"/>
      </w:divBdr>
    </w:div>
    <w:div w:id="84884430">
      <w:bodyDiv w:val="1"/>
      <w:marLeft w:val="0"/>
      <w:marRight w:val="0"/>
      <w:marTop w:val="0"/>
      <w:marBottom w:val="0"/>
      <w:divBdr>
        <w:top w:val="none" w:sz="0" w:space="0" w:color="auto"/>
        <w:left w:val="none" w:sz="0" w:space="0" w:color="auto"/>
        <w:bottom w:val="none" w:sz="0" w:space="0" w:color="auto"/>
        <w:right w:val="none" w:sz="0" w:space="0" w:color="auto"/>
      </w:divBdr>
    </w:div>
    <w:div w:id="88627388">
      <w:bodyDiv w:val="1"/>
      <w:marLeft w:val="0"/>
      <w:marRight w:val="0"/>
      <w:marTop w:val="0"/>
      <w:marBottom w:val="0"/>
      <w:divBdr>
        <w:top w:val="none" w:sz="0" w:space="0" w:color="auto"/>
        <w:left w:val="none" w:sz="0" w:space="0" w:color="auto"/>
        <w:bottom w:val="none" w:sz="0" w:space="0" w:color="auto"/>
        <w:right w:val="none" w:sz="0" w:space="0" w:color="auto"/>
      </w:divBdr>
      <w:divsChild>
        <w:div w:id="1695572380">
          <w:marLeft w:val="547"/>
          <w:marRight w:val="0"/>
          <w:marTop w:val="0"/>
          <w:marBottom w:val="360"/>
          <w:divBdr>
            <w:top w:val="none" w:sz="0" w:space="0" w:color="auto"/>
            <w:left w:val="none" w:sz="0" w:space="0" w:color="auto"/>
            <w:bottom w:val="none" w:sz="0" w:space="0" w:color="auto"/>
            <w:right w:val="none" w:sz="0" w:space="0" w:color="auto"/>
          </w:divBdr>
        </w:div>
        <w:div w:id="1009336422">
          <w:marLeft w:val="1267"/>
          <w:marRight w:val="0"/>
          <w:marTop w:val="0"/>
          <w:marBottom w:val="360"/>
          <w:divBdr>
            <w:top w:val="none" w:sz="0" w:space="0" w:color="auto"/>
            <w:left w:val="none" w:sz="0" w:space="0" w:color="auto"/>
            <w:bottom w:val="none" w:sz="0" w:space="0" w:color="auto"/>
            <w:right w:val="none" w:sz="0" w:space="0" w:color="auto"/>
          </w:divBdr>
        </w:div>
        <w:div w:id="446199260">
          <w:marLeft w:val="1267"/>
          <w:marRight w:val="0"/>
          <w:marTop w:val="0"/>
          <w:marBottom w:val="360"/>
          <w:divBdr>
            <w:top w:val="none" w:sz="0" w:space="0" w:color="auto"/>
            <w:left w:val="none" w:sz="0" w:space="0" w:color="auto"/>
            <w:bottom w:val="none" w:sz="0" w:space="0" w:color="auto"/>
            <w:right w:val="none" w:sz="0" w:space="0" w:color="auto"/>
          </w:divBdr>
        </w:div>
        <w:div w:id="351304716">
          <w:marLeft w:val="1267"/>
          <w:marRight w:val="0"/>
          <w:marTop w:val="0"/>
          <w:marBottom w:val="360"/>
          <w:divBdr>
            <w:top w:val="none" w:sz="0" w:space="0" w:color="auto"/>
            <w:left w:val="none" w:sz="0" w:space="0" w:color="auto"/>
            <w:bottom w:val="none" w:sz="0" w:space="0" w:color="auto"/>
            <w:right w:val="none" w:sz="0" w:space="0" w:color="auto"/>
          </w:divBdr>
        </w:div>
      </w:divsChild>
    </w:div>
    <w:div w:id="119764414">
      <w:bodyDiv w:val="1"/>
      <w:marLeft w:val="0"/>
      <w:marRight w:val="0"/>
      <w:marTop w:val="0"/>
      <w:marBottom w:val="0"/>
      <w:divBdr>
        <w:top w:val="none" w:sz="0" w:space="0" w:color="auto"/>
        <w:left w:val="none" w:sz="0" w:space="0" w:color="auto"/>
        <w:bottom w:val="none" w:sz="0" w:space="0" w:color="auto"/>
        <w:right w:val="none" w:sz="0" w:space="0" w:color="auto"/>
      </w:divBdr>
    </w:div>
    <w:div w:id="164631615">
      <w:bodyDiv w:val="1"/>
      <w:marLeft w:val="0"/>
      <w:marRight w:val="0"/>
      <w:marTop w:val="0"/>
      <w:marBottom w:val="0"/>
      <w:divBdr>
        <w:top w:val="none" w:sz="0" w:space="0" w:color="auto"/>
        <w:left w:val="none" w:sz="0" w:space="0" w:color="auto"/>
        <w:bottom w:val="none" w:sz="0" w:space="0" w:color="auto"/>
        <w:right w:val="none" w:sz="0" w:space="0" w:color="auto"/>
      </w:divBdr>
      <w:divsChild>
        <w:div w:id="726999413">
          <w:marLeft w:val="547"/>
          <w:marRight w:val="0"/>
          <w:marTop w:val="0"/>
          <w:marBottom w:val="0"/>
          <w:divBdr>
            <w:top w:val="none" w:sz="0" w:space="0" w:color="auto"/>
            <w:left w:val="none" w:sz="0" w:space="0" w:color="auto"/>
            <w:bottom w:val="none" w:sz="0" w:space="0" w:color="auto"/>
            <w:right w:val="none" w:sz="0" w:space="0" w:color="auto"/>
          </w:divBdr>
        </w:div>
      </w:divsChild>
    </w:div>
    <w:div w:id="169684874">
      <w:bodyDiv w:val="1"/>
      <w:marLeft w:val="0"/>
      <w:marRight w:val="0"/>
      <w:marTop w:val="0"/>
      <w:marBottom w:val="0"/>
      <w:divBdr>
        <w:top w:val="none" w:sz="0" w:space="0" w:color="auto"/>
        <w:left w:val="none" w:sz="0" w:space="0" w:color="auto"/>
        <w:bottom w:val="none" w:sz="0" w:space="0" w:color="auto"/>
        <w:right w:val="none" w:sz="0" w:space="0" w:color="auto"/>
      </w:divBdr>
    </w:div>
    <w:div w:id="173153713">
      <w:bodyDiv w:val="1"/>
      <w:marLeft w:val="0"/>
      <w:marRight w:val="0"/>
      <w:marTop w:val="0"/>
      <w:marBottom w:val="0"/>
      <w:divBdr>
        <w:top w:val="none" w:sz="0" w:space="0" w:color="auto"/>
        <w:left w:val="none" w:sz="0" w:space="0" w:color="auto"/>
        <w:bottom w:val="none" w:sz="0" w:space="0" w:color="auto"/>
        <w:right w:val="none" w:sz="0" w:space="0" w:color="auto"/>
      </w:divBdr>
    </w:div>
    <w:div w:id="195624971">
      <w:bodyDiv w:val="1"/>
      <w:marLeft w:val="0"/>
      <w:marRight w:val="0"/>
      <w:marTop w:val="0"/>
      <w:marBottom w:val="0"/>
      <w:divBdr>
        <w:top w:val="none" w:sz="0" w:space="0" w:color="auto"/>
        <w:left w:val="none" w:sz="0" w:space="0" w:color="auto"/>
        <w:bottom w:val="none" w:sz="0" w:space="0" w:color="auto"/>
        <w:right w:val="none" w:sz="0" w:space="0" w:color="auto"/>
      </w:divBdr>
    </w:div>
    <w:div w:id="207885301">
      <w:bodyDiv w:val="1"/>
      <w:marLeft w:val="0"/>
      <w:marRight w:val="0"/>
      <w:marTop w:val="0"/>
      <w:marBottom w:val="0"/>
      <w:divBdr>
        <w:top w:val="none" w:sz="0" w:space="0" w:color="auto"/>
        <w:left w:val="none" w:sz="0" w:space="0" w:color="auto"/>
        <w:bottom w:val="none" w:sz="0" w:space="0" w:color="auto"/>
        <w:right w:val="none" w:sz="0" w:space="0" w:color="auto"/>
      </w:divBdr>
    </w:div>
    <w:div w:id="210578667">
      <w:bodyDiv w:val="1"/>
      <w:marLeft w:val="0"/>
      <w:marRight w:val="0"/>
      <w:marTop w:val="0"/>
      <w:marBottom w:val="0"/>
      <w:divBdr>
        <w:top w:val="none" w:sz="0" w:space="0" w:color="auto"/>
        <w:left w:val="none" w:sz="0" w:space="0" w:color="auto"/>
        <w:bottom w:val="none" w:sz="0" w:space="0" w:color="auto"/>
        <w:right w:val="none" w:sz="0" w:space="0" w:color="auto"/>
      </w:divBdr>
    </w:div>
    <w:div w:id="218706523">
      <w:bodyDiv w:val="1"/>
      <w:marLeft w:val="0"/>
      <w:marRight w:val="0"/>
      <w:marTop w:val="0"/>
      <w:marBottom w:val="0"/>
      <w:divBdr>
        <w:top w:val="none" w:sz="0" w:space="0" w:color="auto"/>
        <w:left w:val="none" w:sz="0" w:space="0" w:color="auto"/>
        <w:bottom w:val="none" w:sz="0" w:space="0" w:color="auto"/>
        <w:right w:val="none" w:sz="0" w:space="0" w:color="auto"/>
      </w:divBdr>
    </w:div>
    <w:div w:id="272714169">
      <w:bodyDiv w:val="1"/>
      <w:marLeft w:val="0"/>
      <w:marRight w:val="0"/>
      <w:marTop w:val="0"/>
      <w:marBottom w:val="0"/>
      <w:divBdr>
        <w:top w:val="none" w:sz="0" w:space="0" w:color="auto"/>
        <w:left w:val="none" w:sz="0" w:space="0" w:color="auto"/>
        <w:bottom w:val="none" w:sz="0" w:space="0" w:color="auto"/>
        <w:right w:val="none" w:sz="0" w:space="0" w:color="auto"/>
      </w:divBdr>
    </w:div>
    <w:div w:id="287250618">
      <w:bodyDiv w:val="1"/>
      <w:marLeft w:val="0"/>
      <w:marRight w:val="0"/>
      <w:marTop w:val="0"/>
      <w:marBottom w:val="0"/>
      <w:divBdr>
        <w:top w:val="none" w:sz="0" w:space="0" w:color="auto"/>
        <w:left w:val="none" w:sz="0" w:space="0" w:color="auto"/>
        <w:bottom w:val="none" w:sz="0" w:space="0" w:color="auto"/>
        <w:right w:val="none" w:sz="0" w:space="0" w:color="auto"/>
      </w:divBdr>
    </w:div>
    <w:div w:id="294944321">
      <w:bodyDiv w:val="1"/>
      <w:marLeft w:val="0"/>
      <w:marRight w:val="0"/>
      <w:marTop w:val="0"/>
      <w:marBottom w:val="0"/>
      <w:divBdr>
        <w:top w:val="none" w:sz="0" w:space="0" w:color="auto"/>
        <w:left w:val="none" w:sz="0" w:space="0" w:color="auto"/>
        <w:bottom w:val="none" w:sz="0" w:space="0" w:color="auto"/>
        <w:right w:val="none" w:sz="0" w:space="0" w:color="auto"/>
      </w:divBdr>
    </w:div>
    <w:div w:id="309485822">
      <w:bodyDiv w:val="1"/>
      <w:marLeft w:val="0"/>
      <w:marRight w:val="0"/>
      <w:marTop w:val="0"/>
      <w:marBottom w:val="0"/>
      <w:divBdr>
        <w:top w:val="none" w:sz="0" w:space="0" w:color="auto"/>
        <w:left w:val="none" w:sz="0" w:space="0" w:color="auto"/>
        <w:bottom w:val="none" w:sz="0" w:space="0" w:color="auto"/>
        <w:right w:val="none" w:sz="0" w:space="0" w:color="auto"/>
      </w:divBdr>
    </w:div>
    <w:div w:id="318314304">
      <w:bodyDiv w:val="1"/>
      <w:marLeft w:val="0"/>
      <w:marRight w:val="0"/>
      <w:marTop w:val="0"/>
      <w:marBottom w:val="0"/>
      <w:divBdr>
        <w:top w:val="none" w:sz="0" w:space="0" w:color="auto"/>
        <w:left w:val="none" w:sz="0" w:space="0" w:color="auto"/>
        <w:bottom w:val="none" w:sz="0" w:space="0" w:color="auto"/>
        <w:right w:val="none" w:sz="0" w:space="0" w:color="auto"/>
      </w:divBdr>
      <w:divsChild>
        <w:div w:id="416561450">
          <w:marLeft w:val="547"/>
          <w:marRight w:val="0"/>
          <w:marTop w:val="0"/>
          <w:marBottom w:val="0"/>
          <w:divBdr>
            <w:top w:val="none" w:sz="0" w:space="0" w:color="auto"/>
            <w:left w:val="none" w:sz="0" w:space="0" w:color="auto"/>
            <w:bottom w:val="none" w:sz="0" w:space="0" w:color="auto"/>
            <w:right w:val="none" w:sz="0" w:space="0" w:color="auto"/>
          </w:divBdr>
        </w:div>
      </w:divsChild>
    </w:div>
    <w:div w:id="336612891">
      <w:bodyDiv w:val="1"/>
      <w:marLeft w:val="0"/>
      <w:marRight w:val="0"/>
      <w:marTop w:val="0"/>
      <w:marBottom w:val="0"/>
      <w:divBdr>
        <w:top w:val="none" w:sz="0" w:space="0" w:color="auto"/>
        <w:left w:val="none" w:sz="0" w:space="0" w:color="auto"/>
        <w:bottom w:val="none" w:sz="0" w:space="0" w:color="auto"/>
        <w:right w:val="none" w:sz="0" w:space="0" w:color="auto"/>
      </w:divBdr>
    </w:div>
    <w:div w:id="353311841">
      <w:bodyDiv w:val="1"/>
      <w:marLeft w:val="0"/>
      <w:marRight w:val="0"/>
      <w:marTop w:val="0"/>
      <w:marBottom w:val="0"/>
      <w:divBdr>
        <w:top w:val="none" w:sz="0" w:space="0" w:color="auto"/>
        <w:left w:val="none" w:sz="0" w:space="0" w:color="auto"/>
        <w:bottom w:val="none" w:sz="0" w:space="0" w:color="auto"/>
        <w:right w:val="none" w:sz="0" w:space="0" w:color="auto"/>
      </w:divBdr>
    </w:div>
    <w:div w:id="377314322">
      <w:bodyDiv w:val="1"/>
      <w:marLeft w:val="0"/>
      <w:marRight w:val="0"/>
      <w:marTop w:val="0"/>
      <w:marBottom w:val="0"/>
      <w:divBdr>
        <w:top w:val="none" w:sz="0" w:space="0" w:color="auto"/>
        <w:left w:val="none" w:sz="0" w:space="0" w:color="auto"/>
        <w:bottom w:val="none" w:sz="0" w:space="0" w:color="auto"/>
        <w:right w:val="none" w:sz="0" w:space="0" w:color="auto"/>
      </w:divBdr>
      <w:divsChild>
        <w:div w:id="996298154">
          <w:marLeft w:val="92"/>
          <w:marRight w:val="92"/>
          <w:marTop w:val="92"/>
          <w:marBottom w:val="92"/>
          <w:divBdr>
            <w:top w:val="none" w:sz="0" w:space="0" w:color="auto"/>
            <w:left w:val="none" w:sz="0" w:space="0" w:color="auto"/>
            <w:bottom w:val="none" w:sz="0" w:space="0" w:color="auto"/>
            <w:right w:val="none" w:sz="0" w:space="0" w:color="auto"/>
          </w:divBdr>
          <w:divsChild>
            <w:div w:id="1001548859">
              <w:marLeft w:val="0"/>
              <w:marRight w:val="0"/>
              <w:marTop w:val="0"/>
              <w:marBottom w:val="0"/>
              <w:divBdr>
                <w:top w:val="none" w:sz="0" w:space="0" w:color="auto"/>
                <w:left w:val="none" w:sz="0" w:space="0" w:color="auto"/>
                <w:bottom w:val="none" w:sz="0" w:space="0" w:color="auto"/>
                <w:right w:val="none" w:sz="0" w:space="0" w:color="auto"/>
              </w:divBdr>
              <w:divsChild>
                <w:div w:id="377709780">
                  <w:marLeft w:val="0"/>
                  <w:marRight w:val="0"/>
                  <w:marTop w:val="0"/>
                  <w:marBottom w:val="0"/>
                  <w:divBdr>
                    <w:top w:val="none" w:sz="0" w:space="0" w:color="auto"/>
                    <w:left w:val="none" w:sz="0" w:space="0" w:color="auto"/>
                    <w:bottom w:val="none" w:sz="0" w:space="0" w:color="auto"/>
                    <w:right w:val="none" w:sz="0" w:space="0" w:color="auto"/>
                  </w:divBdr>
                  <w:divsChild>
                    <w:div w:id="130739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96627">
      <w:bodyDiv w:val="1"/>
      <w:marLeft w:val="0"/>
      <w:marRight w:val="0"/>
      <w:marTop w:val="0"/>
      <w:marBottom w:val="0"/>
      <w:divBdr>
        <w:top w:val="none" w:sz="0" w:space="0" w:color="auto"/>
        <w:left w:val="none" w:sz="0" w:space="0" w:color="auto"/>
        <w:bottom w:val="none" w:sz="0" w:space="0" w:color="auto"/>
        <w:right w:val="none" w:sz="0" w:space="0" w:color="auto"/>
      </w:divBdr>
    </w:div>
    <w:div w:id="460152205">
      <w:bodyDiv w:val="1"/>
      <w:marLeft w:val="0"/>
      <w:marRight w:val="0"/>
      <w:marTop w:val="0"/>
      <w:marBottom w:val="0"/>
      <w:divBdr>
        <w:top w:val="none" w:sz="0" w:space="0" w:color="auto"/>
        <w:left w:val="none" w:sz="0" w:space="0" w:color="auto"/>
        <w:bottom w:val="none" w:sz="0" w:space="0" w:color="auto"/>
        <w:right w:val="none" w:sz="0" w:space="0" w:color="auto"/>
      </w:divBdr>
    </w:div>
    <w:div w:id="464742741">
      <w:bodyDiv w:val="1"/>
      <w:marLeft w:val="0"/>
      <w:marRight w:val="0"/>
      <w:marTop w:val="0"/>
      <w:marBottom w:val="0"/>
      <w:divBdr>
        <w:top w:val="none" w:sz="0" w:space="0" w:color="auto"/>
        <w:left w:val="none" w:sz="0" w:space="0" w:color="auto"/>
        <w:bottom w:val="none" w:sz="0" w:space="0" w:color="auto"/>
        <w:right w:val="none" w:sz="0" w:space="0" w:color="auto"/>
      </w:divBdr>
    </w:div>
    <w:div w:id="466551955">
      <w:bodyDiv w:val="1"/>
      <w:marLeft w:val="0"/>
      <w:marRight w:val="0"/>
      <w:marTop w:val="0"/>
      <w:marBottom w:val="0"/>
      <w:divBdr>
        <w:top w:val="none" w:sz="0" w:space="0" w:color="auto"/>
        <w:left w:val="none" w:sz="0" w:space="0" w:color="auto"/>
        <w:bottom w:val="none" w:sz="0" w:space="0" w:color="auto"/>
        <w:right w:val="none" w:sz="0" w:space="0" w:color="auto"/>
      </w:divBdr>
    </w:div>
    <w:div w:id="487786530">
      <w:bodyDiv w:val="1"/>
      <w:marLeft w:val="0"/>
      <w:marRight w:val="0"/>
      <w:marTop w:val="0"/>
      <w:marBottom w:val="0"/>
      <w:divBdr>
        <w:top w:val="none" w:sz="0" w:space="0" w:color="auto"/>
        <w:left w:val="none" w:sz="0" w:space="0" w:color="auto"/>
        <w:bottom w:val="none" w:sz="0" w:space="0" w:color="auto"/>
        <w:right w:val="none" w:sz="0" w:space="0" w:color="auto"/>
      </w:divBdr>
    </w:div>
    <w:div w:id="499005094">
      <w:bodyDiv w:val="1"/>
      <w:marLeft w:val="0"/>
      <w:marRight w:val="0"/>
      <w:marTop w:val="0"/>
      <w:marBottom w:val="0"/>
      <w:divBdr>
        <w:top w:val="none" w:sz="0" w:space="0" w:color="auto"/>
        <w:left w:val="none" w:sz="0" w:space="0" w:color="auto"/>
        <w:bottom w:val="none" w:sz="0" w:space="0" w:color="auto"/>
        <w:right w:val="none" w:sz="0" w:space="0" w:color="auto"/>
      </w:divBdr>
    </w:div>
    <w:div w:id="499538745">
      <w:bodyDiv w:val="1"/>
      <w:marLeft w:val="0"/>
      <w:marRight w:val="0"/>
      <w:marTop w:val="0"/>
      <w:marBottom w:val="0"/>
      <w:divBdr>
        <w:top w:val="none" w:sz="0" w:space="0" w:color="auto"/>
        <w:left w:val="none" w:sz="0" w:space="0" w:color="auto"/>
        <w:bottom w:val="none" w:sz="0" w:space="0" w:color="auto"/>
        <w:right w:val="none" w:sz="0" w:space="0" w:color="auto"/>
      </w:divBdr>
    </w:div>
    <w:div w:id="509561343">
      <w:bodyDiv w:val="1"/>
      <w:marLeft w:val="0"/>
      <w:marRight w:val="0"/>
      <w:marTop w:val="0"/>
      <w:marBottom w:val="0"/>
      <w:divBdr>
        <w:top w:val="none" w:sz="0" w:space="0" w:color="auto"/>
        <w:left w:val="none" w:sz="0" w:space="0" w:color="auto"/>
        <w:bottom w:val="none" w:sz="0" w:space="0" w:color="auto"/>
        <w:right w:val="none" w:sz="0" w:space="0" w:color="auto"/>
      </w:divBdr>
    </w:div>
    <w:div w:id="537008446">
      <w:bodyDiv w:val="1"/>
      <w:marLeft w:val="0"/>
      <w:marRight w:val="0"/>
      <w:marTop w:val="0"/>
      <w:marBottom w:val="0"/>
      <w:divBdr>
        <w:top w:val="none" w:sz="0" w:space="0" w:color="auto"/>
        <w:left w:val="none" w:sz="0" w:space="0" w:color="auto"/>
        <w:bottom w:val="none" w:sz="0" w:space="0" w:color="auto"/>
        <w:right w:val="none" w:sz="0" w:space="0" w:color="auto"/>
      </w:divBdr>
    </w:div>
    <w:div w:id="551500078">
      <w:bodyDiv w:val="1"/>
      <w:marLeft w:val="0"/>
      <w:marRight w:val="0"/>
      <w:marTop w:val="0"/>
      <w:marBottom w:val="0"/>
      <w:divBdr>
        <w:top w:val="none" w:sz="0" w:space="0" w:color="auto"/>
        <w:left w:val="none" w:sz="0" w:space="0" w:color="auto"/>
        <w:bottom w:val="none" w:sz="0" w:space="0" w:color="auto"/>
        <w:right w:val="none" w:sz="0" w:space="0" w:color="auto"/>
      </w:divBdr>
    </w:div>
    <w:div w:id="576525254">
      <w:bodyDiv w:val="1"/>
      <w:marLeft w:val="0"/>
      <w:marRight w:val="0"/>
      <w:marTop w:val="0"/>
      <w:marBottom w:val="0"/>
      <w:divBdr>
        <w:top w:val="none" w:sz="0" w:space="0" w:color="auto"/>
        <w:left w:val="none" w:sz="0" w:space="0" w:color="auto"/>
        <w:bottom w:val="none" w:sz="0" w:space="0" w:color="auto"/>
        <w:right w:val="none" w:sz="0" w:space="0" w:color="auto"/>
      </w:divBdr>
    </w:div>
    <w:div w:id="600407336">
      <w:bodyDiv w:val="1"/>
      <w:marLeft w:val="0"/>
      <w:marRight w:val="0"/>
      <w:marTop w:val="0"/>
      <w:marBottom w:val="0"/>
      <w:divBdr>
        <w:top w:val="none" w:sz="0" w:space="0" w:color="auto"/>
        <w:left w:val="none" w:sz="0" w:space="0" w:color="auto"/>
        <w:bottom w:val="none" w:sz="0" w:space="0" w:color="auto"/>
        <w:right w:val="none" w:sz="0" w:space="0" w:color="auto"/>
      </w:divBdr>
    </w:div>
    <w:div w:id="618997156">
      <w:bodyDiv w:val="1"/>
      <w:marLeft w:val="0"/>
      <w:marRight w:val="0"/>
      <w:marTop w:val="0"/>
      <w:marBottom w:val="0"/>
      <w:divBdr>
        <w:top w:val="none" w:sz="0" w:space="0" w:color="auto"/>
        <w:left w:val="none" w:sz="0" w:space="0" w:color="auto"/>
        <w:bottom w:val="none" w:sz="0" w:space="0" w:color="auto"/>
        <w:right w:val="none" w:sz="0" w:space="0" w:color="auto"/>
      </w:divBdr>
    </w:div>
    <w:div w:id="619462151">
      <w:bodyDiv w:val="1"/>
      <w:marLeft w:val="0"/>
      <w:marRight w:val="0"/>
      <w:marTop w:val="0"/>
      <w:marBottom w:val="0"/>
      <w:divBdr>
        <w:top w:val="none" w:sz="0" w:space="0" w:color="auto"/>
        <w:left w:val="none" w:sz="0" w:space="0" w:color="auto"/>
        <w:bottom w:val="none" w:sz="0" w:space="0" w:color="auto"/>
        <w:right w:val="none" w:sz="0" w:space="0" w:color="auto"/>
      </w:divBdr>
    </w:div>
    <w:div w:id="625429930">
      <w:bodyDiv w:val="1"/>
      <w:marLeft w:val="0"/>
      <w:marRight w:val="0"/>
      <w:marTop w:val="0"/>
      <w:marBottom w:val="0"/>
      <w:divBdr>
        <w:top w:val="none" w:sz="0" w:space="0" w:color="auto"/>
        <w:left w:val="none" w:sz="0" w:space="0" w:color="auto"/>
        <w:bottom w:val="none" w:sz="0" w:space="0" w:color="auto"/>
        <w:right w:val="none" w:sz="0" w:space="0" w:color="auto"/>
      </w:divBdr>
    </w:div>
    <w:div w:id="626131236">
      <w:bodyDiv w:val="1"/>
      <w:marLeft w:val="0"/>
      <w:marRight w:val="0"/>
      <w:marTop w:val="0"/>
      <w:marBottom w:val="0"/>
      <w:divBdr>
        <w:top w:val="none" w:sz="0" w:space="0" w:color="auto"/>
        <w:left w:val="none" w:sz="0" w:space="0" w:color="auto"/>
        <w:bottom w:val="none" w:sz="0" w:space="0" w:color="auto"/>
        <w:right w:val="none" w:sz="0" w:space="0" w:color="auto"/>
      </w:divBdr>
      <w:divsChild>
        <w:div w:id="2130707990">
          <w:marLeft w:val="0"/>
          <w:marRight w:val="0"/>
          <w:marTop w:val="0"/>
          <w:marBottom w:val="0"/>
          <w:divBdr>
            <w:top w:val="none" w:sz="0" w:space="0" w:color="auto"/>
            <w:left w:val="none" w:sz="0" w:space="0" w:color="auto"/>
            <w:bottom w:val="none" w:sz="0" w:space="0" w:color="auto"/>
            <w:right w:val="none" w:sz="0" w:space="0" w:color="auto"/>
          </w:divBdr>
          <w:divsChild>
            <w:div w:id="284049021">
              <w:marLeft w:val="0"/>
              <w:marRight w:val="0"/>
              <w:marTop w:val="0"/>
              <w:marBottom w:val="0"/>
              <w:divBdr>
                <w:top w:val="none" w:sz="0" w:space="0" w:color="auto"/>
                <w:left w:val="none" w:sz="0" w:space="0" w:color="auto"/>
                <w:bottom w:val="none" w:sz="0" w:space="0" w:color="auto"/>
                <w:right w:val="none" w:sz="0" w:space="0" w:color="auto"/>
              </w:divBdr>
              <w:divsChild>
                <w:div w:id="274561750">
                  <w:marLeft w:val="0"/>
                  <w:marRight w:val="0"/>
                  <w:marTop w:val="0"/>
                  <w:marBottom w:val="0"/>
                  <w:divBdr>
                    <w:top w:val="none" w:sz="0" w:space="0" w:color="auto"/>
                    <w:left w:val="none" w:sz="0" w:space="0" w:color="auto"/>
                    <w:bottom w:val="none" w:sz="0" w:space="0" w:color="auto"/>
                    <w:right w:val="none" w:sz="0" w:space="0" w:color="auto"/>
                  </w:divBdr>
                  <w:divsChild>
                    <w:div w:id="1927613958">
                      <w:marLeft w:val="0"/>
                      <w:marRight w:val="0"/>
                      <w:marTop w:val="0"/>
                      <w:marBottom w:val="0"/>
                      <w:divBdr>
                        <w:top w:val="none" w:sz="0" w:space="0" w:color="auto"/>
                        <w:left w:val="none" w:sz="0" w:space="0" w:color="auto"/>
                        <w:bottom w:val="none" w:sz="0" w:space="0" w:color="auto"/>
                        <w:right w:val="none" w:sz="0" w:space="0" w:color="auto"/>
                      </w:divBdr>
                      <w:divsChild>
                        <w:div w:id="1464885905">
                          <w:marLeft w:val="0"/>
                          <w:marRight w:val="0"/>
                          <w:marTop w:val="0"/>
                          <w:marBottom w:val="0"/>
                          <w:divBdr>
                            <w:top w:val="none" w:sz="0" w:space="0" w:color="auto"/>
                            <w:left w:val="none" w:sz="0" w:space="0" w:color="auto"/>
                            <w:bottom w:val="none" w:sz="0" w:space="0" w:color="auto"/>
                            <w:right w:val="none" w:sz="0" w:space="0" w:color="auto"/>
                          </w:divBdr>
                          <w:divsChild>
                            <w:div w:id="1651442275">
                              <w:marLeft w:val="0"/>
                              <w:marRight w:val="0"/>
                              <w:marTop w:val="0"/>
                              <w:marBottom w:val="0"/>
                              <w:divBdr>
                                <w:top w:val="none" w:sz="0" w:space="0" w:color="auto"/>
                                <w:left w:val="none" w:sz="0" w:space="0" w:color="auto"/>
                                <w:bottom w:val="none" w:sz="0" w:space="0" w:color="auto"/>
                                <w:right w:val="none" w:sz="0" w:space="0" w:color="auto"/>
                              </w:divBdr>
                              <w:divsChild>
                                <w:div w:id="204409989">
                                  <w:marLeft w:val="0"/>
                                  <w:marRight w:val="0"/>
                                  <w:marTop w:val="0"/>
                                  <w:marBottom w:val="0"/>
                                  <w:divBdr>
                                    <w:top w:val="none" w:sz="0" w:space="0" w:color="auto"/>
                                    <w:left w:val="none" w:sz="0" w:space="0" w:color="auto"/>
                                    <w:bottom w:val="none" w:sz="0" w:space="0" w:color="auto"/>
                                    <w:right w:val="none" w:sz="0" w:space="0" w:color="auto"/>
                                  </w:divBdr>
                                  <w:divsChild>
                                    <w:div w:id="729422179">
                                      <w:marLeft w:val="0"/>
                                      <w:marRight w:val="0"/>
                                      <w:marTop w:val="0"/>
                                      <w:marBottom w:val="0"/>
                                      <w:divBdr>
                                        <w:top w:val="none" w:sz="0" w:space="0" w:color="auto"/>
                                        <w:left w:val="none" w:sz="0" w:space="0" w:color="auto"/>
                                        <w:bottom w:val="none" w:sz="0" w:space="0" w:color="auto"/>
                                        <w:right w:val="none" w:sz="0" w:space="0" w:color="auto"/>
                                      </w:divBdr>
                                      <w:divsChild>
                                        <w:div w:id="1128819680">
                                          <w:marLeft w:val="0"/>
                                          <w:marRight w:val="0"/>
                                          <w:marTop w:val="0"/>
                                          <w:marBottom w:val="0"/>
                                          <w:divBdr>
                                            <w:top w:val="none" w:sz="0" w:space="0" w:color="auto"/>
                                            <w:left w:val="none" w:sz="0" w:space="0" w:color="auto"/>
                                            <w:bottom w:val="none" w:sz="0" w:space="0" w:color="auto"/>
                                            <w:right w:val="none" w:sz="0" w:space="0" w:color="auto"/>
                                          </w:divBdr>
                                          <w:divsChild>
                                            <w:div w:id="2081710764">
                                              <w:marLeft w:val="0"/>
                                              <w:marRight w:val="0"/>
                                              <w:marTop w:val="0"/>
                                              <w:marBottom w:val="0"/>
                                              <w:divBdr>
                                                <w:top w:val="single" w:sz="6" w:space="0" w:color="F5F5F5"/>
                                                <w:left w:val="single" w:sz="6" w:space="0" w:color="F5F5F5"/>
                                                <w:bottom w:val="single" w:sz="6" w:space="0" w:color="F5F5F5"/>
                                                <w:right w:val="single" w:sz="6" w:space="0" w:color="F5F5F5"/>
                                              </w:divBdr>
                                              <w:divsChild>
                                                <w:div w:id="2137751077">
                                                  <w:marLeft w:val="0"/>
                                                  <w:marRight w:val="0"/>
                                                  <w:marTop w:val="0"/>
                                                  <w:marBottom w:val="0"/>
                                                  <w:divBdr>
                                                    <w:top w:val="none" w:sz="0" w:space="0" w:color="auto"/>
                                                    <w:left w:val="none" w:sz="0" w:space="0" w:color="auto"/>
                                                    <w:bottom w:val="none" w:sz="0" w:space="0" w:color="auto"/>
                                                    <w:right w:val="none" w:sz="0" w:space="0" w:color="auto"/>
                                                  </w:divBdr>
                                                  <w:divsChild>
                                                    <w:div w:id="1487089440">
                                                      <w:marLeft w:val="0"/>
                                                      <w:marRight w:val="0"/>
                                                      <w:marTop w:val="0"/>
                                                      <w:marBottom w:val="0"/>
                                                      <w:divBdr>
                                                        <w:top w:val="none" w:sz="0" w:space="0" w:color="auto"/>
                                                        <w:left w:val="none" w:sz="0" w:space="0" w:color="auto"/>
                                                        <w:bottom w:val="none" w:sz="0" w:space="0" w:color="auto"/>
                                                        <w:right w:val="none" w:sz="0" w:space="0" w:color="auto"/>
                                                      </w:divBdr>
                                                    </w:div>
                                                  </w:divsChild>
                                                </w:div>
                                                <w:div w:id="1921672406">
                                                  <w:marLeft w:val="0"/>
                                                  <w:marRight w:val="0"/>
                                                  <w:marTop w:val="0"/>
                                                  <w:marBottom w:val="0"/>
                                                  <w:divBdr>
                                                    <w:top w:val="none" w:sz="0" w:space="0" w:color="auto"/>
                                                    <w:left w:val="none" w:sz="0" w:space="0" w:color="auto"/>
                                                    <w:bottom w:val="none" w:sz="0" w:space="0" w:color="auto"/>
                                                    <w:right w:val="none" w:sz="0" w:space="0" w:color="auto"/>
                                                  </w:divBdr>
                                                  <w:divsChild>
                                                    <w:div w:id="419958979">
                                                      <w:marLeft w:val="0"/>
                                                      <w:marRight w:val="0"/>
                                                      <w:marTop w:val="0"/>
                                                      <w:marBottom w:val="0"/>
                                                      <w:divBdr>
                                                        <w:top w:val="none" w:sz="0" w:space="0" w:color="auto"/>
                                                        <w:left w:val="none" w:sz="0" w:space="0" w:color="auto"/>
                                                        <w:bottom w:val="none" w:sz="0" w:space="0" w:color="auto"/>
                                                        <w:right w:val="none" w:sz="0" w:space="0" w:color="auto"/>
                                                      </w:divBdr>
                                                      <w:divsChild>
                                                        <w:div w:id="1926457605">
                                                          <w:marLeft w:val="0"/>
                                                          <w:marRight w:val="0"/>
                                                          <w:marTop w:val="0"/>
                                                          <w:marBottom w:val="0"/>
                                                          <w:divBdr>
                                                            <w:top w:val="none" w:sz="0" w:space="0" w:color="auto"/>
                                                            <w:left w:val="none" w:sz="0" w:space="0" w:color="auto"/>
                                                            <w:bottom w:val="none" w:sz="0" w:space="0" w:color="auto"/>
                                                            <w:right w:val="none" w:sz="0" w:space="0" w:color="auto"/>
                                                          </w:divBdr>
                                                        </w:div>
                                                      </w:divsChild>
                                                    </w:div>
                                                    <w:div w:id="1769890135">
                                                      <w:marLeft w:val="0"/>
                                                      <w:marRight w:val="0"/>
                                                      <w:marTop w:val="0"/>
                                                      <w:marBottom w:val="0"/>
                                                      <w:divBdr>
                                                        <w:top w:val="none" w:sz="0" w:space="0" w:color="auto"/>
                                                        <w:left w:val="none" w:sz="0" w:space="0" w:color="auto"/>
                                                        <w:bottom w:val="none" w:sz="0" w:space="0" w:color="auto"/>
                                                        <w:right w:val="none" w:sz="0" w:space="0" w:color="auto"/>
                                                      </w:divBdr>
                                                      <w:divsChild>
                                                        <w:div w:id="402799770">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 w:id="1334072316">
                                              <w:marLeft w:val="0"/>
                                              <w:marRight w:val="0"/>
                                              <w:marTop w:val="0"/>
                                              <w:marBottom w:val="0"/>
                                              <w:divBdr>
                                                <w:top w:val="none" w:sz="0" w:space="0" w:color="auto"/>
                                                <w:left w:val="none" w:sz="0" w:space="0" w:color="auto"/>
                                                <w:bottom w:val="none" w:sz="0" w:space="0" w:color="auto"/>
                                                <w:right w:val="none" w:sz="0" w:space="0" w:color="auto"/>
                                              </w:divBdr>
                                              <w:divsChild>
                                                <w:div w:id="1753113976">
                                                  <w:marLeft w:val="0"/>
                                                  <w:marRight w:val="0"/>
                                                  <w:marTop w:val="180"/>
                                                  <w:marBottom w:val="0"/>
                                                  <w:divBdr>
                                                    <w:top w:val="single" w:sz="6" w:space="0" w:color="EBEBEB"/>
                                                    <w:left w:val="single" w:sz="6" w:space="0" w:color="EBEBEB"/>
                                                    <w:bottom w:val="single" w:sz="6" w:space="0" w:color="EBEBEB"/>
                                                    <w:right w:val="single" w:sz="6" w:space="0" w:color="EBEBEB"/>
                                                  </w:divBdr>
                                                  <w:divsChild>
                                                    <w:div w:id="432941132">
                                                      <w:marLeft w:val="0"/>
                                                      <w:marRight w:val="0"/>
                                                      <w:marTop w:val="0"/>
                                                      <w:marBottom w:val="0"/>
                                                      <w:divBdr>
                                                        <w:top w:val="none" w:sz="0" w:space="0" w:color="auto"/>
                                                        <w:left w:val="none" w:sz="0" w:space="0" w:color="auto"/>
                                                        <w:bottom w:val="none" w:sz="0" w:space="0" w:color="auto"/>
                                                        <w:right w:val="none" w:sz="0" w:space="0" w:color="auto"/>
                                                      </w:divBdr>
                                                      <w:divsChild>
                                                        <w:div w:id="36900869">
                                                          <w:marLeft w:val="0"/>
                                                          <w:marRight w:val="0"/>
                                                          <w:marTop w:val="0"/>
                                                          <w:marBottom w:val="0"/>
                                                          <w:divBdr>
                                                            <w:top w:val="none" w:sz="0" w:space="0" w:color="auto"/>
                                                            <w:left w:val="none" w:sz="0" w:space="0" w:color="auto"/>
                                                            <w:bottom w:val="none" w:sz="0" w:space="0" w:color="auto"/>
                                                            <w:right w:val="none" w:sz="0" w:space="0" w:color="auto"/>
                                                          </w:divBdr>
                                                        </w:div>
                                                      </w:divsChild>
                                                    </w:div>
                                                    <w:div w:id="447696560">
                                                      <w:marLeft w:val="0"/>
                                                      <w:marRight w:val="0"/>
                                                      <w:marTop w:val="0"/>
                                                      <w:marBottom w:val="0"/>
                                                      <w:divBdr>
                                                        <w:top w:val="none" w:sz="0" w:space="0" w:color="auto"/>
                                                        <w:left w:val="none" w:sz="0" w:space="0" w:color="auto"/>
                                                        <w:bottom w:val="none" w:sz="0" w:space="0" w:color="auto"/>
                                                        <w:right w:val="none" w:sz="0" w:space="0" w:color="auto"/>
                                                      </w:divBdr>
                                                      <w:divsChild>
                                                        <w:div w:id="209804428">
                                                          <w:marLeft w:val="0"/>
                                                          <w:marRight w:val="0"/>
                                                          <w:marTop w:val="0"/>
                                                          <w:marBottom w:val="0"/>
                                                          <w:divBdr>
                                                            <w:top w:val="none" w:sz="0" w:space="0" w:color="auto"/>
                                                            <w:left w:val="none" w:sz="0" w:space="0" w:color="auto"/>
                                                            <w:bottom w:val="none" w:sz="0" w:space="0" w:color="auto"/>
                                                            <w:right w:val="none" w:sz="0" w:space="0" w:color="auto"/>
                                                          </w:divBdr>
                                                          <w:divsChild>
                                                            <w:div w:id="841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39915">
                              <w:marLeft w:val="0"/>
                              <w:marRight w:val="0"/>
                              <w:marTop w:val="240"/>
                              <w:marBottom w:val="525"/>
                              <w:divBdr>
                                <w:top w:val="none" w:sz="0" w:space="0" w:color="auto"/>
                                <w:left w:val="none" w:sz="0" w:space="0" w:color="auto"/>
                                <w:bottom w:val="none" w:sz="0" w:space="0" w:color="auto"/>
                                <w:right w:val="none" w:sz="0" w:space="0" w:color="auto"/>
                              </w:divBdr>
                              <w:divsChild>
                                <w:div w:id="57698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85484">
              <w:marLeft w:val="0"/>
              <w:marRight w:val="0"/>
              <w:marTop w:val="0"/>
              <w:marBottom w:val="0"/>
              <w:divBdr>
                <w:top w:val="single" w:sz="6" w:space="31" w:color="F0C36D"/>
                <w:left w:val="single" w:sz="6" w:space="31" w:color="F0C36D"/>
                <w:bottom w:val="single" w:sz="6" w:space="31" w:color="F0C36D"/>
                <w:right w:val="single" w:sz="6" w:space="31" w:color="F0C36D"/>
              </w:divBdr>
            </w:div>
            <w:div w:id="439222495">
              <w:marLeft w:val="0"/>
              <w:marRight w:val="0"/>
              <w:marTop w:val="0"/>
              <w:marBottom w:val="0"/>
              <w:divBdr>
                <w:top w:val="single" w:sz="6" w:space="31" w:color="F0C36D"/>
                <w:left w:val="single" w:sz="6" w:space="31" w:color="F0C36D"/>
                <w:bottom w:val="single" w:sz="6" w:space="31" w:color="F0C36D"/>
                <w:right w:val="single" w:sz="6" w:space="31" w:color="F0C36D"/>
              </w:divBdr>
            </w:div>
            <w:div w:id="1829129628">
              <w:marLeft w:val="0"/>
              <w:marRight w:val="0"/>
              <w:marTop w:val="0"/>
              <w:marBottom w:val="0"/>
              <w:divBdr>
                <w:top w:val="single" w:sz="6" w:space="31" w:color="F0C36D"/>
                <w:left w:val="single" w:sz="6" w:space="31" w:color="F0C36D"/>
                <w:bottom w:val="single" w:sz="6" w:space="31" w:color="F0C36D"/>
                <w:right w:val="single" w:sz="6" w:space="31" w:color="F0C36D"/>
              </w:divBdr>
            </w:div>
            <w:div w:id="7876140">
              <w:marLeft w:val="0"/>
              <w:marRight w:val="0"/>
              <w:marTop w:val="0"/>
              <w:marBottom w:val="0"/>
              <w:divBdr>
                <w:top w:val="single" w:sz="6" w:space="31" w:color="F0C36D"/>
                <w:left w:val="single" w:sz="6" w:space="31" w:color="F0C36D"/>
                <w:bottom w:val="single" w:sz="6" w:space="31" w:color="F0C36D"/>
                <w:right w:val="single" w:sz="6" w:space="31" w:color="F0C36D"/>
              </w:divBdr>
            </w:div>
            <w:div w:id="1914309993">
              <w:marLeft w:val="0"/>
              <w:marRight w:val="0"/>
              <w:marTop w:val="0"/>
              <w:marBottom w:val="0"/>
              <w:divBdr>
                <w:top w:val="single" w:sz="6" w:space="0" w:color="EBEBEB"/>
                <w:left w:val="none" w:sz="0" w:space="0" w:color="auto"/>
                <w:bottom w:val="none" w:sz="0" w:space="0" w:color="auto"/>
                <w:right w:val="none" w:sz="0" w:space="0" w:color="auto"/>
              </w:divBdr>
            </w:div>
          </w:divsChild>
        </w:div>
        <w:div w:id="1325208292">
          <w:marLeft w:val="0"/>
          <w:marRight w:val="0"/>
          <w:marTop w:val="0"/>
          <w:marBottom w:val="0"/>
          <w:divBdr>
            <w:top w:val="single" w:sz="6" w:space="5" w:color="CCCCCC"/>
            <w:left w:val="single" w:sz="6" w:space="0" w:color="CCCCCC"/>
            <w:bottom w:val="single" w:sz="6" w:space="5" w:color="CCCCCC"/>
            <w:right w:val="single" w:sz="6" w:space="0" w:color="CCCCCC"/>
          </w:divBdr>
          <w:divsChild>
            <w:div w:id="1731492094">
              <w:marLeft w:val="0"/>
              <w:marRight w:val="0"/>
              <w:marTop w:val="0"/>
              <w:marBottom w:val="0"/>
              <w:divBdr>
                <w:top w:val="none" w:sz="0" w:space="0" w:color="auto"/>
                <w:left w:val="none" w:sz="0" w:space="0" w:color="auto"/>
                <w:bottom w:val="none" w:sz="0" w:space="0" w:color="auto"/>
                <w:right w:val="none" w:sz="0" w:space="0" w:color="auto"/>
              </w:divBdr>
            </w:div>
          </w:divsChild>
        </w:div>
        <w:div w:id="703407304">
          <w:marLeft w:val="0"/>
          <w:marRight w:val="0"/>
          <w:marTop w:val="0"/>
          <w:marBottom w:val="0"/>
          <w:divBdr>
            <w:top w:val="single" w:sz="6" w:space="5" w:color="FFFFFF"/>
            <w:left w:val="single" w:sz="6" w:space="7" w:color="FFFFFF"/>
            <w:bottom w:val="single" w:sz="6" w:space="5" w:color="FFFFFF"/>
            <w:right w:val="single" w:sz="6" w:space="7" w:color="FFFFFF"/>
          </w:divBdr>
          <w:divsChild>
            <w:div w:id="1275794941">
              <w:marLeft w:val="0"/>
              <w:marRight w:val="0"/>
              <w:marTop w:val="0"/>
              <w:marBottom w:val="0"/>
              <w:divBdr>
                <w:top w:val="none" w:sz="0" w:space="0" w:color="auto"/>
                <w:left w:val="none" w:sz="0" w:space="0" w:color="auto"/>
                <w:bottom w:val="none" w:sz="0" w:space="0" w:color="auto"/>
                <w:right w:val="none" w:sz="0" w:space="0" w:color="auto"/>
              </w:divBdr>
            </w:div>
          </w:divsChild>
        </w:div>
        <w:div w:id="1899200275">
          <w:marLeft w:val="0"/>
          <w:marRight w:val="0"/>
          <w:marTop w:val="0"/>
          <w:marBottom w:val="0"/>
          <w:divBdr>
            <w:top w:val="single" w:sz="6" w:space="5" w:color="FFFFFF"/>
            <w:left w:val="single" w:sz="6" w:space="7" w:color="FFFFFF"/>
            <w:bottom w:val="single" w:sz="6" w:space="5" w:color="FFFFFF"/>
            <w:right w:val="single" w:sz="6" w:space="7" w:color="FFFFFF"/>
          </w:divBdr>
          <w:divsChild>
            <w:div w:id="752698699">
              <w:marLeft w:val="0"/>
              <w:marRight w:val="0"/>
              <w:marTop w:val="0"/>
              <w:marBottom w:val="0"/>
              <w:divBdr>
                <w:top w:val="none" w:sz="0" w:space="0" w:color="auto"/>
                <w:left w:val="none" w:sz="0" w:space="0" w:color="auto"/>
                <w:bottom w:val="none" w:sz="0" w:space="0" w:color="auto"/>
                <w:right w:val="none" w:sz="0" w:space="0" w:color="auto"/>
              </w:divBdr>
            </w:div>
          </w:divsChild>
        </w:div>
        <w:div w:id="304047822">
          <w:marLeft w:val="0"/>
          <w:marRight w:val="0"/>
          <w:marTop w:val="0"/>
          <w:marBottom w:val="0"/>
          <w:divBdr>
            <w:top w:val="single" w:sz="6" w:space="5" w:color="FFFFFF"/>
            <w:left w:val="single" w:sz="6" w:space="7" w:color="FFFFFF"/>
            <w:bottom w:val="single" w:sz="6" w:space="5" w:color="FFFFFF"/>
            <w:right w:val="single" w:sz="6" w:space="7" w:color="FFFFFF"/>
          </w:divBdr>
          <w:divsChild>
            <w:div w:id="40272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861377">
      <w:bodyDiv w:val="1"/>
      <w:marLeft w:val="0"/>
      <w:marRight w:val="0"/>
      <w:marTop w:val="0"/>
      <w:marBottom w:val="0"/>
      <w:divBdr>
        <w:top w:val="none" w:sz="0" w:space="0" w:color="auto"/>
        <w:left w:val="none" w:sz="0" w:space="0" w:color="auto"/>
        <w:bottom w:val="none" w:sz="0" w:space="0" w:color="auto"/>
        <w:right w:val="none" w:sz="0" w:space="0" w:color="auto"/>
      </w:divBdr>
    </w:div>
    <w:div w:id="632105133">
      <w:bodyDiv w:val="1"/>
      <w:marLeft w:val="0"/>
      <w:marRight w:val="0"/>
      <w:marTop w:val="0"/>
      <w:marBottom w:val="0"/>
      <w:divBdr>
        <w:top w:val="none" w:sz="0" w:space="0" w:color="auto"/>
        <w:left w:val="none" w:sz="0" w:space="0" w:color="auto"/>
        <w:bottom w:val="none" w:sz="0" w:space="0" w:color="auto"/>
        <w:right w:val="none" w:sz="0" w:space="0" w:color="auto"/>
      </w:divBdr>
    </w:div>
    <w:div w:id="637686860">
      <w:bodyDiv w:val="1"/>
      <w:marLeft w:val="0"/>
      <w:marRight w:val="0"/>
      <w:marTop w:val="0"/>
      <w:marBottom w:val="0"/>
      <w:divBdr>
        <w:top w:val="none" w:sz="0" w:space="0" w:color="auto"/>
        <w:left w:val="none" w:sz="0" w:space="0" w:color="auto"/>
        <w:bottom w:val="none" w:sz="0" w:space="0" w:color="auto"/>
        <w:right w:val="none" w:sz="0" w:space="0" w:color="auto"/>
      </w:divBdr>
    </w:div>
    <w:div w:id="668362660">
      <w:bodyDiv w:val="1"/>
      <w:marLeft w:val="0"/>
      <w:marRight w:val="0"/>
      <w:marTop w:val="0"/>
      <w:marBottom w:val="0"/>
      <w:divBdr>
        <w:top w:val="none" w:sz="0" w:space="0" w:color="auto"/>
        <w:left w:val="none" w:sz="0" w:space="0" w:color="auto"/>
        <w:bottom w:val="none" w:sz="0" w:space="0" w:color="auto"/>
        <w:right w:val="none" w:sz="0" w:space="0" w:color="auto"/>
      </w:divBdr>
    </w:div>
    <w:div w:id="668598849">
      <w:bodyDiv w:val="1"/>
      <w:marLeft w:val="0"/>
      <w:marRight w:val="0"/>
      <w:marTop w:val="0"/>
      <w:marBottom w:val="0"/>
      <w:divBdr>
        <w:top w:val="none" w:sz="0" w:space="0" w:color="auto"/>
        <w:left w:val="none" w:sz="0" w:space="0" w:color="auto"/>
        <w:bottom w:val="none" w:sz="0" w:space="0" w:color="auto"/>
        <w:right w:val="none" w:sz="0" w:space="0" w:color="auto"/>
      </w:divBdr>
      <w:divsChild>
        <w:div w:id="550076254">
          <w:marLeft w:val="547"/>
          <w:marRight w:val="0"/>
          <w:marTop w:val="0"/>
          <w:marBottom w:val="0"/>
          <w:divBdr>
            <w:top w:val="none" w:sz="0" w:space="0" w:color="auto"/>
            <w:left w:val="none" w:sz="0" w:space="0" w:color="auto"/>
            <w:bottom w:val="none" w:sz="0" w:space="0" w:color="auto"/>
            <w:right w:val="none" w:sz="0" w:space="0" w:color="auto"/>
          </w:divBdr>
        </w:div>
        <w:div w:id="1886604143">
          <w:marLeft w:val="1166"/>
          <w:marRight w:val="0"/>
          <w:marTop w:val="0"/>
          <w:marBottom w:val="0"/>
          <w:divBdr>
            <w:top w:val="none" w:sz="0" w:space="0" w:color="auto"/>
            <w:left w:val="none" w:sz="0" w:space="0" w:color="auto"/>
            <w:bottom w:val="none" w:sz="0" w:space="0" w:color="auto"/>
            <w:right w:val="none" w:sz="0" w:space="0" w:color="auto"/>
          </w:divBdr>
        </w:div>
        <w:div w:id="2088578393">
          <w:marLeft w:val="1166"/>
          <w:marRight w:val="0"/>
          <w:marTop w:val="0"/>
          <w:marBottom w:val="0"/>
          <w:divBdr>
            <w:top w:val="none" w:sz="0" w:space="0" w:color="auto"/>
            <w:left w:val="none" w:sz="0" w:space="0" w:color="auto"/>
            <w:bottom w:val="none" w:sz="0" w:space="0" w:color="auto"/>
            <w:right w:val="none" w:sz="0" w:space="0" w:color="auto"/>
          </w:divBdr>
        </w:div>
        <w:div w:id="1048264306">
          <w:marLeft w:val="1166"/>
          <w:marRight w:val="0"/>
          <w:marTop w:val="0"/>
          <w:marBottom w:val="0"/>
          <w:divBdr>
            <w:top w:val="none" w:sz="0" w:space="0" w:color="auto"/>
            <w:left w:val="none" w:sz="0" w:space="0" w:color="auto"/>
            <w:bottom w:val="none" w:sz="0" w:space="0" w:color="auto"/>
            <w:right w:val="none" w:sz="0" w:space="0" w:color="auto"/>
          </w:divBdr>
        </w:div>
      </w:divsChild>
    </w:div>
    <w:div w:id="673382758">
      <w:bodyDiv w:val="1"/>
      <w:marLeft w:val="0"/>
      <w:marRight w:val="0"/>
      <w:marTop w:val="0"/>
      <w:marBottom w:val="0"/>
      <w:divBdr>
        <w:top w:val="none" w:sz="0" w:space="0" w:color="auto"/>
        <w:left w:val="none" w:sz="0" w:space="0" w:color="auto"/>
        <w:bottom w:val="none" w:sz="0" w:space="0" w:color="auto"/>
        <w:right w:val="none" w:sz="0" w:space="0" w:color="auto"/>
      </w:divBdr>
    </w:div>
    <w:div w:id="700086872">
      <w:bodyDiv w:val="1"/>
      <w:marLeft w:val="0"/>
      <w:marRight w:val="0"/>
      <w:marTop w:val="0"/>
      <w:marBottom w:val="0"/>
      <w:divBdr>
        <w:top w:val="none" w:sz="0" w:space="0" w:color="auto"/>
        <w:left w:val="none" w:sz="0" w:space="0" w:color="auto"/>
        <w:bottom w:val="none" w:sz="0" w:space="0" w:color="auto"/>
        <w:right w:val="none" w:sz="0" w:space="0" w:color="auto"/>
      </w:divBdr>
    </w:div>
    <w:div w:id="703946778">
      <w:bodyDiv w:val="1"/>
      <w:marLeft w:val="0"/>
      <w:marRight w:val="0"/>
      <w:marTop w:val="0"/>
      <w:marBottom w:val="0"/>
      <w:divBdr>
        <w:top w:val="none" w:sz="0" w:space="0" w:color="auto"/>
        <w:left w:val="none" w:sz="0" w:space="0" w:color="auto"/>
        <w:bottom w:val="none" w:sz="0" w:space="0" w:color="auto"/>
        <w:right w:val="none" w:sz="0" w:space="0" w:color="auto"/>
      </w:divBdr>
    </w:div>
    <w:div w:id="709955945">
      <w:bodyDiv w:val="1"/>
      <w:marLeft w:val="0"/>
      <w:marRight w:val="0"/>
      <w:marTop w:val="0"/>
      <w:marBottom w:val="0"/>
      <w:divBdr>
        <w:top w:val="none" w:sz="0" w:space="0" w:color="auto"/>
        <w:left w:val="none" w:sz="0" w:space="0" w:color="auto"/>
        <w:bottom w:val="none" w:sz="0" w:space="0" w:color="auto"/>
        <w:right w:val="none" w:sz="0" w:space="0" w:color="auto"/>
      </w:divBdr>
    </w:div>
    <w:div w:id="716972472">
      <w:bodyDiv w:val="1"/>
      <w:marLeft w:val="0"/>
      <w:marRight w:val="0"/>
      <w:marTop w:val="0"/>
      <w:marBottom w:val="0"/>
      <w:divBdr>
        <w:top w:val="none" w:sz="0" w:space="0" w:color="auto"/>
        <w:left w:val="none" w:sz="0" w:space="0" w:color="auto"/>
        <w:bottom w:val="none" w:sz="0" w:space="0" w:color="auto"/>
        <w:right w:val="none" w:sz="0" w:space="0" w:color="auto"/>
      </w:divBdr>
    </w:div>
    <w:div w:id="736974527">
      <w:bodyDiv w:val="1"/>
      <w:marLeft w:val="0"/>
      <w:marRight w:val="0"/>
      <w:marTop w:val="0"/>
      <w:marBottom w:val="0"/>
      <w:divBdr>
        <w:top w:val="none" w:sz="0" w:space="0" w:color="auto"/>
        <w:left w:val="none" w:sz="0" w:space="0" w:color="auto"/>
        <w:bottom w:val="none" w:sz="0" w:space="0" w:color="auto"/>
        <w:right w:val="none" w:sz="0" w:space="0" w:color="auto"/>
      </w:divBdr>
    </w:div>
    <w:div w:id="738332806">
      <w:bodyDiv w:val="1"/>
      <w:marLeft w:val="0"/>
      <w:marRight w:val="0"/>
      <w:marTop w:val="0"/>
      <w:marBottom w:val="0"/>
      <w:divBdr>
        <w:top w:val="none" w:sz="0" w:space="0" w:color="auto"/>
        <w:left w:val="none" w:sz="0" w:space="0" w:color="auto"/>
        <w:bottom w:val="none" w:sz="0" w:space="0" w:color="auto"/>
        <w:right w:val="none" w:sz="0" w:space="0" w:color="auto"/>
      </w:divBdr>
    </w:div>
    <w:div w:id="745881776">
      <w:bodyDiv w:val="1"/>
      <w:marLeft w:val="0"/>
      <w:marRight w:val="0"/>
      <w:marTop w:val="0"/>
      <w:marBottom w:val="0"/>
      <w:divBdr>
        <w:top w:val="none" w:sz="0" w:space="0" w:color="auto"/>
        <w:left w:val="none" w:sz="0" w:space="0" w:color="auto"/>
        <w:bottom w:val="none" w:sz="0" w:space="0" w:color="auto"/>
        <w:right w:val="none" w:sz="0" w:space="0" w:color="auto"/>
      </w:divBdr>
    </w:div>
    <w:div w:id="783768333">
      <w:bodyDiv w:val="1"/>
      <w:marLeft w:val="0"/>
      <w:marRight w:val="0"/>
      <w:marTop w:val="0"/>
      <w:marBottom w:val="0"/>
      <w:divBdr>
        <w:top w:val="none" w:sz="0" w:space="0" w:color="auto"/>
        <w:left w:val="none" w:sz="0" w:space="0" w:color="auto"/>
        <w:bottom w:val="none" w:sz="0" w:space="0" w:color="auto"/>
        <w:right w:val="none" w:sz="0" w:space="0" w:color="auto"/>
      </w:divBdr>
    </w:div>
    <w:div w:id="811480547">
      <w:bodyDiv w:val="1"/>
      <w:marLeft w:val="0"/>
      <w:marRight w:val="0"/>
      <w:marTop w:val="0"/>
      <w:marBottom w:val="0"/>
      <w:divBdr>
        <w:top w:val="none" w:sz="0" w:space="0" w:color="auto"/>
        <w:left w:val="none" w:sz="0" w:space="0" w:color="auto"/>
        <w:bottom w:val="none" w:sz="0" w:space="0" w:color="auto"/>
        <w:right w:val="none" w:sz="0" w:space="0" w:color="auto"/>
      </w:divBdr>
    </w:div>
    <w:div w:id="829104931">
      <w:bodyDiv w:val="1"/>
      <w:marLeft w:val="0"/>
      <w:marRight w:val="0"/>
      <w:marTop w:val="0"/>
      <w:marBottom w:val="0"/>
      <w:divBdr>
        <w:top w:val="none" w:sz="0" w:space="0" w:color="auto"/>
        <w:left w:val="none" w:sz="0" w:space="0" w:color="auto"/>
        <w:bottom w:val="none" w:sz="0" w:space="0" w:color="auto"/>
        <w:right w:val="none" w:sz="0" w:space="0" w:color="auto"/>
      </w:divBdr>
    </w:div>
    <w:div w:id="846403805">
      <w:bodyDiv w:val="1"/>
      <w:marLeft w:val="0"/>
      <w:marRight w:val="0"/>
      <w:marTop w:val="0"/>
      <w:marBottom w:val="0"/>
      <w:divBdr>
        <w:top w:val="none" w:sz="0" w:space="0" w:color="auto"/>
        <w:left w:val="none" w:sz="0" w:space="0" w:color="auto"/>
        <w:bottom w:val="none" w:sz="0" w:space="0" w:color="auto"/>
        <w:right w:val="none" w:sz="0" w:space="0" w:color="auto"/>
      </w:divBdr>
    </w:div>
    <w:div w:id="855921528">
      <w:bodyDiv w:val="1"/>
      <w:marLeft w:val="0"/>
      <w:marRight w:val="0"/>
      <w:marTop w:val="0"/>
      <w:marBottom w:val="0"/>
      <w:divBdr>
        <w:top w:val="none" w:sz="0" w:space="0" w:color="auto"/>
        <w:left w:val="none" w:sz="0" w:space="0" w:color="auto"/>
        <w:bottom w:val="none" w:sz="0" w:space="0" w:color="auto"/>
        <w:right w:val="none" w:sz="0" w:space="0" w:color="auto"/>
      </w:divBdr>
    </w:div>
    <w:div w:id="859274939">
      <w:bodyDiv w:val="1"/>
      <w:marLeft w:val="0"/>
      <w:marRight w:val="0"/>
      <w:marTop w:val="0"/>
      <w:marBottom w:val="0"/>
      <w:divBdr>
        <w:top w:val="none" w:sz="0" w:space="0" w:color="auto"/>
        <w:left w:val="none" w:sz="0" w:space="0" w:color="auto"/>
        <w:bottom w:val="none" w:sz="0" w:space="0" w:color="auto"/>
        <w:right w:val="none" w:sz="0" w:space="0" w:color="auto"/>
      </w:divBdr>
    </w:div>
    <w:div w:id="868877935">
      <w:bodyDiv w:val="1"/>
      <w:marLeft w:val="0"/>
      <w:marRight w:val="0"/>
      <w:marTop w:val="0"/>
      <w:marBottom w:val="0"/>
      <w:divBdr>
        <w:top w:val="none" w:sz="0" w:space="0" w:color="auto"/>
        <w:left w:val="none" w:sz="0" w:space="0" w:color="auto"/>
        <w:bottom w:val="none" w:sz="0" w:space="0" w:color="auto"/>
        <w:right w:val="none" w:sz="0" w:space="0" w:color="auto"/>
      </w:divBdr>
    </w:div>
    <w:div w:id="875001914">
      <w:bodyDiv w:val="1"/>
      <w:marLeft w:val="0"/>
      <w:marRight w:val="0"/>
      <w:marTop w:val="0"/>
      <w:marBottom w:val="0"/>
      <w:divBdr>
        <w:top w:val="none" w:sz="0" w:space="0" w:color="auto"/>
        <w:left w:val="none" w:sz="0" w:space="0" w:color="auto"/>
        <w:bottom w:val="none" w:sz="0" w:space="0" w:color="auto"/>
        <w:right w:val="none" w:sz="0" w:space="0" w:color="auto"/>
      </w:divBdr>
    </w:div>
    <w:div w:id="882907345">
      <w:bodyDiv w:val="1"/>
      <w:marLeft w:val="0"/>
      <w:marRight w:val="0"/>
      <w:marTop w:val="0"/>
      <w:marBottom w:val="0"/>
      <w:divBdr>
        <w:top w:val="none" w:sz="0" w:space="0" w:color="auto"/>
        <w:left w:val="none" w:sz="0" w:space="0" w:color="auto"/>
        <w:bottom w:val="none" w:sz="0" w:space="0" w:color="auto"/>
        <w:right w:val="none" w:sz="0" w:space="0" w:color="auto"/>
      </w:divBdr>
    </w:div>
    <w:div w:id="899096844">
      <w:bodyDiv w:val="1"/>
      <w:marLeft w:val="0"/>
      <w:marRight w:val="0"/>
      <w:marTop w:val="0"/>
      <w:marBottom w:val="0"/>
      <w:divBdr>
        <w:top w:val="none" w:sz="0" w:space="0" w:color="auto"/>
        <w:left w:val="none" w:sz="0" w:space="0" w:color="auto"/>
        <w:bottom w:val="none" w:sz="0" w:space="0" w:color="auto"/>
        <w:right w:val="none" w:sz="0" w:space="0" w:color="auto"/>
      </w:divBdr>
    </w:div>
    <w:div w:id="914319772">
      <w:bodyDiv w:val="1"/>
      <w:marLeft w:val="0"/>
      <w:marRight w:val="0"/>
      <w:marTop w:val="0"/>
      <w:marBottom w:val="0"/>
      <w:divBdr>
        <w:top w:val="none" w:sz="0" w:space="0" w:color="auto"/>
        <w:left w:val="none" w:sz="0" w:space="0" w:color="auto"/>
        <w:bottom w:val="none" w:sz="0" w:space="0" w:color="auto"/>
        <w:right w:val="none" w:sz="0" w:space="0" w:color="auto"/>
      </w:divBdr>
    </w:div>
    <w:div w:id="914365276">
      <w:bodyDiv w:val="1"/>
      <w:marLeft w:val="0"/>
      <w:marRight w:val="0"/>
      <w:marTop w:val="0"/>
      <w:marBottom w:val="0"/>
      <w:divBdr>
        <w:top w:val="none" w:sz="0" w:space="0" w:color="auto"/>
        <w:left w:val="none" w:sz="0" w:space="0" w:color="auto"/>
        <w:bottom w:val="none" w:sz="0" w:space="0" w:color="auto"/>
        <w:right w:val="none" w:sz="0" w:space="0" w:color="auto"/>
      </w:divBdr>
    </w:div>
    <w:div w:id="914625771">
      <w:bodyDiv w:val="1"/>
      <w:marLeft w:val="0"/>
      <w:marRight w:val="0"/>
      <w:marTop w:val="0"/>
      <w:marBottom w:val="0"/>
      <w:divBdr>
        <w:top w:val="none" w:sz="0" w:space="0" w:color="auto"/>
        <w:left w:val="none" w:sz="0" w:space="0" w:color="auto"/>
        <w:bottom w:val="none" w:sz="0" w:space="0" w:color="auto"/>
        <w:right w:val="none" w:sz="0" w:space="0" w:color="auto"/>
      </w:divBdr>
    </w:div>
    <w:div w:id="928657791">
      <w:bodyDiv w:val="1"/>
      <w:marLeft w:val="0"/>
      <w:marRight w:val="0"/>
      <w:marTop w:val="0"/>
      <w:marBottom w:val="0"/>
      <w:divBdr>
        <w:top w:val="none" w:sz="0" w:space="0" w:color="auto"/>
        <w:left w:val="none" w:sz="0" w:space="0" w:color="auto"/>
        <w:bottom w:val="none" w:sz="0" w:space="0" w:color="auto"/>
        <w:right w:val="none" w:sz="0" w:space="0" w:color="auto"/>
      </w:divBdr>
    </w:div>
    <w:div w:id="953484512">
      <w:bodyDiv w:val="1"/>
      <w:marLeft w:val="0"/>
      <w:marRight w:val="0"/>
      <w:marTop w:val="0"/>
      <w:marBottom w:val="0"/>
      <w:divBdr>
        <w:top w:val="none" w:sz="0" w:space="0" w:color="auto"/>
        <w:left w:val="none" w:sz="0" w:space="0" w:color="auto"/>
        <w:bottom w:val="none" w:sz="0" w:space="0" w:color="auto"/>
        <w:right w:val="none" w:sz="0" w:space="0" w:color="auto"/>
      </w:divBdr>
    </w:div>
    <w:div w:id="966810672">
      <w:bodyDiv w:val="1"/>
      <w:marLeft w:val="0"/>
      <w:marRight w:val="0"/>
      <w:marTop w:val="0"/>
      <w:marBottom w:val="0"/>
      <w:divBdr>
        <w:top w:val="none" w:sz="0" w:space="0" w:color="auto"/>
        <w:left w:val="none" w:sz="0" w:space="0" w:color="auto"/>
        <w:bottom w:val="none" w:sz="0" w:space="0" w:color="auto"/>
        <w:right w:val="none" w:sz="0" w:space="0" w:color="auto"/>
      </w:divBdr>
    </w:div>
    <w:div w:id="967391653">
      <w:bodyDiv w:val="1"/>
      <w:marLeft w:val="1200"/>
      <w:marRight w:val="1200"/>
      <w:marTop w:val="0"/>
      <w:marBottom w:val="0"/>
      <w:divBdr>
        <w:top w:val="single" w:sz="6" w:space="0" w:color="AAAAAA"/>
        <w:left w:val="single" w:sz="6" w:space="0" w:color="AAAAAA"/>
        <w:bottom w:val="single" w:sz="6" w:space="0" w:color="AAAAAA"/>
        <w:right w:val="single" w:sz="6" w:space="0" w:color="AAAAAA"/>
      </w:divBdr>
      <w:divsChild>
        <w:div w:id="649863615">
          <w:marLeft w:val="0"/>
          <w:marRight w:val="0"/>
          <w:marTop w:val="0"/>
          <w:marBottom w:val="0"/>
          <w:divBdr>
            <w:top w:val="none" w:sz="0" w:space="0" w:color="auto"/>
            <w:left w:val="none" w:sz="0" w:space="0" w:color="auto"/>
            <w:bottom w:val="none" w:sz="0" w:space="0" w:color="auto"/>
            <w:right w:val="none" w:sz="0" w:space="0" w:color="auto"/>
          </w:divBdr>
          <w:divsChild>
            <w:div w:id="101653390">
              <w:marLeft w:val="0"/>
              <w:marRight w:val="3600"/>
              <w:marTop w:val="0"/>
              <w:marBottom w:val="0"/>
              <w:divBdr>
                <w:top w:val="none" w:sz="0" w:space="0" w:color="auto"/>
                <w:left w:val="none" w:sz="0" w:space="0" w:color="auto"/>
                <w:bottom w:val="none" w:sz="0" w:space="0" w:color="auto"/>
                <w:right w:val="single" w:sz="6" w:space="0" w:color="CCCCCC"/>
              </w:divBdr>
              <w:divsChild>
                <w:div w:id="1632591455">
                  <w:marLeft w:val="0"/>
                  <w:marRight w:val="0"/>
                  <w:marTop w:val="0"/>
                  <w:marBottom w:val="0"/>
                  <w:divBdr>
                    <w:top w:val="none" w:sz="0" w:space="0" w:color="auto"/>
                    <w:left w:val="none" w:sz="0" w:space="0" w:color="auto"/>
                    <w:bottom w:val="none" w:sz="0" w:space="0" w:color="auto"/>
                    <w:right w:val="none" w:sz="0" w:space="0" w:color="auto"/>
                  </w:divBdr>
                  <w:divsChild>
                    <w:div w:id="1578637133">
                      <w:marLeft w:val="0"/>
                      <w:marRight w:val="0"/>
                      <w:marTop w:val="0"/>
                      <w:marBottom w:val="0"/>
                      <w:divBdr>
                        <w:top w:val="none" w:sz="0" w:space="0" w:color="auto"/>
                        <w:left w:val="none" w:sz="0" w:space="0" w:color="auto"/>
                        <w:bottom w:val="none" w:sz="0" w:space="0" w:color="auto"/>
                        <w:right w:val="none" w:sz="0" w:space="0" w:color="auto"/>
                      </w:divBdr>
                      <w:divsChild>
                        <w:div w:id="1908682297">
                          <w:marLeft w:val="0"/>
                          <w:marRight w:val="0"/>
                          <w:marTop w:val="0"/>
                          <w:marBottom w:val="0"/>
                          <w:divBdr>
                            <w:top w:val="none" w:sz="0" w:space="0" w:color="auto"/>
                            <w:left w:val="none" w:sz="0" w:space="0" w:color="auto"/>
                            <w:bottom w:val="none" w:sz="0" w:space="0" w:color="auto"/>
                            <w:right w:val="none" w:sz="0" w:space="0" w:color="auto"/>
                          </w:divBdr>
                          <w:divsChild>
                            <w:div w:id="10789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727475">
      <w:bodyDiv w:val="1"/>
      <w:marLeft w:val="0"/>
      <w:marRight w:val="0"/>
      <w:marTop w:val="0"/>
      <w:marBottom w:val="0"/>
      <w:divBdr>
        <w:top w:val="none" w:sz="0" w:space="0" w:color="auto"/>
        <w:left w:val="none" w:sz="0" w:space="0" w:color="auto"/>
        <w:bottom w:val="none" w:sz="0" w:space="0" w:color="auto"/>
        <w:right w:val="none" w:sz="0" w:space="0" w:color="auto"/>
      </w:divBdr>
    </w:div>
    <w:div w:id="997657062">
      <w:bodyDiv w:val="1"/>
      <w:marLeft w:val="0"/>
      <w:marRight w:val="0"/>
      <w:marTop w:val="0"/>
      <w:marBottom w:val="0"/>
      <w:divBdr>
        <w:top w:val="none" w:sz="0" w:space="0" w:color="auto"/>
        <w:left w:val="none" w:sz="0" w:space="0" w:color="auto"/>
        <w:bottom w:val="none" w:sz="0" w:space="0" w:color="auto"/>
        <w:right w:val="none" w:sz="0" w:space="0" w:color="auto"/>
      </w:divBdr>
    </w:div>
    <w:div w:id="1004013053">
      <w:bodyDiv w:val="1"/>
      <w:marLeft w:val="0"/>
      <w:marRight w:val="0"/>
      <w:marTop w:val="0"/>
      <w:marBottom w:val="0"/>
      <w:divBdr>
        <w:top w:val="none" w:sz="0" w:space="0" w:color="auto"/>
        <w:left w:val="none" w:sz="0" w:space="0" w:color="auto"/>
        <w:bottom w:val="none" w:sz="0" w:space="0" w:color="auto"/>
        <w:right w:val="none" w:sz="0" w:space="0" w:color="auto"/>
      </w:divBdr>
    </w:div>
    <w:div w:id="1009064930">
      <w:bodyDiv w:val="1"/>
      <w:marLeft w:val="0"/>
      <w:marRight w:val="0"/>
      <w:marTop w:val="0"/>
      <w:marBottom w:val="0"/>
      <w:divBdr>
        <w:top w:val="none" w:sz="0" w:space="0" w:color="auto"/>
        <w:left w:val="none" w:sz="0" w:space="0" w:color="auto"/>
        <w:bottom w:val="none" w:sz="0" w:space="0" w:color="auto"/>
        <w:right w:val="none" w:sz="0" w:space="0" w:color="auto"/>
      </w:divBdr>
    </w:div>
    <w:div w:id="1011221906">
      <w:bodyDiv w:val="1"/>
      <w:marLeft w:val="0"/>
      <w:marRight w:val="0"/>
      <w:marTop w:val="0"/>
      <w:marBottom w:val="0"/>
      <w:divBdr>
        <w:top w:val="none" w:sz="0" w:space="0" w:color="auto"/>
        <w:left w:val="none" w:sz="0" w:space="0" w:color="auto"/>
        <w:bottom w:val="none" w:sz="0" w:space="0" w:color="auto"/>
        <w:right w:val="none" w:sz="0" w:space="0" w:color="auto"/>
      </w:divBdr>
    </w:div>
    <w:div w:id="1013142426">
      <w:bodyDiv w:val="1"/>
      <w:marLeft w:val="0"/>
      <w:marRight w:val="0"/>
      <w:marTop w:val="0"/>
      <w:marBottom w:val="0"/>
      <w:divBdr>
        <w:top w:val="none" w:sz="0" w:space="0" w:color="auto"/>
        <w:left w:val="none" w:sz="0" w:space="0" w:color="auto"/>
        <w:bottom w:val="none" w:sz="0" w:space="0" w:color="auto"/>
        <w:right w:val="none" w:sz="0" w:space="0" w:color="auto"/>
      </w:divBdr>
    </w:div>
    <w:div w:id="1073042742">
      <w:bodyDiv w:val="1"/>
      <w:marLeft w:val="0"/>
      <w:marRight w:val="0"/>
      <w:marTop w:val="0"/>
      <w:marBottom w:val="0"/>
      <w:divBdr>
        <w:top w:val="none" w:sz="0" w:space="0" w:color="auto"/>
        <w:left w:val="none" w:sz="0" w:space="0" w:color="auto"/>
        <w:bottom w:val="none" w:sz="0" w:space="0" w:color="auto"/>
        <w:right w:val="none" w:sz="0" w:space="0" w:color="auto"/>
      </w:divBdr>
    </w:div>
    <w:div w:id="1081222299">
      <w:bodyDiv w:val="1"/>
      <w:marLeft w:val="0"/>
      <w:marRight w:val="0"/>
      <w:marTop w:val="0"/>
      <w:marBottom w:val="0"/>
      <w:divBdr>
        <w:top w:val="none" w:sz="0" w:space="0" w:color="auto"/>
        <w:left w:val="none" w:sz="0" w:space="0" w:color="auto"/>
        <w:bottom w:val="none" w:sz="0" w:space="0" w:color="auto"/>
        <w:right w:val="none" w:sz="0" w:space="0" w:color="auto"/>
      </w:divBdr>
    </w:div>
    <w:div w:id="1087383031">
      <w:bodyDiv w:val="1"/>
      <w:marLeft w:val="0"/>
      <w:marRight w:val="0"/>
      <w:marTop w:val="0"/>
      <w:marBottom w:val="0"/>
      <w:divBdr>
        <w:top w:val="none" w:sz="0" w:space="0" w:color="auto"/>
        <w:left w:val="none" w:sz="0" w:space="0" w:color="auto"/>
        <w:bottom w:val="none" w:sz="0" w:space="0" w:color="auto"/>
        <w:right w:val="none" w:sz="0" w:space="0" w:color="auto"/>
      </w:divBdr>
    </w:div>
    <w:div w:id="1091201813">
      <w:bodyDiv w:val="1"/>
      <w:marLeft w:val="0"/>
      <w:marRight w:val="0"/>
      <w:marTop w:val="0"/>
      <w:marBottom w:val="0"/>
      <w:divBdr>
        <w:top w:val="none" w:sz="0" w:space="0" w:color="auto"/>
        <w:left w:val="none" w:sz="0" w:space="0" w:color="auto"/>
        <w:bottom w:val="none" w:sz="0" w:space="0" w:color="auto"/>
        <w:right w:val="none" w:sz="0" w:space="0" w:color="auto"/>
      </w:divBdr>
    </w:div>
    <w:div w:id="1094519828">
      <w:bodyDiv w:val="1"/>
      <w:marLeft w:val="0"/>
      <w:marRight w:val="0"/>
      <w:marTop w:val="0"/>
      <w:marBottom w:val="0"/>
      <w:divBdr>
        <w:top w:val="none" w:sz="0" w:space="0" w:color="auto"/>
        <w:left w:val="none" w:sz="0" w:space="0" w:color="auto"/>
        <w:bottom w:val="none" w:sz="0" w:space="0" w:color="auto"/>
        <w:right w:val="none" w:sz="0" w:space="0" w:color="auto"/>
      </w:divBdr>
    </w:div>
    <w:div w:id="1104571478">
      <w:bodyDiv w:val="1"/>
      <w:marLeft w:val="0"/>
      <w:marRight w:val="0"/>
      <w:marTop w:val="0"/>
      <w:marBottom w:val="0"/>
      <w:divBdr>
        <w:top w:val="none" w:sz="0" w:space="0" w:color="auto"/>
        <w:left w:val="none" w:sz="0" w:space="0" w:color="auto"/>
        <w:bottom w:val="none" w:sz="0" w:space="0" w:color="auto"/>
        <w:right w:val="none" w:sz="0" w:space="0" w:color="auto"/>
      </w:divBdr>
    </w:div>
    <w:div w:id="1153983001">
      <w:bodyDiv w:val="1"/>
      <w:marLeft w:val="0"/>
      <w:marRight w:val="0"/>
      <w:marTop w:val="0"/>
      <w:marBottom w:val="0"/>
      <w:divBdr>
        <w:top w:val="none" w:sz="0" w:space="0" w:color="auto"/>
        <w:left w:val="none" w:sz="0" w:space="0" w:color="auto"/>
        <w:bottom w:val="none" w:sz="0" w:space="0" w:color="auto"/>
        <w:right w:val="none" w:sz="0" w:space="0" w:color="auto"/>
      </w:divBdr>
    </w:div>
    <w:div w:id="1194229715">
      <w:bodyDiv w:val="1"/>
      <w:marLeft w:val="0"/>
      <w:marRight w:val="0"/>
      <w:marTop w:val="0"/>
      <w:marBottom w:val="0"/>
      <w:divBdr>
        <w:top w:val="none" w:sz="0" w:space="0" w:color="auto"/>
        <w:left w:val="none" w:sz="0" w:space="0" w:color="auto"/>
        <w:bottom w:val="none" w:sz="0" w:space="0" w:color="auto"/>
        <w:right w:val="none" w:sz="0" w:space="0" w:color="auto"/>
      </w:divBdr>
      <w:divsChild>
        <w:div w:id="1911767290">
          <w:marLeft w:val="0"/>
          <w:marRight w:val="0"/>
          <w:marTop w:val="0"/>
          <w:marBottom w:val="0"/>
          <w:divBdr>
            <w:top w:val="none" w:sz="0" w:space="0" w:color="auto"/>
            <w:left w:val="none" w:sz="0" w:space="0" w:color="auto"/>
            <w:bottom w:val="none" w:sz="0" w:space="0" w:color="auto"/>
            <w:right w:val="none" w:sz="0" w:space="0" w:color="auto"/>
          </w:divBdr>
          <w:divsChild>
            <w:div w:id="34027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64775">
      <w:bodyDiv w:val="1"/>
      <w:marLeft w:val="0"/>
      <w:marRight w:val="0"/>
      <w:marTop w:val="0"/>
      <w:marBottom w:val="0"/>
      <w:divBdr>
        <w:top w:val="none" w:sz="0" w:space="0" w:color="auto"/>
        <w:left w:val="none" w:sz="0" w:space="0" w:color="auto"/>
        <w:bottom w:val="none" w:sz="0" w:space="0" w:color="auto"/>
        <w:right w:val="none" w:sz="0" w:space="0" w:color="auto"/>
      </w:divBdr>
      <w:divsChild>
        <w:div w:id="1882282409">
          <w:marLeft w:val="1440"/>
          <w:marRight w:val="0"/>
          <w:marTop w:val="0"/>
          <w:marBottom w:val="0"/>
          <w:divBdr>
            <w:top w:val="none" w:sz="0" w:space="0" w:color="auto"/>
            <w:left w:val="none" w:sz="0" w:space="0" w:color="auto"/>
            <w:bottom w:val="none" w:sz="0" w:space="0" w:color="auto"/>
            <w:right w:val="none" w:sz="0" w:space="0" w:color="auto"/>
          </w:divBdr>
        </w:div>
        <w:div w:id="2122912647">
          <w:marLeft w:val="1440"/>
          <w:marRight w:val="0"/>
          <w:marTop w:val="0"/>
          <w:marBottom w:val="0"/>
          <w:divBdr>
            <w:top w:val="none" w:sz="0" w:space="0" w:color="auto"/>
            <w:left w:val="none" w:sz="0" w:space="0" w:color="auto"/>
            <w:bottom w:val="none" w:sz="0" w:space="0" w:color="auto"/>
            <w:right w:val="none" w:sz="0" w:space="0" w:color="auto"/>
          </w:divBdr>
        </w:div>
        <w:div w:id="1403986701">
          <w:marLeft w:val="1440"/>
          <w:marRight w:val="0"/>
          <w:marTop w:val="0"/>
          <w:marBottom w:val="0"/>
          <w:divBdr>
            <w:top w:val="none" w:sz="0" w:space="0" w:color="auto"/>
            <w:left w:val="none" w:sz="0" w:space="0" w:color="auto"/>
            <w:bottom w:val="none" w:sz="0" w:space="0" w:color="auto"/>
            <w:right w:val="none" w:sz="0" w:space="0" w:color="auto"/>
          </w:divBdr>
        </w:div>
      </w:divsChild>
    </w:div>
    <w:div w:id="1207257252">
      <w:bodyDiv w:val="1"/>
      <w:marLeft w:val="0"/>
      <w:marRight w:val="0"/>
      <w:marTop w:val="0"/>
      <w:marBottom w:val="0"/>
      <w:divBdr>
        <w:top w:val="none" w:sz="0" w:space="0" w:color="auto"/>
        <w:left w:val="none" w:sz="0" w:space="0" w:color="auto"/>
        <w:bottom w:val="none" w:sz="0" w:space="0" w:color="auto"/>
        <w:right w:val="none" w:sz="0" w:space="0" w:color="auto"/>
      </w:divBdr>
    </w:div>
    <w:div w:id="1220705158">
      <w:bodyDiv w:val="1"/>
      <w:marLeft w:val="0"/>
      <w:marRight w:val="0"/>
      <w:marTop w:val="0"/>
      <w:marBottom w:val="0"/>
      <w:divBdr>
        <w:top w:val="none" w:sz="0" w:space="0" w:color="auto"/>
        <w:left w:val="none" w:sz="0" w:space="0" w:color="auto"/>
        <w:bottom w:val="none" w:sz="0" w:space="0" w:color="auto"/>
        <w:right w:val="none" w:sz="0" w:space="0" w:color="auto"/>
      </w:divBdr>
    </w:div>
    <w:div w:id="1237007899">
      <w:bodyDiv w:val="1"/>
      <w:marLeft w:val="0"/>
      <w:marRight w:val="0"/>
      <w:marTop w:val="0"/>
      <w:marBottom w:val="0"/>
      <w:divBdr>
        <w:top w:val="none" w:sz="0" w:space="0" w:color="auto"/>
        <w:left w:val="none" w:sz="0" w:space="0" w:color="auto"/>
        <w:bottom w:val="none" w:sz="0" w:space="0" w:color="auto"/>
        <w:right w:val="none" w:sz="0" w:space="0" w:color="auto"/>
      </w:divBdr>
    </w:div>
    <w:div w:id="1243687634">
      <w:bodyDiv w:val="1"/>
      <w:marLeft w:val="0"/>
      <w:marRight w:val="0"/>
      <w:marTop w:val="0"/>
      <w:marBottom w:val="0"/>
      <w:divBdr>
        <w:top w:val="none" w:sz="0" w:space="0" w:color="auto"/>
        <w:left w:val="none" w:sz="0" w:space="0" w:color="auto"/>
        <w:bottom w:val="none" w:sz="0" w:space="0" w:color="auto"/>
        <w:right w:val="none" w:sz="0" w:space="0" w:color="auto"/>
      </w:divBdr>
    </w:div>
    <w:div w:id="1262951554">
      <w:bodyDiv w:val="1"/>
      <w:marLeft w:val="0"/>
      <w:marRight w:val="0"/>
      <w:marTop w:val="0"/>
      <w:marBottom w:val="0"/>
      <w:divBdr>
        <w:top w:val="none" w:sz="0" w:space="0" w:color="auto"/>
        <w:left w:val="none" w:sz="0" w:space="0" w:color="auto"/>
        <w:bottom w:val="none" w:sz="0" w:space="0" w:color="auto"/>
        <w:right w:val="none" w:sz="0" w:space="0" w:color="auto"/>
      </w:divBdr>
    </w:div>
    <w:div w:id="1264605710">
      <w:bodyDiv w:val="1"/>
      <w:marLeft w:val="0"/>
      <w:marRight w:val="0"/>
      <w:marTop w:val="0"/>
      <w:marBottom w:val="0"/>
      <w:divBdr>
        <w:top w:val="none" w:sz="0" w:space="0" w:color="auto"/>
        <w:left w:val="none" w:sz="0" w:space="0" w:color="auto"/>
        <w:bottom w:val="none" w:sz="0" w:space="0" w:color="auto"/>
        <w:right w:val="none" w:sz="0" w:space="0" w:color="auto"/>
      </w:divBdr>
    </w:div>
    <w:div w:id="1265066430">
      <w:bodyDiv w:val="1"/>
      <w:marLeft w:val="0"/>
      <w:marRight w:val="0"/>
      <w:marTop w:val="0"/>
      <w:marBottom w:val="0"/>
      <w:divBdr>
        <w:top w:val="none" w:sz="0" w:space="0" w:color="auto"/>
        <w:left w:val="none" w:sz="0" w:space="0" w:color="auto"/>
        <w:bottom w:val="none" w:sz="0" w:space="0" w:color="auto"/>
        <w:right w:val="none" w:sz="0" w:space="0" w:color="auto"/>
      </w:divBdr>
    </w:div>
    <w:div w:id="1279333613">
      <w:bodyDiv w:val="1"/>
      <w:marLeft w:val="0"/>
      <w:marRight w:val="0"/>
      <w:marTop w:val="0"/>
      <w:marBottom w:val="0"/>
      <w:divBdr>
        <w:top w:val="none" w:sz="0" w:space="0" w:color="auto"/>
        <w:left w:val="none" w:sz="0" w:space="0" w:color="auto"/>
        <w:bottom w:val="none" w:sz="0" w:space="0" w:color="auto"/>
        <w:right w:val="none" w:sz="0" w:space="0" w:color="auto"/>
      </w:divBdr>
    </w:div>
    <w:div w:id="1295678630">
      <w:bodyDiv w:val="1"/>
      <w:marLeft w:val="0"/>
      <w:marRight w:val="0"/>
      <w:marTop w:val="0"/>
      <w:marBottom w:val="0"/>
      <w:divBdr>
        <w:top w:val="none" w:sz="0" w:space="0" w:color="auto"/>
        <w:left w:val="none" w:sz="0" w:space="0" w:color="auto"/>
        <w:bottom w:val="none" w:sz="0" w:space="0" w:color="auto"/>
        <w:right w:val="none" w:sz="0" w:space="0" w:color="auto"/>
      </w:divBdr>
    </w:div>
    <w:div w:id="1301763761">
      <w:bodyDiv w:val="1"/>
      <w:marLeft w:val="0"/>
      <w:marRight w:val="0"/>
      <w:marTop w:val="0"/>
      <w:marBottom w:val="0"/>
      <w:divBdr>
        <w:top w:val="none" w:sz="0" w:space="0" w:color="auto"/>
        <w:left w:val="none" w:sz="0" w:space="0" w:color="auto"/>
        <w:bottom w:val="none" w:sz="0" w:space="0" w:color="auto"/>
        <w:right w:val="none" w:sz="0" w:space="0" w:color="auto"/>
      </w:divBdr>
    </w:div>
    <w:div w:id="1307392923">
      <w:bodyDiv w:val="1"/>
      <w:marLeft w:val="0"/>
      <w:marRight w:val="0"/>
      <w:marTop w:val="0"/>
      <w:marBottom w:val="0"/>
      <w:divBdr>
        <w:top w:val="none" w:sz="0" w:space="0" w:color="auto"/>
        <w:left w:val="none" w:sz="0" w:space="0" w:color="auto"/>
        <w:bottom w:val="none" w:sz="0" w:space="0" w:color="auto"/>
        <w:right w:val="none" w:sz="0" w:space="0" w:color="auto"/>
      </w:divBdr>
    </w:div>
    <w:div w:id="1328248978">
      <w:bodyDiv w:val="1"/>
      <w:marLeft w:val="0"/>
      <w:marRight w:val="0"/>
      <w:marTop w:val="0"/>
      <w:marBottom w:val="0"/>
      <w:divBdr>
        <w:top w:val="none" w:sz="0" w:space="0" w:color="auto"/>
        <w:left w:val="none" w:sz="0" w:space="0" w:color="auto"/>
        <w:bottom w:val="none" w:sz="0" w:space="0" w:color="auto"/>
        <w:right w:val="none" w:sz="0" w:space="0" w:color="auto"/>
      </w:divBdr>
      <w:divsChild>
        <w:div w:id="1748381659">
          <w:marLeft w:val="547"/>
          <w:marRight w:val="0"/>
          <w:marTop w:val="0"/>
          <w:marBottom w:val="360"/>
          <w:divBdr>
            <w:top w:val="none" w:sz="0" w:space="0" w:color="auto"/>
            <w:left w:val="none" w:sz="0" w:space="0" w:color="auto"/>
            <w:bottom w:val="none" w:sz="0" w:space="0" w:color="auto"/>
            <w:right w:val="none" w:sz="0" w:space="0" w:color="auto"/>
          </w:divBdr>
        </w:div>
        <w:div w:id="29301717">
          <w:marLeft w:val="1267"/>
          <w:marRight w:val="0"/>
          <w:marTop w:val="0"/>
          <w:marBottom w:val="360"/>
          <w:divBdr>
            <w:top w:val="none" w:sz="0" w:space="0" w:color="auto"/>
            <w:left w:val="none" w:sz="0" w:space="0" w:color="auto"/>
            <w:bottom w:val="none" w:sz="0" w:space="0" w:color="auto"/>
            <w:right w:val="none" w:sz="0" w:space="0" w:color="auto"/>
          </w:divBdr>
        </w:div>
        <w:div w:id="1221359893">
          <w:marLeft w:val="1267"/>
          <w:marRight w:val="0"/>
          <w:marTop w:val="0"/>
          <w:marBottom w:val="360"/>
          <w:divBdr>
            <w:top w:val="none" w:sz="0" w:space="0" w:color="auto"/>
            <w:left w:val="none" w:sz="0" w:space="0" w:color="auto"/>
            <w:bottom w:val="none" w:sz="0" w:space="0" w:color="auto"/>
            <w:right w:val="none" w:sz="0" w:space="0" w:color="auto"/>
          </w:divBdr>
        </w:div>
        <w:div w:id="952325617">
          <w:marLeft w:val="547"/>
          <w:marRight w:val="0"/>
          <w:marTop w:val="0"/>
          <w:marBottom w:val="360"/>
          <w:divBdr>
            <w:top w:val="none" w:sz="0" w:space="0" w:color="auto"/>
            <w:left w:val="none" w:sz="0" w:space="0" w:color="auto"/>
            <w:bottom w:val="none" w:sz="0" w:space="0" w:color="auto"/>
            <w:right w:val="none" w:sz="0" w:space="0" w:color="auto"/>
          </w:divBdr>
        </w:div>
        <w:div w:id="372197295">
          <w:marLeft w:val="1267"/>
          <w:marRight w:val="0"/>
          <w:marTop w:val="0"/>
          <w:marBottom w:val="360"/>
          <w:divBdr>
            <w:top w:val="none" w:sz="0" w:space="0" w:color="auto"/>
            <w:left w:val="none" w:sz="0" w:space="0" w:color="auto"/>
            <w:bottom w:val="none" w:sz="0" w:space="0" w:color="auto"/>
            <w:right w:val="none" w:sz="0" w:space="0" w:color="auto"/>
          </w:divBdr>
        </w:div>
        <w:div w:id="777674644">
          <w:marLeft w:val="1267"/>
          <w:marRight w:val="0"/>
          <w:marTop w:val="0"/>
          <w:marBottom w:val="360"/>
          <w:divBdr>
            <w:top w:val="none" w:sz="0" w:space="0" w:color="auto"/>
            <w:left w:val="none" w:sz="0" w:space="0" w:color="auto"/>
            <w:bottom w:val="none" w:sz="0" w:space="0" w:color="auto"/>
            <w:right w:val="none" w:sz="0" w:space="0" w:color="auto"/>
          </w:divBdr>
        </w:div>
        <w:div w:id="1711610215">
          <w:marLeft w:val="1987"/>
          <w:marRight w:val="0"/>
          <w:marTop w:val="0"/>
          <w:marBottom w:val="360"/>
          <w:divBdr>
            <w:top w:val="none" w:sz="0" w:space="0" w:color="auto"/>
            <w:left w:val="none" w:sz="0" w:space="0" w:color="auto"/>
            <w:bottom w:val="none" w:sz="0" w:space="0" w:color="auto"/>
            <w:right w:val="none" w:sz="0" w:space="0" w:color="auto"/>
          </w:divBdr>
        </w:div>
        <w:div w:id="577906366">
          <w:marLeft w:val="1987"/>
          <w:marRight w:val="0"/>
          <w:marTop w:val="0"/>
          <w:marBottom w:val="360"/>
          <w:divBdr>
            <w:top w:val="none" w:sz="0" w:space="0" w:color="auto"/>
            <w:left w:val="none" w:sz="0" w:space="0" w:color="auto"/>
            <w:bottom w:val="none" w:sz="0" w:space="0" w:color="auto"/>
            <w:right w:val="none" w:sz="0" w:space="0" w:color="auto"/>
          </w:divBdr>
        </w:div>
      </w:divsChild>
    </w:div>
    <w:div w:id="1329479852">
      <w:bodyDiv w:val="1"/>
      <w:marLeft w:val="0"/>
      <w:marRight w:val="0"/>
      <w:marTop w:val="0"/>
      <w:marBottom w:val="0"/>
      <w:divBdr>
        <w:top w:val="none" w:sz="0" w:space="0" w:color="auto"/>
        <w:left w:val="none" w:sz="0" w:space="0" w:color="auto"/>
        <w:bottom w:val="none" w:sz="0" w:space="0" w:color="auto"/>
        <w:right w:val="none" w:sz="0" w:space="0" w:color="auto"/>
      </w:divBdr>
    </w:div>
    <w:div w:id="1337150350">
      <w:bodyDiv w:val="1"/>
      <w:marLeft w:val="0"/>
      <w:marRight w:val="0"/>
      <w:marTop w:val="0"/>
      <w:marBottom w:val="0"/>
      <w:divBdr>
        <w:top w:val="none" w:sz="0" w:space="0" w:color="auto"/>
        <w:left w:val="none" w:sz="0" w:space="0" w:color="auto"/>
        <w:bottom w:val="none" w:sz="0" w:space="0" w:color="auto"/>
        <w:right w:val="none" w:sz="0" w:space="0" w:color="auto"/>
      </w:divBdr>
    </w:div>
    <w:div w:id="1369449719">
      <w:bodyDiv w:val="1"/>
      <w:marLeft w:val="0"/>
      <w:marRight w:val="0"/>
      <w:marTop w:val="0"/>
      <w:marBottom w:val="0"/>
      <w:divBdr>
        <w:top w:val="none" w:sz="0" w:space="0" w:color="auto"/>
        <w:left w:val="none" w:sz="0" w:space="0" w:color="auto"/>
        <w:bottom w:val="none" w:sz="0" w:space="0" w:color="auto"/>
        <w:right w:val="none" w:sz="0" w:space="0" w:color="auto"/>
      </w:divBdr>
    </w:div>
    <w:div w:id="1372804775">
      <w:bodyDiv w:val="1"/>
      <w:marLeft w:val="0"/>
      <w:marRight w:val="0"/>
      <w:marTop w:val="0"/>
      <w:marBottom w:val="0"/>
      <w:divBdr>
        <w:top w:val="none" w:sz="0" w:space="0" w:color="auto"/>
        <w:left w:val="none" w:sz="0" w:space="0" w:color="auto"/>
        <w:bottom w:val="none" w:sz="0" w:space="0" w:color="auto"/>
        <w:right w:val="none" w:sz="0" w:space="0" w:color="auto"/>
      </w:divBdr>
    </w:div>
    <w:div w:id="1379891818">
      <w:bodyDiv w:val="1"/>
      <w:marLeft w:val="0"/>
      <w:marRight w:val="0"/>
      <w:marTop w:val="0"/>
      <w:marBottom w:val="0"/>
      <w:divBdr>
        <w:top w:val="none" w:sz="0" w:space="0" w:color="auto"/>
        <w:left w:val="none" w:sz="0" w:space="0" w:color="auto"/>
        <w:bottom w:val="none" w:sz="0" w:space="0" w:color="auto"/>
        <w:right w:val="none" w:sz="0" w:space="0" w:color="auto"/>
      </w:divBdr>
    </w:div>
    <w:div w:id="1415082703">
      <w:bodyDiv w:val="1"/>
      <w:marLeft w:val="0"/>
      <w:marRight w:val="0"/>
      <w:marTop w:val="0"/>
      <w:marBottom w:val="0"/>
      <w:divBdr>
        <w:top w:val="none" w:sz="0" w:space="0" w:color="auto"/>
        <w:left w:val="none" w:sz="0" w:space="0" w:color="auto"/>
        <w:bottom w:val="none" w:sz="0" w:space="0" w:color="auto"/>
        <w:right w:val="none" w:sz="0" w:space="0" w:color="auto"/>
      </w:divBdr>
    </w:div>
    <w:div w:id="1465125232">
      <w:bodyDiv w:val="1"/>
      <w:marLeft w:val="0"/>
      <w:marRight w:val="0"/>
      <w:marTop w:val="0"/>
      <w:marBottom w:val="0"/>
      <w:divBdr>
        <w:top w:val="none" w:sz="0" w:space="0" w:color="auto"/>
        <w:left w:val="none" w:sz="0" w:space="0" w:color="auto"/>
        <w:bottom w:val="none" w:sz="0" w:space="0" w:color="auto"/>
        <w:right w:val="none" w:sz="0" w:space="0" w:color="auto"/>
      </w:divBdr>
    </w:div>
    <w:div w:id="1471747055">
      <w:bodyDiv w:val="1"/>
      <w:marLeft w:val="0"/>
      <w:marRight w:val="0"/>
      <w:marTop w:val="0"/>
      <w:marBottom w:val="0"/>
      <w:divBdr>
        <w:top w:val="none" w:sz="0" w:space="0" w:color="auto"/>
        <w:left w:val="none" w:sz="0" w:space="0" w:color="auto"/>
        <w:bottom w:val="none" w:sz="0" w:space="0" w:color="auto"/>
        <w:right w:val="none" w:sz="0" w:space="0" w:color="auto"/>
      </w:divBdr>
    </w:div>
    <w:div w:id="1481581292">
      <w:bodyDiv w:val="1"/>
      <w:marLeft w:val="0"/>
      <w:marRight w:val="0"/>
      <w:marTop w:val="0"/>
      <w:marBottom w:val="0"/>
      <w:divBdr>
        <w:top w:val="none" w:sz="0" w:space="0" w:color="auto"/>
        <w:left w:val="none" w:sz="0" w:space="0" w:color="auto"/>
        <w:bottom w:val="none" w:sz="0" w:space="0" w:color="auto"/>
        <w:right w:val="none" w:sz="0" w:space="0" w:color="auto"/>
      </w:divBdr>
    </w:div>
    <w:div w:id="1523663490">
      <w:bodyDiv w:val="1"/>
      <w:marLeft w:val="0"/>
      <w:marRight w:val="0"/>
      <w:marTop w:val="0"/>
      <w:marBottom w:val="0"/>
      <w:divBdr>
        <w:top w:val="none" w:sz="0" w:space="0" w:color="auto"/>
        <w:left w:val="none" w:sz="0" w:space="0" w:color="auto"/>
        <w:bottom w:val="none" w:sz="0" w:space="0" w:color="auto"/>
        <w:right w:val="none" w:sz="0" w:space="0" w:color="auto"/>
      </w:divBdr>
      <w:divsChild>
        <w:div w:id="1817716664">
          <w:marLeft w:val="547"/>
          <w:marRight w:val="0"/>
          <w:marTop w:val="0"/>
          <w:marBottom w:val="0"/>
          <w:divBdr>
            <w:top w:val="none" w:sz="0" w:space="0" w:color="auto"/>
            <w:left w:val="none" w:sz="0" w:space="0" w:color="auto"/>
            <w:bottom w:val="none" w:sz="0" w:space="0" w:color="auto"/>
            <w:right w:val="none" w:sz="0" w:space="0" w:color="auto"/>
          </w:divBdr>
        </w:div>
        <w:div w:id="1527331667">
          <w:marLeft w:val="547"/>
          <w:marRight w:val="0"/>
          <w:marTop w:val="0"/>
          <w:marBottom w:val="0"/>
          <w:divBdr>
            <w:top w:val="none" w:sz="0" w:space="0" w:color="auto"/>
            <w:left w:val="none" w:sz="0" w:space="0" w:color="auto"/>
            <w:bottom w:val="none" w:sz="0" w:space="0" w:color="auto"/>
            <w:right w:val="none" w:sz="0" w:space="0" w:color="auto"/>
          </w:divBdr>
        </w:div>
        <w:div w:id="2048752428">
          <w:marLeft w:val="1166"/>
          <w:marRight w:val="0"/>
          <w:marTop w:val="0"/>
          <w:marBottom w:val="0"/>
          <w:divBdr>
            <w:top w:val="none" w:sz="0" w:space="0" w:color="auto"/>
            <w:left w:val="none" w:sz="0" w:space="0" w:color="auto"/>
            <w:bottom w:val="none" w:sz="0" w:space="0" w:color="auto"/>
            <w:right w:val="none" w:sz="0" w:space="0" w:color="auto"/>
          </w:divBdr>
        </w:div>
        <w:div w:id="1901987063">
          <w:marLeft w:val="1166"/>
          <w:marRight w:val="0"/>
          <w:marTop w:val="0"/>
          <w:marBottom w:val="0"/>
          <w:divBdr>
            <w:top w:val="none" w:sz="0" w:space="0" w:color="auto"/>
            <w:left w:val="none" w:sz="0" w:space="0" w:color="auto"/>
            <w:bottom w:val="none" w:sz="0" w:space="0" w:color="auto"/>
            <w:right w:val="none" w:sz="0" w:space="0" w:color="auto"/>
          </w:divBdr>
        </w:div>
        <w:div w:id="249310989">
          <w:marLeft w:val="547"/>
          <w:marRight w:val="0"/>
          <w:marTop w:val="0"/>
          <w:marBottom w:val="0"/>
          <w:divBdr>
            <w:top w:val="none" w:sz="0" w:space="0" w:color="auto"/>
            <w:left w:val="none" w:sz="0" w:space="0" w:color="auto"/>
            <w:bottom w:val="none" w:sz="0" w:space="0" w:color="auto"/>
            <w:right w:val="none" w:sz="0" w:space="0" w:color="auto"/>
          </w:divBdr>
        </w:div>
        <w:div w:id="703410511">
          <w:marLeft w:val="547"/>
          <w:marRight w:val="0"/>
          <w:marTop w:val="0"/>
          <w:marBottom w:val="0"/>
          <w:divBdr>
            <w:top w:val="none" w:sz="0" w:space="0" w:color="auto"/>
            <w:left w:val="none" w:sz="0" w:space="0" w:color="auto"/>
            <w:bottom w:val="none" w:sz="0" w:space="0" w:color="auto"/>
            <w:right w:val="none" w:sz="0" w:space="0" w:color="auto"/>
          </w:divBdr>
        </w:div>
        <w:div w:id="1261258320">
          <w:marLeft w:val="1166"/>
          <w:marRight w:val="0"/>
          <w:marTop w:val="0"/>
          <w:marBottom w:val="0"/>
          <w:divBdr>
            <w:top w:val="none" w:sz="0" w:space="0" w:color="auto"/>
            <w:left w:val="none" w:sz="0" w:space="0" w:color="auto"/>
            <w:bottom w:val="none" w:sz="0" w:space="0" w:color="auto"/>
            <w:right w:val="none" w:sz="0" w:space="0" w:color="auto"/>
          </w:divBdr>
        </w:div>
        <w:div w:id="2028671005">
          <w:marLeft w:val="1166"/>
          <w:marRight w:val="0"/>
          <w:marTop w:val="0"/>
          <w:marBottom w:val="0"/>
          <w:divBdr>
            <w:top w:val="none" w:sz="0" w:space="0" w:color="auto"/>
            <w:left w:val="none" w:sz="0" w:space="0" w:color="auto"/>
            <w:bottom w:val="none" w:sz="0" w:space="0" w:color="auto"/>
            <w:right w:val="none" w:sz="0" w:space="0" w:color="auto"/>
          </w:divBdr>
        </w:div>
        <w:div w:id="863133975">
          <w:marLeft w:val="547"/>
          <w:marRight w:val="0"/>
          <w:marTop w:val="0"/>
          <w:marBottom w:val="0"/>
          <w:divBdr>
            <w:top w:val="none" w:sz="0" w:space="0" w:color="auto"/>
            <w:left w:val="none" w:sz="0" w:space="0" w:color="auto"/>
            <w:bottom w:val="none" w:sz="0" w:space="0" w:color="auto"/>
            <w:right w:val="none" w:sz="0" w:space="0" w:color="auto"/>
          </w:divBdr>
        </w:div>
        <w:div w:id="1603994038">
          <w:marLeft w:val="1166"/>
          <w:marRight w:val="0"/>
          <w:marTop w:val="0"/>
          <w:marBottom w:val="0"/>
          <w:divBdr>
            <w:top w:val="none" w:sz="0" w:space="0" w:color="auto"/>
            <w:left w:val="none" w:sz="0" w:space="0" w:color="auto"/>
            <w:bottom w:val="none" w:sz="0" w:space="0" w:color="auto"/>
            <w:right w:val="none" w:sz="0" w:space="0" w:color="auto"/>
          </w:divBdr>
        </w:div>
        <w:div w:id="737896277">
          <w:marLeft w:val="1166"/>
          <w:marRight w:val="0"/>
          <w:marTop w:val="0"/>
          <w:marBottom w:val="0"/>
          <w:divBdr>
            <w:top w:val="none" w:sz="0" w:space="0" w:color="auto"/>
            <w:left w:val="none" w:sz="0" w:space="0" w:color="auto"/>
            <w:bottom w:val="none" w:sz="0" w:space="0" w:color="auto"/>
            <w:right w:val="none" w:sz="0" w:space="0" w:color="auto"/>
          </w:divBdr>
        </w:div>
      </w:divsChild>
    </w:div>
    <w:div w:id="1537616787">
      <w:bodyDiv w:val="1"/>
      <w:marLeft w:val="0"/>
      <w:marRight w:val="0"/>
      <w:marTop w:val="0"/>
      <w:marBottom w:val="0"/>
      <w:divBdr>
        <w:top w:val="none" w:sz="0" w:space="0" w:color="auto"/>
        <w:left w:val="none" w:sz="0" w:space="0" w:color="auto"/>
        <w:bottom w:val="none" w:sz="0" w:space="0" w:color="auto"/>
        <w:right w:val="none" w:sz="0" w:space="0" w:color="auto"/>
      </w:divBdr>
      <w:divsChild>
        <w:div w:id="1522861916">
          <w:marLeft w:val="0"/>
          <w:marRight w:val="0"/>
          <w:marTop w:val="0"/>
          <w:marBottom w:val="0"/>
          <w:divBdr>
            <w:top w:val="none" w:sz="0" w:space="0" w:color="auto"/>
            <w:left w:val="none" w:sz="0" w:space="0" w:color="auto"/>
            <w:bottom w:val="none" w:sz="0" w:space="0" w:color="auto"/>
            <w:right w:val="none" w:sz="0" w:space="0" w:color="auto"/>
          </w:divBdr>
          <w:divsChild>
            <w:div w:id="1725981178">
              <w:marLeft w:val="0"/>
              <w:marRight w:val="0"/>
              <w:marTop w:val="0"/>
              <w:marBottom w:val="0"/>
              <w:divBdr>
                <w:top w:val="none" w:sz="0" w:space="0" w:color="auto"/>
                <w:left w:val="none" w:sz="0" w:space="0" w:color="auto"/>
                <w:bottom w:val="none" w:sz="0" w:space="0" w:color="auto"/>
                <w:right w:val="none" w:sz="0" w:space="0" w:color="auto"/>
              </w:divBdr>
              <w:divsChild>
                <w:div w:id="304315350">
                  <w:marLeft w:val="0"/>
                  <w:marRight w:val="0"/>
                  <w:marTop w:val="0"/>
                  <w:marBottom w:val="0"/>
                  <w:divBdr>
                    <w:top w:val="none" w:sz="0" w:space="0" w:color="auto"/>
                    <w:left w:val="none" w:sz="0" w:space="0" w:color="auto"/>
                    <w:bottom w:val="none" w:sz="0" w:space="0" w:color="auto"/>
                    <w:right w:val="none" w:sz="0" w:space="0" w:color="auto"/>
                  </w:divBdr>
                  <w:divsChild>
                    <w:div w:id="1271475457">
                      <w:marLeft w:val="0"/>
                      <w:marRight w:val="0"/>
                      <w:marTop w:val="0"/>
                      <w:marBottom w:val="0"/>
                      <w:divBdr>
                        <w:top w:val="none" w:sz="0" w:space="0" w:color="auto"/>
                        <w:left w:val="none" w:sz="0" w:space="0" w:color="auto"/>
                        <w:bottom w:val="none" w:sz="0" w:space="0" w:color="auto"/>
                        <w:right w:val="none" w:sz="0" w:space="0" w:color="auto"/>
                      </w:divBdr>
                      <w:divsChild>
                        <w:div w:id="1032071913">
                          <w:marLeft w:val="0"/>
                          <w:marRight w:val="0"/>
                          <w:marTop w:val="0"/>
                          <w:marBottom w:val="0"/>
                          <w:divBdr>
                            <w:top w:val="none" w:sz="0" w:space="0" w:color="auto"/>
                            <w:left w:val="none" w:sz="0" w:space="0" w:color="auto"/>
                            <w:bottom w:val="none" w:sz="0" w:space="0" w:color="auto"/>
                            <w:right w:val="none" w:sz="0" w:space="0" w:color="auto"/>
                          </w:divBdr>
                          <w:divsChild>
                            <w:div w:id="1669211971">
                              <w:marLeft w:val="0"/>
                              <w:marRight w:val="0"/>
                              <w:marTop w:val="0"/>
                              <w:marBottom w:val="0"/>
                              <w:divBdr>
                                <w:top w:val="none" w:sz="0" w:space="0" w:color="auto"/>
                                <w:left w:val="none" w:sz="0" w:space="0" w:color="auto"/>
                                <w:bottom w:val="none" w:sz="0" w:space="0" w:color="auto"/>
                                <w:right w:val="none" w:sz="0" w:space="0" w:color="auto"/>
                              </w:divBdr>
                              <w:divsChild>
                                <w:div w:id="1508861234">
                                  <w:marLeft w:val="0"/>
                                  <w:marRight w:val="0"/>
                                  <w:marTop w:val="0"/>
                                  <w:marBottom w:val="0"/>
                                  <w:divBdr>
                                    <w:top w:val="none" w:sz="0" w:space="0" w:color="auto"/>
                                    <w:left w:val="none" w:sz="0" w:space="0" w:color="auto"/>
                                    <w:bottom w:val="none" w:sz="0" w:space="0" w:color="auto"/>
                                    <w:right w:val="none" w:sz="0" w:space="0" w:color="auto"/>
                                  </w:divBdr>
                                  <w:divsChild>
                                    <w:div w:id="276758794">
                                      <w:marLeft w:val="60"/>
                                      <w:marRight w:val="0"/>
                                      <w:marTop w:val="0"/>
                                      <w:marBottom w:val="0"/>
                                      <w:divBdr>
                                        <w:top w:val="none" w:sz="0" w:space="0" w:color="auto"/>
                                        <w:left w:val="none" w:sz="0" w:space="0" w:color="auto"/>
                                        <w:bottom w:val="none" w:sz="0" w:space="0" w:color="auto"/>
                                        <w:right w:val="none" w:sz="0" w:space="0" w:color="auto"/>
                                      </w:divBdr>
                                      <w:divsChild>
                                        <w:div w:id="560405219">
                                          <w:marLeft w:val="0"/>
                                          <w:marRight w:val="0"/>
                                          <w:marTop w:val="0"/>
                                          <w:marBottom w:val="0"/>
                                          <w:divBdr>
                                            <w:top w:val="none" w:sz="0" w:space="0" w:color="auto"/>
                                            <w:left w:val="none" w:sz="0" w:space="0" w:color="auto"/>
                                            <w:bottom w:val="none" w:sz="0" w:space="0" w:color="auto"/>
                                            <w:right w:val="none" w:sz="0" w:space="0" w:color="auto"/>
                                          </w:divBdr>
                                          <w:divsChild>
                                            <w:div w:id="1871334039">
                                              <w:marLeft w:val="0"/>
                                              <w:marRight w:val="0"/>
                                              <w:marTop w:val="0"/>
                                              <w:marBottom w:val="120"/>
                                              <w:divBdr>
                                                <w:top w:val="single" w:sz="6" w:space="0" w:color="F5F5F5"/>
                                                <w:left w:val="single" w:sz="6" w:space="0" w:color="F5F5F5"/>
                                                <w:bottom w:val="single" w:sz="6" w:space="0" w:color="F5F5F5"/>
                                                <w:right w:val="single" w:sz="6" w:space="0" w:color="F5F5F5"/>
                                              </w:divBdr>
                                              <w:divsChild>
                                                <w:div w:id="944847205">
                                                  <w:marLeft w:val="0"/>
                                                  <w:marRight w:val="0"/>
                                                  <w:marTop w:val="0"/>
                                                  <w:marBottom w:val="0"/>
                                                  <w:divBdr>
                                                    <w:top w:val="none" w:sz="0" w:space="0" w:color="auto"/>
                                                    <w:left w:val="none" w:sz="0" w:space="0" w:color="auto"/>
                                                    <w:bottom w:val="none" w:sz="0" w:space="0" w:color="auto"/>
                                                    <w:right w:val="none" w:sz="0" w:space="0" w:color="auto"/>
                                                  </w:divBdr>
                                                  <w:divsChild>
                                                    <w:div w:id="89419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566625">
      <w:bodyDiv w:val="1"/>
      <w:marLeft w:val="0"/>
      <w:marRight w:val="0"/>
      <w:marTop w:val="0"/>
      <w:marBottom w:val="0"/>
      <w:divBdr>
        <w:top w:val="none" w:sz="0" w:space="0" w:color="auto"/>
        <w:left w:val="none" w:sz="0" w:space="0" w:color="auto"/>
        <w:bottom w:val="none" w:sz="0" w:space="0" w:color="auto"/>
        <w:right w:val="none" w:sz="0" w:space="0" w:color="auto"/>
      </w:divBdr>
    </w:div>
    <w:div w:id="1560438508">
      <w:bodyDiv w:val="1"/>
      <w:marLeft w:val="0"/>
      <w:marRight w:val="0"/>
      <w:marTop w:val="0"/>
      <w:marBottom w:val="0"/>
      <w:divBdr>
        <w:top w:val="none" w:sz="0" w:space="0" w:color="auto"/>
        <w:left w:val="none" w:sz="0" w:space="0" w:color="auto"/>
        <w:bottom w:val="none" w:sz="0" w:space="0" w:color="auto"/>
        <w:right w:val="none" w:sz="0" w:space="0" w:color="auto"/>
      </w:divBdr>
    </w:div>
    <w:div w:id="1570262345">
      <w:bodyDiv w:val="1"/>
      <w:marLeft w:val="0"/>
      <w:marRight w:val="0"/>
      <w:marTop w:val="0"/>
      <w:marBottom w:val="0"/>
      <w:divBdr>
        <w:top w:val="none" w:sz="0" w:space="0" w:color="auto"/>
        <w:left w:val="none" w:sz="0" w:space="0" w:color="auto"/>
        <w:bottom w:val="none" w:sz="0" w:space="0" w:color="auto"/>
        <w:right w:val="none" w:sz="0" w:space="0" w:color="auto"/>
      </w:divBdr>
    </w:div>
    <w:div w:id="1571228384">
      <w:bodyDiv w:val="1"/>
      <w:marLeft w:val="0"/>
      <w:marRight w:val="0"/>
      <w:marTop w:val="0"/>
      <w:marBottom w:val="0"/>
      <w:divBdr>
        <w:top w:val="none" w:sz="0" w:space="0" w:color="auto"/>
        <w:left w:val="none" w:sz="0" w:space="0" w:color="auto"/>
        <w:bottom w:val="none" w:sz="0" w:space="0" w:color="auto"/>
        <w:right w:val="none" w:sz="0" w:space="0" w:color="auto"/>
      </w:divBdr>
      <w:divsChild>
        <w:div w:id="982857094">
          <w:marLeft w:val="806"/>
          <w:marRight w:val="0"/>
          <w:marTop w:val="0"/>
          <w:marBottom w:val="0"/>
          <w:divBdr>
            <w:top w:val="none" w:sz="0" w:space="0" w:color="auto"/>
            <w:left w:val="none" w:sz="0" w:space="0" w:color="auto"/>
            <w:bottom w:val="none" w:sz="0" w:space="0" w:color="auto"/>
            <w:right w:val="none" w:sz="0" w:space="0" w:color="auto"/>
          </w:divBdr>
        </w:div>
        <w:div w:id="1866744496">
          <w:marLeft w:val="806"/>
          <w:marRight w:val="0"/>
          <w:marTop w:val="0"/>
          <w:marBottom w:val="0"/>
          <w:divBdr>
            <w:top w:val="none" w:sz="0" w:space="0" w:color="auto"/>
            <w:left w:val="none" w:sz="0" w:space="0" w:color="auto"/>
            <w:bottom w:val="none" w:sz="0" w:space="0" w:color="auto"/>
            <w:right w:val="none" w:sz="0" w:space="0" w:color="auto"/>
          </w:divBdr>
        </w:div>
        <w:div w:id="2126925868">
          <w:marLeft w:val="806"/>
          <w:marRight w:val="0"/>
          <w:marTop w:val="0"/>
          <w:marBottom w:val="0"/>
          <w:divBdr>
            <w:top w:val="none" w:sz="0" w:space="0" w:color="auto"/>
            <w:left w:val="none" w:sz="0" w:space="0" w:color="auto"/>
            <w:bottom w:val="none" w:sz="0" w:space="0" w:color="auto"/>
            <w:right w:val="none" w:sz="0" w:space="0" w:color="auto"/>
          </w:divBdr>
        </w:div>
        <w:div w:id="1591502973">
          <w:marLeft w:val="806"/>
          <w:marRight w:val="0"/>
          <w:marTop w:val="0"/>
          <w:marBottom w:val="0"/>
          <w:divBdr>
            <w:top w:val="none" w:sz="0" w:space="0" w:color="auto"/>
            <w:left w:val="none" w:sz="0" w:space="0" w:color="auto"/>
            <w:bottom w:val="none" w:sz="0" w:space="0" w:color="auto"/>
            <w:right w:val="none" w:sz="0" w:space="0" w:color="auto"/>
          </w:divBdr>
        </w:div>
        <w:div w:id="280890328">
          <w:marLeft w:val="806"/>
          <w:marRight w:val="0"/>
          <w:marTop w:val="0"/>
          <w:marBottom w:val="0"/>
          <w:divBdr>
            <w:top w:val="none" w:sz="0" w:space="0" w:color="auto"/>
            <w:left w:val="none" w:sz="0" w:space="0" w:color="auto"/>
            <w:bottom w:val="none" w:sz="0" w:space="0" w:color="auto"/>
            <w:right w:val="none" w:sz="0" w:space="0" w:color="auto"/>
          </w:divBdr>
        </w:div>
      </w:divsChild>
    </w:div>
    <w:div w:id="1588804858">
      <w:bodyDiv w:val="1"/>
      <w:marLeft w:val="0"/>
      <w:marRight w:val="0"/>
      <w:marTop w:val="0"/>
      <w:marBottom w:val="0"/>
      <w:divBdr>
        <w:top w:val="none" w:sz="0" w:space="0" w:color="auto"/>
        <w:left w:val="none" w:sz="0" w:space="0" w:color="auto"/>
        <w:bottom w:val="none" w:sz="0" w:space="0" w:color="auto"/>
        <w:right w:val="none" w:sz="0" w:space="0" w:color="auto"/>
      </w:divBdr>
    </w:div>
    <w:div w:id="1601377422">
      <w:bodyDiv w:val="1"/>
      <w:marLeft w:val="0"/>
      <w:marRight w:val="0"/>
      <w:marTop w:val="0"/>
      <w:marBottom w:val="0"/>
      <w:divBdr>
        <w:top w:val="none" w:sz="0" w:space="0" w:color="auto"/>
        <w:left w:val="none" w:sz="0" w:space="0" w:color="auto"/>
        <w:bottom w:val="none" w:sz="0" w:space="0" w:color="auto"/>
        <w:right w:val="none" w:sz="0" w:space="0" w:color="auto"/>
      </w:divBdr>
    </w:div>
    <w:div w:id="1601716222">
      <w:bodyDiv w:val="1"/>
      <w:marLeft w:val="0"/>
      <w:marRight w:val="0"/>
      <w:marTop w:val="0"/>
      <w:marBottom w:val="0"/>
      <w:divBdr>
        <w:top w:val="none" w:sz="0" w:space="0" w:color="auto"/>
        <w:left w:val="none" w:sz="0" w:space="0" w:color="auto"/>
        <w:bottom w:val="none" w:sz="0" w:space="0" w:color="auto"/>
        <w:right w:val="none" w:sz="0" w:space="0" w:color="auto"/>
      </w:divBdr>
    </w:div>
    <w:div w:id="1656642038">
      <w:bodyDiv w:val="1"/>
      <w:marLeft w:val="0"/>
      <w:marRight w:val="0"/>
      <w:marTop w:val="0"/>
      <w:marBottom w:val="0"/>
      <w:divBdr>
        <w:top w:val="none" w:sz="0" w:space="0" w:color="auto"/>
        <w:left w:val="none" w:sz="0" w:space="0" w:color="auto"/>
        <w:bottom w:val="none" w:sz="0" w:space="0" w:color="auto"/>
        <w:right w:val="none" w:sz="0" w:space="0" w:color="auto"/>
      </w:divBdr>
    </w:div>
    <w:div w:id="1658224085">
      <w:bodyDiv w:val="1"/>
      <w:marLeft w:val="0"/>
      <w:marRight w:val="0"/>
      <w:marTop w:val="0"/>
      <w:marBottom w:val="0"/>
      <w:divBdr>
        <w:top w:val="none" w:sz="0" w:space="0" w:color="auto"/>
        <w:left w:val="none" w:sz="0" w:space="0" w:color="auto"/>
        <w:bottom w:val="none" w:sz="0" w:space="0" w:color="auto"/>
        <w:right w:val="none" w:sz="0" w:space="0" w:color="auto"/>
      </w:divBdr>
    </w:div>
    <w:div w:id="1665664152">
      <w:bodyDiv w:val="1"/>
      <w:marLeft w:val="0"/>
      <w:marRight w:val="0"/>
      <w:marTop w:val="0"/>
      <w:marBottom w:val="0"/>
      <w:divBdr>
        <w:top w:val="none" w:sz="0" w:space="0" w:color="auto"/>
        <w:left w:val="none" w:sz="0" w:space="0" w:color="auto"/>
        <w:bottom w:val="none" w:sz="0" w:space="0" w:color="auto"/>
        <w:right w:val="none" w:sz="0" w:space="0" w:color="auto"/>
      </w:divBdr>
    </w:div>
    <w:div w:id="1673987320">
      <w:bodyDiv w:val="1"/>
      <w:marLeft w:val="0"/>
      <w:marRight w:val="0"/>
      <w:marTop w:val="0"/>
      <w:marBottom w:val="0"/>
      <w:divBdr>
        <w:top w:val="none" w:sz="0" w:space="0" w:color="auto"/>
        <w:left w:val="none" w:sz="0" w:space="0" w:color="auto"/>
        <w:bottom w:val="none" w:sz="0" w:space="0" w:color="auto"/>
        <w:right w:val="none" w:sz="0" w:space="0" w:color="auto"/>
      </w:divBdr>
    </w:div>
    <w:div w:id="1686597172">
      <w:bodyDiv w:val="1"/>
      <w:marLeft w:val="0"/>
      <w:marRight w:val="0"/>
      <w:marTop w:val="0"/>
      <w:marBottom w:val="0"/>
      <w:divBdr>
        <w:top w:val="none" w:sz="0" w:space="0" w:color="auto"/>
        <w:left w:val="none" w:sz="0" w:space="0" w:color="auto"/>
        <w:bottom w:val="none" w:sz="0" w:space="0" w:color="auto"/>
        <w:right w:val="none" w:sz="0" w:space="0" w:color="auto"/>
      </w:divBdr>
    </w:div>
    <w:div w:id="1716197996">
      <w:bodyDiv w:val="1"/>
      <w:marLeft w:val="0"/>
      <w:marRight w:val="0"/>
      <w:marTop w:val="0"/>
      <w:marBottom w:val="0"/>
      <w:divBdr>
        <w:top w:val="none" w:sz="0" w:space="0" w:color="auto"/>
        <w:left w:val="none" w:sz="0" w:space="0" w:color="auto"/>
        <w:bottom w:val="none" w:sz="0" w:space="0" w:color="auto"/>
        <w:right w:val="none" w:sz="0" w:space="0" w:color="auto"/>
      </w:divBdr>
    </w:div>
    <w:div w:id="1739476971">
      <w:bodyDiv w:val="1"/>
      <w:marLeft w:val="0"/>
      <w:marRight w:val="0"/>
      <w:marTop w:val="0"/>
      <w:marBottom w:val="0"/>
      <w:divBdr>
        <w:top w:val="none" w:sz="0" w:space="0" w:color="auto"/>
        <w:left w:val="none" w:sz="0" w:space="0" w:color="auto"/>
        <w:bottom w:val="none" w:sz="0" w:space="0" w:color="auto"/>
        <w:right w:val="none" w:sz="0" w:space="0" w:color="auto"/>
      </w:divBdr>
    </w:div>
    <w:div w:id="1755711111">
      <w:bodyDiv w:val="1"/>
      <w:marLeft w:val="0"/>
      <w:marRight w:val="0"/>
      <w:marTop w:val="0"/>
      <w:marBottom w:val="0"/>
      <w:divBdr>
        <w:top w:val="none" w:sz="0" w:space="0" w:color="auto"/>
        <w:left w:val="none" w:sz="0" w:space="0" w:color="auto"/>
        <w:bottom w:val="none" w:sz="0" w:space="0" w:color="auto"/>
        <w:right w:val="none" w:sz="0" w:space="0" w:color="auto"/>
      </w:divBdr>
    </w:div>
    <w:div w:id="1760757414">
      <w:bodyDiv w:val="1"/>
      <w:marLeft w:val="0"/>
      <w:marRight w:val="0"/>
      <w:marTop w:val="0"/>
      <w:marBottom w:val="0"/>
      <w:divBdr>
        <w:top w:val="none" w:sz="0" w:space="0" w:color="auto"/>
        <w:left w:val="none" w:sz="0" w:space="0" w:color="auto"/>
        <w:bottom w:val="none" w:sz="0" w:space="0" w:color="auto"/>
        <w:right w:val="none" w:sz="0" w:space="0" w:color="auto"/>
      </w:divBdr>
    </w:div>
    <w:div w:id="1760908624">
      <w:bodyDiv w:val="1"/>
      <w:marLeft w:val="0"/>
      <w:marRight w:val="0"/>
      <w:marTop w:val="0"/>
      <w:marBottom w:val="0"/>
      <w:divBdr>
        <w:top w:val="none" w:sz="0" w:space="0" w:color="auto"/>
        <w:left w:val="none" w:sz="0" w:space="0" w:color="auto"/>
        <w:bottom w:val="none" w:sz="0" w:space="0" w:color="auto"/>
        <w:right w:val="none" w:sz="0" w:space="0" w:color="auto"/>
      </w:divBdr>
    </w:div>
    <w:div w:id="1761636408">
      <w:bodyDiv w:val="1"/>
      <w:marLeft w:val="0"/>
      <w:marRight w:val="0"/>
      <w:marTop w:val="0"/>
      <w:marBottom w:val="0"/>
      <w:divBdr>
        <w:top w:val="none" w:sz="0" w:space="0" w:color="auto"/>
        <w:left w:val="none" w:sz="0" w:space="0" w:color="auto"/>
        <w:bottom w:val="none" w:sz="0" w:space="0" w:color="auto"/>
        <w:right w:val="none" w:sz="0" w:space="0" w:color="auto"/>
      </w:divBdr>
    </w:div>
    <w:div w:id="1769344697">
      <w:bodyDiv w:val="1"/>
      <w:marLeft w:val="0"/>
      <w:marRight w:val="0"/>
      <w:marTop w:val="0"/>
      <w:marBottom w:val="0"/>
      <w:divBdr>
        <w:top w:val="none" w:sz="0" w:space="0" w:color="auto"/>
        <w:left w:val="none" w:sz="0" w:space="0" w:color="auto"/>
        <w:bottom w:val="none" w:sz="0" w:space="0" w:color="auto"/>
        <w:right w:val="none" w:sz="0" w:space="0" w:color="auto"/>
      </w:divBdr>
    </w:div>
    <w:div w:id="1773478999">
      <w:bodyDiv w:val="1"/>
      <w:marLeft w:val="0"/>
      <w:marRight w:val="0"/>
      <w:marTop w:val="0"/>
      <w:marBottom w:val="0"/>
      <w:divBdr>
        <w:top w:val="none" w:sz="0" w:space="0" w:color="auto"/>
        <w:left w:val="none" w:sz="0" w:space="0" w:color="auto"/>
        <w:bottom w:val="none" w:sz="0" w:space="0" w:color="auto"/>
        <w:right w:val="none" w:sz="0" w:space="0" w:color="auto"/>
      </w:divBdr>
    </w:div>
    <w:div w:id="1774519021">
      <w:bodyDiv w:val="1"/>
      <w:marLeft w:val="0"/>
      <w:marRight w:val="0"/>
      <w:marTop w:val="0"/>
      <w:marBottom w:val="0"/>
      <w:divBdr>
        <w:top w:val="none" w:sz="0" w:space="0" w:color="auto"/>
        <w:left w:val="none" w:sz="0" w:space="0" w:color="auto"/>
        <w:bottom w:val="none" w:sz="0" w:space="0" w:color="auto"/>
        <w:right w:val="none" w:sz="0" w:space="0" w:color="auto"/>
      </w:divBdr>
    </w:div>
    <w:div w:id="1780449162">
      <w:bodyDiv w:val="1"/>
      <w:marLeft w:val="0"/>
      <w:marRight w:val="0"/>
      <w:marTop w:val="0"/>
      <w:marBottom w:val="0"/>
      <w:divBdr>
        <w:top w:val="none" w:sz="0" w:space="0" w:color="auto"/>
        <w:left w:val="none" w:sz="0" w:space="0" w:color="auto"/>
        <w:bottom w:val="none" w:sz="0" w:space="0" w:color="auto"/>
        <w:right w:val="none" w:sz="0" w:space="0" w:color="auto"/>
      </w:divBdr>
    </w:div>
    <w:div w:id="1783381560">
      <w:bodyDiv w:val="1"/>
      <w:marLeft w:val="0"/>
      <w:marRight w:val="0"/>
      <w:marTop w:val="0"/>
      <w:marBottom w:val="0"/>
      <w:divBdr>
        <w:top w:val="none" w:sz="0" w:space="0" w:color="auto"/>
        <w:left w:val="none" w:sz="0" w:space="0" w:color="auto"/>
        <w:bottom w:val="none" w:sz="0" w:space="0" w:color="auto"/>
        <w:right w:val="none" w:sz="0" w:space="0" w:color="auto"/>
      </w:divBdr>
    </w:div>
    <w:div w:id="1787458271">
      <w:bodyDiv w:val="1"/>
      <w:marLeft w:val="0"/>
      <w:marRight w:val="0"/>
      <w:marTop w:val="0"/>
      <w:marBottom w:val="0"/>
      <w:divBdr>
        <w:top w:val="none" w:sz="0" w:space="0" w:color="auto"/>
        <w:left w:val="none" w:sz="0" w:space="0" w:color="auto"/>
        <w:bottom w:val="none" w:sz="0" w:space="0" w:color="auto"/>
        <w:right w:val="none" w:sz="0" w:space="0" w:color="auto"/>
      </w:divBdr>
    </w:div>
    <w:div w:id="1812668900">
      <w:bodyDiv w:val="1"/>
      <w:marLeft w:val="0"/>
      <w:marRight w:val="0"/>
      <w:marTop w:val="0"/>
      <w:marBottom w:val="0"/>
      <w:divBdr>
        <w:top w:val="none" w:sz="0" w:space="0" w:color="auto"/>
        <w:left w:val="none" w:sz="0" w:space="0" w:color="auto"/>
        <w:bottom w:val="none" w:sz="0" w:space="0" w:color="auto"/>
        <w:right w:val="none" w:sz="0" w:space="0" w:color="auto"/>
      </w:divBdr>
    </w:div>
    <w:div w:id="1828740910">
      <w:bodyDiv w:val="1"/>
      <w:marLeft w:val="0"/>
      <w:marRight w:val="0"/>
      <w:marTop w:val="0"/>
      <w:marBottom w:val="0"/>
      <w:divBdr>
        <w:top w:val="none" w:sz="0" w:space="0" w:color="auto"/>
        <w:left w:val="none" w:sz="0" w:space="0" w:color="auto"/>
        <w:bottom w:val="none" w:sz="0" w:space="0" w:color="auto"/>
        <w:right w:val="none" w:sz="0" w:space="0" w:color="auto"/>
      </w:divBdr>
    </w:div>
    <w:div w:id="1838496204">
      <w:bodyDiv w:val="1"/>
      <w:marLeft w:val="0"/>
      <w:marRight w:val="0"/>
      <w:marTop w:val="0"/>
      <w:marBottom w:val="0"/>
      <w:divBdr>
        <w:top w:val="none" w:sz="0" w:space="0" w:color="auto"/>
        <w:left w:val="none" w:sz="0" w:space="0" w:color="auto"/>
        <w:bottom w:val="none" w:sz="0" w:space="0" w:color="auto"/>
        <w:right w:val="none" w:sz="0" w:space="0" w:color="auto"/>
      </w:divBdr>
    </w:div>
    <w:div w:id="1841920417">
      <w:bodyDiv w:val="1"/>
      <w:marLeft w:val="0"/>
      <w:marRight w:val="0"/>
      <w:marTop w:val="0"/>
      <w:marBottom w:val="0"/>
      <w:divBdr>
        <w:top w:val="none" w:sz="0" w:space="0" w:color="auto"/>
        <w:left w:val="none" w:sz="0" w:space="0" w:color="auto"/>
        <w:bottom w:val="none" w:sz="0" w:space="0" w:color="auto"/>
        <w:right w:val="none" w:sz="0" w:space="0" w:color="auto"/>
      </w:divBdr>
      <w:divsChild>
        <w:div w:id="1627155396">
          <w:marLeft w:val="547"/>
          <w:marRight w:val="0"/>
          <w:marTop w:val="0"/>
          <w:marBottom w:val="0"/>
          <w:divBdr>
            <w:top w:val="none" w:sz="0" w:space="0" w:color="auto"/>
            <w:left w:val="none" w:sz="0" w:space="0" w:color="auto"/>
            <w:bottom w:val="none" w:sz="0" w:space="0" w:color="auto"/>
            <w:right w:val="none" w:sz="0" w:space="0" w:color="auto"/>
          </w:divBdr>
        </w:div>
      </w:divsChild>
    </w:div>
    <w:div w:id="1855724707">
      <w:bodyDiv w:val="1"/>
      <w:marLeft w:val="0"/>
      <w:marRight w:val="0"/>
      <w:marTop w:val="0"/>
      <w:marBottom w:val="0"/>
      <w:divBdr>
        <w:top w:val="none" w:sz="0" w:space="0" w:color="auto"/>
        <w:left w:val="none" w:sz="0" w:space="0" w:color="auto"/>
        <w:bottom w:val="none" w:sz="0" w:space="0" w:color="auto"/>
        <w:right w:val="none" w:sz="0" w:space="0" w:color="auto"/>
      </w:divBdr>
    </w:div>
    <w:div w:id="1863780936">
      <w:bodyDiv w:val="1"/>
      <w:marLeft w:val="0"/>
      <w:marRight w:val="0"/>
      <w:marTop w:val="0"/>
      <w:marBottom w:val="0"/>
      <w:divBdr>
        <w:top w:val="none" w:sz="0" w:space="0" w:color="auto"/>
        <w:left w:val="none" w:sz="0" w:space="0" w:color="auto"/>
        <w:bottom w:val="none" w:sz="0" w:space="0" w:color="auto"/>
        <w:right w:val="none" w:sz="0" w:space="0" w:color="auto"/>
      </w:divBdr>
    </w:div>
    <w:div w:id="1867518389">
      <w:bodyDiv w:val="1"/>
      <w:marLeft w:val="0"/>
      <w:marRight w:val="0"/>
      <w:marTop w:val="0"/>
      <w:marBottom w:val="0"/>
      <w:divBdr>
        <w:top w:val="none" w:sz="0" w:space="0" w:color="auto"/>
        <w:left w:val="none" w:sz="0" w:space="0" w:color="auto"/>
        <w:bottom w:val="none" w:sz="0" w:space="0" w:color="auto"/>
        <w:right w:val="none" w:sz="0" w:space="0" w:color="auto"/>
      </w:divBdr>
    </w:div>
    <w:div w:id="1874220741">
      <w:bodyDiv w:val="1"/>
      <w:marLeft w:val="0"/>
      <w:marRight w:val="0"/>
      <w:marTop w:val="0"/>
      <w:marBottom w:val="0"/>
      <w:divBdr>
        <w:top w:val="none" w:sz="0" w:space="0" w:color="auto"/>
        <w:left w:val="none" w:sz="0" w:space="0" w:color="auto"/>
        <w:bottom w:val="none" w:sz="0" w:space="0" w:color="auto"/>
        <w:right w:val="none" w:sz="0" w:space="0" w:color="auto"/>
      </w:divBdr>
    </w:div>
    <w:div w:id="1892185367">
      <w:bodyDiv w:val="1"/>
      <w:marLeft w:val="0"/>
      <w:marRight w:val="0"/>
      <w:marTop w:val="0"/>
      <w:marBottom w:val="0"/>
      <w:divBdr>
        <w:top w:val="none" w:sz="0" w:space="0" w:color="auto"/>
        <w:left w:val="none" w:sz="0" w:space="0" w:color="auto"/>
        <w:bottom w:val="none" w:sz="0" w:space="0" w:color="auto"/>
        <w:right w:val="none" w:sz="0" w:space="0" w:color="auto"/>
      </w:divBdr>
    </w:div>
    <w:div w:id="1894151720">
      <w:bodyDiv w:val="1"/>
      <w:marLeft w:val="0"/>
      <w:marRight w:val="0"/>
      <w:marTop w:val="0"/>
      <w:marBottom w:val="0"/>
      <w:divBdr>
        <w:top w:val="none" w:sz="0" w:space="0" w:color="auto"/>
        <w:left w:val="none" w:sz="0" w:space="0" w:color="auto"/>
        <w:bottom w:val="none" w:sz="0" w:space="0" w:color="auto"/>
        <w:right w:val="none" w:sz="0" w:space="0" w:color="auto"/>
      </w:divBdr>
    </w:div>
    <w:div w:id="1902059082">
      <w:bodyDiv w:val="1"/>
      <w:marLeft w:val="0"/>
      <w:marRight w:val="0"/>
      <w:marTop w:val="0"/>
      <w:marBottom w:val="0"/>
      <w:divBdr>
        <w:top w:val="none" w:sz="0" w:space="0" w:color="auto"/>
        <w:left w:val="none" w:sz="0" w:space="0" w:color="auto"/>
        <w:bottom w:val="none" w:sz="0" w:space="0" w:color="auto"/>
        <w:right w:val="none" w:sz="0" w:space="0" w:color="auto"/>
      </w:divBdr>
    </w:div>
    <w:div w:id="1902251924">
      <w:bodyDiv w:val="1"/>
      <w:marLeft w:val="0"/>
      <w:marRight w:val="0"/>
      <w:marTop w:val="0"/>
      <w:marBottom w:val="0"/>
      <w:divBdr>
        <w:top w:val="none" w:sz="0" w:space="0" w:color="auto"/>
        <w:left w:val="none" w:sz="0" w:space="0" w:color="auto"/>
        <w:bottom w:val="none" w:sz="0" w:space="0" w:color="auto"/>
        <w:right w:val="none" w:sz="0" w:space="0" w:color="auto"/>
      </w:divBdr>
    </w:div>
    <w:div w:id="1902666461">
      <w:bodyDiv w:val="1"/>
      <w:marLeft w:val="0"/>
      <w:marRight w:val="0"/>
      <w:marTop w:val="0"/>
      <w:marBottom w:val="0"/>
      <w:divBdr>
        <w:top w:val="none" w:sz="0" w:space="0" w:color="auto"/>
        <w:left w:val="none" w:sz="0" w:space="0" w:color="auto"/>
        <w:bottom w:val="none" w:sz="0" w:space="0" w:color="auto"/>
        <w:right w:val="none" w:sz="0" w:space="0" w:color="auto"/>
      </w:divBdr>
    </w:div>
    <w:div w:id="1903562700">
      <w:bodyDiv w:val="1"/>
      <w:marLeft w:val="0"/>
      <w:marRight w:val="0"/>
      <w:marTop w:val="0"/>
      <w:marBottom w:val="0"/>
      <w:divBdr>
        <w:top w:val="none" w:sz="0" w:space="0" w:color="auto"/>
        <w:left w:val="none" w:sz="0" w:space="0" w:color="auto"/>
        <w:bottom w:val="none" w:sz="0" w:space="0" w:color="auto"/>
        <w:right w:val="none" w:sz="0" w:space="0" w:color="auto"/>
      </w:divBdr>
    </w:div>
    <w:div w:id="1924759210">
      <w:bodyDiv w:val="1"/>
      <w:marLeft w:val="0"/>
      <w:marRight w:val="0"/>
      <w:marTop w:val="0"/>
      <w:marBottom w:val="0"/>
      <w:divBdr>
        <w:top w:val="none" w:sz="0" w:space="0" w:color="auto"/>
        <w:left w:val="none" w:sz="0" w:space="0" w:color="auto"/>
        <w:bottom w:val="none" w:sz="0" w:space="0" w:color="auto"/>
        <w:right w:val="none" w:sz="0" w:space="0" w:color="auto"/>
      </w:divBdr>
    </w:div>
    <w:div w:id="1951089433">
      <w:bodyDiv w:val="1"/>
      <w:marLeft w:val="0"/>
      <w:marRight w:val="0"/>
      <w:marTop w:val="0"/>
      <w:marBottom w:val="0"/>
      <w:divBdr>
        <w:top w:val="none" w:sz="0" w:space="0" w:color="auto"/>
        <w:left w:val="none" w:sz="0" w:space="0" w:color="auto"/>
        <w:bottom w:val="none" w:sz="0" w:space="0" w:color="auto"/>
        <w:right w:val="none" w:sz="0" w:space="0" w:color="auto"/>
      </w:divBdr>
    </w:div>
    <w:div w:id="1954170202">
      <w:bodyDiv w:val="1"/>
      <w:marLeft w:val="0"/>
      <w:marRight w:val="0"/>
      <w:marTop w:val="0"/>
      <w:marBottom w:val="0"/>
      <w:divBdr>
        <w:top w:val="none" w:sz="0" w:space="0" w:color="auto"/>
        <w:left w:val="none" w:sz="0" w:space="0" w:color="auto"/>
        <w:bottom w:val="none" w:sz="0" w:space="0" w:color="auto"/>
        <w:right w:val="none" w:sz="0" w:space="0" w:color="auto"/>
      </w:divBdr>
    </w:div>
    <w:div w:id="1967587935">
      <w:bodyDiv w:val="1"/>
      <w:marLeft w:val="0"/>
      <w:marRight w:val="0"/>
      <w:marTop w:val="0"/>
      <w:marBottom w:val="0"/>
      <w:divBdr>
        <w:top w:val="none" w:sz="0" w:space="0" w:color="auto"/>
        <w:left w:val="none" w:sz="0" w:space="0" w:color="auto"/>
        <w:bottom w:val="none" w:sz="0" w:space="0" w:color="auto"/>
        <w:right w:val="none" w:sz="0" w:space="0" w:color="auto"/>
      </w:divBdr>
    </w:div>
    <w:div w:id="1971788342">
      <w:bodyDiv w:val="1"/>
      <w:marLeft w:val="0"/>
      <w:marRight w:val="0"/>
      <w:marTop w:val="0"/>
      <w:marBottom w:val="0"/>
      <w:divBdr>
        <w:top w:val="none" w:sz="0" w:space="0" w:color="auto"/>
        <w:left w:val="none" w:sz="0" w:space="0" w:color="auto"/>
        <w:bottom w:val="none" w:sz="0" w:space="0" w:color="auto"/>
        <w:right w:val="none" w:sz="0" w:space="0" w:color="auto"/>
      </w:divBdr>
      <w:divsChild>
        <w:div w:id="88621520">
          <w:marLeft w:val="119"/>
          <w:marRight w:val="119"/>
          <w:marTop w:val="119"/>
          <w:marBottom w:val="119"/>
          <w:divBdr>
            <w:top w:val="none" w:sz="0" w:space="0" w:color="auto"/>
            <w:left w:val="none" w:sz="0" w:space="0" w:color="auto"/>
            <w:bottom w:val="none" w:sz="0" w:space="0" w:color="auto"/>
            <w:right w:val="none" w:sz="0" w:space="0" w:color="auto"/>
          </w:divBdr>
          <w:divsChild>
            <w:div w:id="876746547">
              <w:marLeft w:val="0"/>
              <w:marRight w:val="0"/>
              <w:marTop w:val="0"/>
              <w:marBottom w:val="0"/>
              <w:divBdr>
                <w:top w:val="none" w:sz="0" w:space="0" w:color="auto"/>
                <w:left w:val="none" w:sz="0" w:space="0" w:color="auto"/>
                <w:bottom w:val="none" w:sz="0" w:space="0" w:color="auto"/>
                <w:right w:val="none" w:sz="0" w:space="0" w:color="auto"/>
              </w:divBdr>
              <w:divsChild>
                <w:div w:id="19912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13072">
      <w:bodyDiv w:val="1"/>
      <w:marLeft w:val="0"/>
      <w:marRight w:val="0"/>
      <w:marTop w:val="0"/>
      <w:marBottom w:val="0"/>
      <w:divBdr>
        <w:top w:val="none" w:sz="0" w:space="0" w:color="auto"/>
        <w:left w:val="none" w:sz="0" w:space="0" w:color="auto"/>
        <w:bottom w:val="none" w:sz="0" w:space="0" w:color="auto"/>
        <w:right w:val="none" w:sz="0" w:space="0" w:color="auto"/>
      </w:divBdr>
    </w:div>
    <w:div w:id="2006198319">
      <w:bodyDiv w:val="1"/>
      <w:marLeft w:val="0"/>
      <w:marRight w:val="0"/>
      <w:marTop w:val="0"/>
      <w:marBottom w:val="0"/>
      <w:divBdr>
        <w:top w:val="none" w:sz="0" w:space="0" w:color="auto"/>
        <w:left w:val="none" w:sz="0" w:space="0" w:color="auto"/>
        <w:bottom w:val="none" w:sz="0" w:space="0" w:color="auto"/>
        <w:right w:val="none" w:sz="0" w:space="0" w:color="auto"/>
      </w:divBdr>
      <w:divsChild>
        <w:div w:id="958686468">
          <w:marLeft w:val="0"/>
          <w:marRight w:val="0"/>
          <w:marTop w:val="0"/>
          <w:marBottom w:val="0"/>
          <w:divBdr>
            <w:top w:val="none" w:sz="0" w:space="0" w:color="auto"/>
            <w:left w:val="none" w:sz="0" w:space="0" w:color="auto"/>
            <w:bottom w:val="none" w:sz="0" w:space="0" w:color="auto"/>
            <w:right w:val="none" w:sz="0" w:space="0" w:color="auto"/>
          </w:divBdr>
          <w:divsChild>
            <w:div w:id="2056199158">
              <w:marLeft w:val="0"/>
              <w:marRight w:val="0"/>
              <w:marTop w:val="0"/>
              <w:marBottom w:val="0"/>
              <w:divBdr>
                <w:top w:val="none" w:sz="0" w:space="0" w:color="auto"/>
                <w:left w:val="none" w:sz="0" w:space="0" w:color="auto"/>
                <w:bottom w:val="none" w:sz="0" w:space="0" w:color="auto"/>
                <w:right w:val="none" w:sz="0" w:space="0" w:color="auto"/>
              </w:divBdr>
              <w:divsChild>
                <w:div w:id="302317801">
                  <w:marLeft w:val="0"/>
                  <w:marRight w:val="0"/>
                  <w:marTop w:val="0"/>
                  <w:marBottom w:val="0"/>
                  <w:divBdr>
                    <w:top w:val="none" w:sz="0" w:space="0" w:color="auto"/>
                    <w:left w:val="none" w:sz="0" w:space="0" w:color="auto"/>
                    <w:bottom w:val="none" w:sz="0" w:space="0" w:color="auto"/>
                    <w:right w:val="none" w:sz="0" w:space="0" w:color="auto"/>
                  </w:divBdr>
                  <w:divsChild>
                    <w:div w:id="1297176686">
                      <w:marLeft w:val="0"/>
                      <w:marRight w:val="0"/>
                      <w:marTop w:val="0"/>
                      <w:marBottom w:val="0"/>
                      <w:divBdr>
                        <w:top w:val="none" w:sz="0" w:space="0" w:color="auto"/>
                        <w:left w:val="none" w:sz="0" w:space="0" w:color="auto"/>
                        <w:bottom w:val="none" w:sz="0" w:space="0" w:color="auto"/>
                        <w:right w:val="none" w:sz="0" w:space="0" w:color="auto"/>
                      </w:divBdr>
                      <w:divsChild>
                        <w:div w:id="810097384">
                          <w:marLeft w:val="0"/>
                          <w:marRight w:val="0"/>
                          <w:marTop w:val="0"/>
                          <w:marBottom w:val="0"/>
                          <w:divBdr>
                            <w:top w:val="none" w:sz="0" w:space="0" w:color="auto"/>
                            <w:left w:val="none" w:sz="0" w:space="0" w:color="auto"/>
                            <w:bottom w:val="none" w:sz="0" w:space="0" w:color="auto"/>
                            <w:right w:val="none" w:sz="0" w:space="0" w:color="auto"/>
                          </w:divBdr>
                          <w:divsChild>
                            <w:div w:id="201940239">
                              <w:marLeft w:val="0"/>
                              <w:marRight w:val="0"/>
                              <w:marTop w:val="0"/>
                              <w:marBottom w:val="0"/>
                              <w:divBdr>
                                <w:top w:val="none" w:sz="0" w:space="0" w:color="auto"/>
                                <w:left w:val="none" w:sz="0" w:space="0" w:color="auto"/>
                                <w:bottom w:val="none" w:sz="0" w:space="0" w:color="auto"/>
                                <w:right w:val="none" w:sz="0" w:space="0" w:color="auto"/>
                              </w:divBdr>
                              <w:divsChild>
                                <w:div w:id="819156651">
                                  <w:marLeft w:val="0"/>
                                  <w:marRight w:val="0"/>
                                  <w:marTop w:val="0"/>
                                  <w:marBottom w:val="0"/>
                                  <w:divBdr>
                                    <w:top w:val="none" w:sz="0" w:space="0" w:color="auto"/>
                                    <w:left w:val="none" w:sz="0" w:space="0" w:color="auto"/>
                                    <w:bottom w:val="none" w:sz="0" w:space="0" w:color="auto"/>
                                    <w:right w:val="none" w:sz="0" w:space="0" w:color="auto"/>
                                  </w:divBdr>
                                  <w:divsChild>
                                    <w:div w:id="545066630">
                                      <w:marLeft w:val="0"/>
                                      <w:marRight w:val="0"/>
                                      <w:marTop w:val="0"/>
                                      <w:marBottom w:val="0"/>
                                      <w:divBdr>
                                        <w:top w:val="none" w:sz="0" w:space="0" w:color="auto"/>
                                        <w:left w:val="none" w:sz="0" w:space="0" w:color="auto"/>
                                        <w:bottom w:val="none" w:sz="0" w:space="0" w:color="auto"/>
                                        <w:right w:val="none" w:sz="0" w:space="0" w:color="auto"/>
                                      </w:divBdr>
                                      <w:divsChild>
                                        <w:div w:id="657928937">
                                          <w:marLeft w:val="0"/>
                                          <w:marRight w:val="0"/>
                                          <w:marTop w:val="0"/>
                                          <w:marBottom w:val="0"/>
                                          <w:divBdr>
                                            <w:top w:val="none" w:sz="0" w:space="0" w:color="auto"/>
                                            <w:left w:val="none" w:sz="0" w:space="0" w:color="auto"/>
                                            <w:bottom w:val="none" w:sz="0" w:space="0" w:color="auto"/>
                                            <w:right w:val="none" w:sz="0" w:space="0" w:color="auto"/>
                                          </w:divBdr>
                                          <w:divsChild>
                                            <w:div w:id="1654020323">
                                              <w:marLeft w:val="0"/>
                                              <w:marRight w:val="0"/>
                                              <w:marTop w:val="0"/>
                                              <w:marBottom w:val="0"/>
                                              <w:divBdr>
                                                <w:top w:val="single" w:sz="6" w:space="0" w:color="F5F5F5"/>
                                                <w:left w:val="single" w:sz="6" w:space="0" w:color="F5F5F5"/>
                                                <w:bottom w:val="single" w:sz="6" w:space="0" w:color="F5F5F5"/>
                                                <w:right w:val="single" w:sz="6" w:space="0" w:color="F5F5F5"/>
                                              </w:divBdr>
                                              <w:divsChild>
                                                <w:div w:id="210003017">
                                                  <w:marLeft w:val="0"/>
                                                  <w:marRight w:val="0"/>
                                                  <w:marTop w:val="0"/>
                                                  <w:marBottom w:val="0"/>
                                                  <w:divBdr>
                                                    <w:top w:val="none" w:sz="0" w:space="0" w:color="auto"/>
                                                    <w:left w:val="none" w:sz="0" w:space="0" w:color="auto"/>
                                                    <w:bottom w:val="none" w:sz="0" w:space="0" w:color="auto"/>
                                                    <w:right w:val="none" w:sz="0" w:space="0" w:color="auto"/>
                                                  </w:divBdr>
                                                  <w:divsChild>
                                                    <w:div w:id="11602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2364306">
      <w:bodyDiv w:val="1"/>
      <w:marLeft w:val="0"/>
      <w:marRight w:val="0"/>
      <w:marTop w:val="0"/>
      <w:marBottom w:val="0"/>
      <w:divBdr>
        <w:top w:val="none" w:sz="0" w:space="0" w:color="auto"/>
        <w:left w:val="none" w:sz="0" w:space="0" w:color="auto"/>
        <w:bottom w:val="none" w:sz="0" w:space="0" w:color="auto"/>
        <w:right w:val="none" w:sz="0" w:space="0" w:color="auto"/>
      </w:divBdr>
    </w:div>
    <w:div w:id="2015062738">
      <w:bodyDiv w:val="1"/>
      <w:marLeft w:val="0"/>
      <w:marRight w:val="0"/>
      <w:marTop w:val="0"/>
      <w:marBottom w:val="0"/>
      <w:divBdr>
        <w:top w:val="none" w:sz="0" w:space="0" w:color="auto"/>
        <w:left w:val="none" w:sz="0" w:space="0" w:color="auto"/>
        <w:bottom w:val="none" w:sz="0" w:space="0" w:color="auto"/>
        <w:right w:val="none" w:sz="0" w:space="0" w:color="auto"/>
      </w:divBdr>
    </w:div>
    <w:div w:id="2063628142">
      <w:bodyDiv w:val="1"/>
      <w:marLeft w:val="0"/>
      <w:marRight w:val="0"/>
      <w:marTop w:val="0"/>
      <w:marBottom w:val="0"/>
      <w:divBdr>
        <w:top w:val="none" w:sz="0" w:space="0" w:color="auto"/>
        <w:left w:val="none" w:sz="0" w:space="0" w:color="auto"/>
        <w:bottom w:val="none" w:sz="0" w:space="0" w:color="auto"/>
        <w:right w:val="none" w:sz="0" w:space="0" w:color="auto"/>
      </w:divBdr>
      <w:divsChild>
        <w:div w:id="895438333">
          <w:marLeft w:val="547"/>
          <w:marRight w:val="0"/>
          <w:marTop w:val="0"/>
          <w:marBottom w:val="0"/>
          <w:divBdr>
            <w:top w:val="none" w:sz="0" w:space="0" w:color="auto"/>
            <w:left w:val="none" w:sz="0" w:space="0" w:color="auto"/>
            <w:bottom w:val="none" w:sz="0" w:space="0" w:color="auto"/>
            <w:right w:val="none" w:sz="0" w:space="0" w:color="auto"/>
          </w:divBdr>
        </w:div>
      </w:divsChild>
    </w:div>
    <w:div w:id="2076470645">
      <w:bodyDiv w:val="1"/>
      <w:marLeft w:val="0"/>
      <w:marRight w:val="0"/>
      <w:marTop w:val="0"/>
      <w:marBottom w:val="0"/>
      <w:divBdr>
        <w:top w:val="none" w:sz="0" w:space="0" w:color="auto"/>
        <w:left w:val="none" w:sz="0" w:space="0" w:color="auto"/>
        <w:bottom w:val="none" w:sz="0" w:space="0" w:color="auto"/>
        <w:right w:val="none" w:sz="0" w:space="0" w:color="auto"/>
      </w:divBdr>
    </w:div>
    <w:div w:id="2094472061">
      <w:bodyDiv w:val="1"/>
      <w:marLeft w:val="0"/>
      <w:marRight w:val="0"/>
      <w:marTop w:val="0"/>
      <w:marBottom w:val="0"/>
      <w:divBdr>
        <w:top w:val="none" w:sz="0" w:space="0" w:color="auto"/>
        <w:left w:val="none" w:sz="0" w:space="0" w:color="auto"/>
        <w:bottom w:val="none" w:sz="0" w:space="0" w:color="auto"/>
        <w:right w:val="none" w:sz="0" w:space="0" w:color="auto"/>
      </w:divBdr>
    </w:div>
    <w:div w:id="2095973219">
      <w:bodyDiv w:val="1"/>
      <w:marLeft w:val="0"/>
      <w:marRight w:val="0"/>
      <w:marTop w:val="0"/>
      <w:marBottom w:val="0"/>
      <w:divBdr>
        <w:top w:val="none" w:sz="0" w:space="0" w:color="auto"/>
        <w:left w:val="none" w:sz="0" w:space="0" w:color="auto"/>
        <w:bottom w:val="none" w:sz="0" w:space="0" w:color="auto"/>
        <w:right w:val="none" w:sz="0" w:space="0" w:color="auto"/>
      </w:divBdr>
      <w:divsChild>
        <w:div w:id="2091778228">
          <w:marLeft w:val="547"/>
          <w:marRight w:val="0"/>
          <w:marTop w:val="0"/>
          <w:marBottom w:val="0"/>
          <w:divBdr>
            <w:top w:val="none" w:sz="0" w:space="0" w:color="auto"/>
            <w:left w:val="none" w:sz="0" w:space="0" w:color="auto"/>
            <w:bottom w:val="none" w:sz="0" w:space="0" w:color="auto"/>
            <w:right w:val="none" w:sz="0" w:space="0" w:color="auto"/>
          </w:divBdr>
        </w:div>
        <w:div w:id="1860924825">
          <w:marLeft w:val="547"/>
          <w:marRight w:val="0"/>
          <w:marTop w:val="0"/>
          <w:marBottom w:val="0"/>
          <w:divBdr>
            <w:top w:val="none" w:sz="0" w:space="0" w:color="auto"/>
            <w:left w:val="none" w:sz="0" w:space="0" w:color="auto"/>
            <w:bottom w:val="none" w:sz="0" w:space="0" w:color="auto"/>
            <w:right w:val="none" w:sz="0" w:space="0" w:color="auto"/>
          </w:divBdr>
        </w:div>
        <w:div w:id="638656539">
          <w:marLeft w:val="1166"/>
          <w:marRight w:val="0"/>
          <w:marTop w:val="0"/>
          <w:marBottom w:val="0"/>
          <w:divBdr>
            <w:top w:val="none" w:sz="0" w:space="0" w:color="auto"/>
            <w:left w:val="none" w:sz="0" w:space="0" w:color="auto"/>
            <w:bottom w:val="none" w:sz="0" w:space="0" w:color="auto"/>
            <w:right w:val="none" w:sz="0" w:space="0" w:color="auto"/>
          </w:divBdr>
        </w:div>
        <w:div w:id="1133519754">
          <w:marLeft w:val="1166"/>
          <w:marRight w:val="0"/>
          <w:marTop w:val="0"/>
          <w:marBottom w:val="0"/>
          <w:divBdr>
            <w:top w:val="none" w:sz="0" w:space="0" w:color="auto"/>
            <w:left w:val="none" w:sz="0" w:space="0" w:color="auto"/>
            <w:bottom w:val="none" w:sz="0" w:space="0" w:color="auto"/>
            <w:right w:val="none" w:sz="0" w:space="0" w:color="auto"/>
          </w:divBdr>
        </w:div>
      </w:divsChild>
    </w:div>
    <w:div w:id="2097440519">
      <w:bodyDiv w:val="1"/>
      <w:marLeft w:val="0"/>
      <w:marRight w:val="0"/>
      <w:marTop w:val="0"/>
      <w:marBottom w:val="0"/>
      <w:divBdr>
        <w:top w:val="none" w:sz="0" w:space="0" w:color="auto"/>
        <w:left w:val="none" w:sz="0" w:space="0" w:color="auto"/>
        <w:bottom w:val="none" w:sz="0" w:space="0" w:color="auto"/>
        <w:right w:val="none" w:sz="0" w:space="0" w:color="auto"/>
      </w:divBdr>
    </w:div>
    <w:div w:id="2106338674">
      <w:bodyDiv w:val="1"/>
      <w:marLeft w:val="0"/>
      <w:marRight w:val="0"/>
      <w:marTop w:val="0"/>
      <w:marBottom w:val="0"/>
      <w:divBdr>
        <w:top w:val="none" w:sz="0" w:space="0" w:color="auto"/>
        <w:left w:val="none" w:sz="0" w:space="0" w:color="auto"/>
        <w:bottom w:val="none" w:sz="0" w:space="0" w:color="auto"/>
        <w:right w:val="none" w:sz="0" w:space="0" w:color="auto"/>
      </w:divBdr>
    </w:div>
    <w:div w:id="213532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mailto:andrenmaranhao@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28CE1-8502-4B76-B260-5045400E0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26</Pages>
  <Words>9136</Words>
  <Characters>49335</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Maranhão</cp:lastModifiedBy>
  <cp:revision>10</cp:revision>
  <cp:lastPrinted>2013-02-18T14:09:00Z</cp:lastPrinted>
  <dcterms:created xsi:type="dcterms:W3CDTF">2017-08-24T21:42:00Z</dcterms:created>
  <dcterms:modified xsi:type="dcterms:W3CDTF">2017-08-27T06:16:00Z</dcterms:modified>
</cp:coreProperties>
</file>