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68FE" w:rsidRPr="00C44906" w:rsidRDefault="00453B0E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Um relato de d</w:t>
      </w:r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oença de </w:t>
      </w:r>
      <w:proofErr w:type="spellStart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como causa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rara de má absorção intestinal</w:t>
      </w: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>report</w:t>
      </w:r>
      <w:proofErr w:type="spellEnd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>Whipple's</w:t>
      </w:r>
      <w:proofErr w:type="spellEnd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47D8E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as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cause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malabsorption</w:t>
      </w:r>
      <w:proofErr w:type="spellEnd"/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Um relato de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84E76" w:rsidRPr="00C44906" w:rsidRDefault="00D84E7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sectPr w:rsidR="00D84E76" w:rsidRPr="00C44906" w:rsidSect="008F68E3">
          <w:footerReference w:type="default" r:id="rId8"/>
          <w:pgSz w:w="11906" w:h="16838"/>
          <w:pgMar w:top="1417" w:right="0" w:bottom="1417" w:left="0" w:header="720" w:footer="720" w:gutter="0"/>
          <w:cols w:space="720"/>
        </w:sect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Resumo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presente </w:t>
      </w:r>
      <w:r w:rsid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artigo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relata um caso de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como causa rara de síndrome de má absorção intestinal. 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Consiste 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um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97DC0">
        <w:rPr>
          <w:rFonts w:ascii="Times New Roman" w:eastAsia="Times New Roman" w:hAnsi="Times New Roman" w:cs="Times New Roman"/>
          <w:color w:val="auto"/>
          <w:sz w:val="24"/>
          <w:szCs w:val="24"/>
        </w:rPr>
        <w:t>relato</w:t>
      </w:r>
      <w:r w:rsidR="00D431F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caso de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avaliado no período de 2007 a 2011, associado à revisão bibliográfica. 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p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aciente 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do sexo masculino queixava-se inicialmente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 emagrecimento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artr</w:t>
      </w:r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algia</w:t>
      </w:r>
      <w:proofErr w:type="spellEnd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Os achados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dos exames complementares</w:t>
      </w:r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foram consistentes co</w:t>
      </w:r>
      <w:r w:rsidR="000B15DC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 Doença de </w:t>
      </w:r>
      <w:proofErr w:type="spellStart"/>
      <w:r w:rsidR="000B15DC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Foi </w:t>
      </w:r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iniciado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antibiotico</w:t>
      </w:r>
      <w:r w:rsidR="00631BF1">
        <w:rPr>
          <w:rFonts w:ascii="Times New Roman" w:eastAsia="Times New Roman" w:hAnsi="Times New Roman" w:cs="Times New Roman"/>
          <w:color w:val="auto"/>
          <w:sz w:val="24"/>
          <w:szCs w:val="24"/>
        </w:rPr>
        <w:t>terapia (</w:t>
      </w:r>
      <w:proofErr w:type="spellStart"/>
      <w:r w:rsidR="00631BF1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="00631B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631BF1">
        <w:rPr>
          <w:rFonts w:ascii="Times New Roman" w:eastAsia="Times New Roman" w:hAnsi="Times New Roman" w:cs="Times New Roman"/>
          <w:color w:val="auto"/>
          <w:sz w:val="24"/>
          <w:szCs w:val="24"/>
        </w:rPr>
        <w:t>Sulfame</w:t>
      </w:r>
      <w:r w:rsidR="005F5CFA">
        <w:rPr>
          <w:rFonts w:ascii="Times New Roman" w:eastAsia="Times New Roman" w:hAnsi="Times New Roman" w:cs="Times New Roman"/>
          <w:color w:val="auto"/>
          <w:sz w:val="24"/>
          <w:szCs w:val="24"/>
        </w:rPr>
        <w:t>toxazol-Trimet</w:t>
      </w:r>
      <w:r w:rsidR="00631BF1">
        <w:rPr>
          <w:rFonts w:ascii="Times New Roman" w:eastAsia="Times New Roman" w:hAnsi="Times New Roman" w:cs="Times New Roman"/>
          <w:color w:val="auto"/>
          <w:sz w:val="24"/>
          <w:szCs w:val="24"/>
        </w:rPr>
        <w:t>op</w:t>
      </w:r>
      <w:r w:rsidR="005F5CFA">
        <w:rPr>
          <w:rFonts w:ascii="Times New Roman" w:eastAsia="Times New Roman" w:hAnsi="Times New Roman" w:cs="Times New Roman"/>
          <w:color w:val="auto"/>
          <w:sz w:val="24"/>
          <w:szCs w:val="24"/>
        </w:rPr>
        <w:t>rima</w:t>
      </w:r>
      <w:proofErr w:type="spellEnd"/>
      <w:r w:rsidR="005F5CF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com 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posterior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melhora </w:t>
      </w:r>
      <w:r w:rsidR="00B74774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clínica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Embora </w:t>
      </w:r>
      <w:proofErr w:type="gramStart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rara, essa</w:t>
      </w:r>
      <w:proofErr w:type="gramEnd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enfermidade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deve ser considerada como diagnóstico diferencial em pacientes com má absorção intestinal, principalmente considerando o impacto sistêmico </w:t>
      </w:r>
      <w:r w:rsidR="00E314DE">
        <w:rPr>
          <w:rFonts w:ascii="Times New Roman" w:eastAsia="Times New Roman" w:hAnsi="Times New Roman" w:cs="Times New Roman"/>
          <w:color w:val="auto"/>
          <w:sz w:val="24"/>
          <w:szCs w:val="24"/>
        </w:rPr>
        <w:t>da doença e o possível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controle com a antibioticoterapia.</w:t>
      </w:r>
      <w:r w:rsidR="008F68E3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Descritores: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Absorção intestinal;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Perda de peso.  </w:t>
      </w: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C0D6C2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C0D6C2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C0D6C2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F68E3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color w:val="auto"/>
          <w:sz w:val="24"/>
          <w:szCs w:val="24"/>
        </w:rPr>
        <w:cr/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B15DC" w:rsidRPr="00C44906" w:rsidRDefault="000B15DC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B15DC" w:rsidRPr="00C44906" w:rsidRDefault="000B15DC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74774" w:rsidRPr="00C44906" w:rsidRDefault="00B74774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8F68E3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Abstract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article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report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case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as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case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malabsorption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syndrome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B74774" w:rsidRPr="00C44906">
        <w:rPr>
          <w:rFonts w:ascii="Times New Roman" w:hAnsi="Times New Roman" w:cs="Times New Roman"/>
          <w:color w:val="auto"/>
          <w:sz w:val="24"/>
          <w:szCs w:val="24"/>
        </w:rPr>
        <w:t>Consists</w:t>
      </w:r>
      <w:proofErr w:type="spellEnd"/>
      <w:r w:rsidR="00B74774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74774" w:rsidRPr="00C44906">
        <w:rPr>
          <w:rFonts w:ascii="Times New Roman" w:hAnsi="Times New Roman" w:cs="Times New Roman"/>
          <w:color w:val="auto"/>
          <w:sz w:val="24"/>
          <w:szCs w:val="24"/>
        </w:rPr>
        <w:t>of</w:t>
      </w:r>
      <w:proofErr w:type="spellEnd"/>
      <w:r w:rsidR="00B74774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retrospective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study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case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Whipple's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evaluated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period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from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2007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to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2011,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associated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with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literature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review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male </w:t>
      </w:r>
      <w:proofErr w:type="spellStart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patient</w:t>
      </w:r>
      <w:proofErr w:type="spellEnd"/>
      <w:r w:rsidR="008F68E3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initially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complained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of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weight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loss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and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arthralgia</w:t>
      </w:r>
      <w:proofErr w:type="spellEnd"/>
      <w:r w:rsidR="000B15DC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The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findings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of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complementary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tests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were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consistent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with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Whipple's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disease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Antibiotics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Doxycycline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and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EC5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FB0EC5" w:rsidRPr="00FB0EC5">
        <w:rPr>
          <w:rFonts w:ascii="Times New Roman" w:hAnsi="Times New Roman" w:cs="Times New Roman"/>
          <w:color w:val="auto"/>
          <w:sz w:val="24"/>
          <w:szCs w:val="24"/>
        </w:rPr>
        <w:t>ulfamethoxazole-</w:t>
      </w:r>
      <w:r w:rsidR="00FB0EC5">
        <w:rPr>
          <w:rFonts w:ascii="Times New Roman" w:hAnsi="Times New Roman" w:cs="Times New Roman"/>
          <w:color w:val="auto"/>
          <w:sz w:val="24"/>
          <w:szCs w:val="24"/>
        </w:rPr>
        <w:t>T</w:t>
      </w:r>
      <w:r w:rsidR="00FB0EC5" w:rsidRPr="00FB0EC5">
        <w:rPr>
          <w:rFonts w:ascii="Times New Roman" w:hAnsi="Times New Roman" w:cs="Times New Roman"/>
          <w:color w:val="auto"/>
          <w:sz w:val="24"/>
          <w:szCs w:val="24"/>
        </w:rPr>
        <w:t>rimethoprim</w:t>
      </w:r>
      <w:proofErr w:type="spellEnd"/>
      <w:r w:rsidR="00FB0EC5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were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initiated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with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subsequent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clinical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improvement</w:t>
      </w:r>
      <w:proofErr w:type="spellEnd"/>
      <w:r w:rsidR="00690E8A" w:rsidRPr="00C4490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Although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0B15DC" w:rsidRPr="00C44906">
        <w:rPr>
          <w:rFonts w:ascii="Times New Roman" w:hAnsi="Times New Roman" w:cs="Times New Roman"/>
          <w:color w:val="auto"/>
          <w:sz w:val="24"/>
          <w:szCs w:val="24"/>
        </w:rPr>
        <w:t>this</w:t>
      </w:r>
      <w:proofErr w:type="spellEnd"/>
      <w:r w:rsidR="000B15DC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B15DC" w:rsidRPr="00C44906">
        <w:rPr>
          <w:rFonts w:ascii="Times New Roman" w:hAnsi="Times New Roman" w:cs="Times New Roman"/>
          <w:color w:val="auto"/>
          <w:sz w:val="24"/>
          <w:szCs w:val="24"/>
        </w:rPr>
        <w:t>disease</w:t>
      </w:r>
      <w:proofErr w:type="spellEnd"/>
      <w:r w:rsidR="000B15DC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should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be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considered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differential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diagnosis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patients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with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malabsorption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especially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considering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systemic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impact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possible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control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with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antibiotic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therapy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Keywords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absorption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Doxycycline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Weight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loss</w:t>
      </w:r>
      <w:proofErr w:type="spellEnd"/>
      <w:r w:rsidR="00690E8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A3935" w:rsidRPr="00C44906" w:rsidRDefault="001A393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A596A" w:rsidRPr="00C44906" w:rsidRDefault="005A596A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AD103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Introdução</w:t>
      </w:r>
    </w:p>
    <w:p w:rsidR="005A596A" w:rsidRPr="00C44906" w:rsidRDefault="005A596A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Vários mecanismos e causas podem perturbar o processo de absorção de </w:t>
      </w:r>
      <w:r w:rsidR="00FB0EC5">
        <w:rPr>
          <w:rFonts w:ascii="Times New Roman" w:eastAsia="Times New Roman" w:hAnsi="Times New Roman" w:cs="Times New Roman"/>
          <w:color w:val="auto"/>
          <w:sz w:val="24"/>
          <w:szCs w:val="24"/>
        </w:rPr>
        <w:t>nutrientes pela mucosa duodenal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levando à síndrome de má absorção intestinal. O presente </w:t>
      </w:r>
      <w:r w:rsidR="00FB0EC5">
        <w:rPr>
          <w:rFonts w:ascii="Times New Roman" w:eastAsia="Times New Roman" w:hAnsi="Times New Roman" w:cs="Times New Roman"/>
          <w:color w:val="auto"/>
          <w:sz w:val="24"/>
          <w:szCs w:val="24"/>
        </w:rPr>
        <w:t>artigo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tem por objetivo relatar um caso de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="001557F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(DW)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como causa rara dessa situação.</w:t>
      </w:r>
    </w:p>
    <w:p w:rsidR="002B41A2" w:rsidRPr="00C44906" w:rsidRDefault="001557F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 DW</w:t>
      </w:r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descrita pela primeira vez pelo patologista americano George </w:t>
      </w:r>
      <w:proofErr w:type="spellStart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Hoyt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em 1907, consiste em um processo infeccioso raro e </w:t>
      </w:r>
      <w:proofErr w:type="spellStart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multissistêmico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que geralmente é caracterizado por </w:t>
      </w:r>
      <w:proofErr w:type="spellStart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poliartralgia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uma síndrome de má ab</w:t>
      </w:r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sorção com perda de peso, diarre</w:t>
      </w:r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ia e dor abdominal.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infecção é estabelecida pelo bacilo gram-positivo, </w:t>
      </w:r>
      <w:proofErr w:type="spellStart"/>
      <w:r w:rsidR="006B7D86"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Tropheryma</w:t>
      </w:r>
      <w:proofErr w:type="spellEnd"/>
      <w:r w:rsidR="006B7D86"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6B7D86"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whipelii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da família das </w:t>
      </w:r>
      <w:proofErr w:type="spellStart"/>
      <w:r w:rsidR="006B7D86"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Actinobacterias</w:t>
      </w:r>
      <w:proofErr w:type="spellEnd"/>
      <w:r w:rsidR="006B7D8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do grupo </w:t>
      </w:r>
      <w:proofErr w:type="gramStart"/>
      <w:r w:rsidR="006B7D86"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Actinomycetes.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1-5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doença acomete principalmente indivíduos de meia idade, entre 35 e 60 anos, com a idade média de diagnóstico por volta dos 50 anos. Entre os caucasianos, é oito vezes mais comum em homens do que em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mulheres.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6-8   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 decorrência da raridade da doença e da ampla apresentação clínica, o diagnóstico é, em geral, tardio. Uma característica histológica clássica da doença que auxilia no diagnóstico é a presença, na lâmina própria da mucosa do intestino delgado, de infiltrados de macrófagos dilatados e positivos para o corante ácido periódico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Schiff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D02991">
        <w:rPr>
          <w:rFonts w:ascii="Times New Roman" w:eastAsia="Times New Roman" w:hAnsi="Times New Roman" w:cs="Times New Roman"/>
          <w:color w:val="auto"/>
          <w:sz w:val="24"/>
          <w:szCs w:val="24"/>
        </w:rPr>
        <w:t>PAS).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Apesar d</w:t>
      </w:r>
      <w:r w:rsidR="00105B04">
        <w:rPr>
          <w:rFonts w:ascii="Times New Roman" w:eastAsia="Times New Roman" w:hAnsi="Times New Roman" w:cs="Times New Roman"/>
          <w:color w:val="auto"/>
          <w:sz w:val="24"/>
          <w:szCs w:val="24"/>
        </w:rPr>
        <w:t>e 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intestino delgado ser o mais frequentemente afetado, a bactéria também pode ser encontrada em outros tecidos, como pele, cérebro, pericárdio, miocárdio,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sinóvia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entre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outros.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2,7,9,10</w:t>
      </w:r>
    </w:p>
    <w:p w:rsidR="002B41A2" w:rsidRPr="00C44906" w:rsidRDefault="006B7D86" w:rsidP="00D02991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Por se tratar de um processo infeccioso</w:t>
      </w:r>
      <w:r w:rsidR="00105B04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tratamento básico consiste na utilização de antibióticos, porém, sem essa abordagem, o c</w:t>
      </w:r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urso natural da doença é </w:t>
      </w:r>
      <w:proofErr w:type="gramStart"/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fatal.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5,7</w:t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5A596A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color w:val="auto"/>
          <w:sz w:val="24"/>
          <w:szCs w:val="24"/>
        </w:rPr>
        <w:t>Relato de Caso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Paciente, JSC, masculino, 51 anos, procurou atendimento médico no dia 21/11/07 com queixa de emagrecimento de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20kg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nos últimos 4 meses, dor abdomina</w:t>
      </w:r>
      <w:r w:rsidR="00D029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 e </w:t>
      </w:r>
      <w:proofErr w:type="spellStart"/>
      <w:r w:rsidR="00D02991">
        <w:rPr>
          <w:rFonts w:ascii="Times New Roman" w:eastAsia="Times New Roman" w:hAnsi="Times New Roman" w:cs="Times New Roman"/>
          <w:color w:val="auto"/>
          <w:sz w:val="24"/>
          <w:szCs w:val="24"/>
        </w:rPr>
        <w:t>artralgia</w:t>
      </w:r>
      <w:proofErr w:type="spellEnd"/>
      <w:r w:rsidR="00D029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bilateral de punhos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cotovelos, tornozelo </w:t>
      </w:r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e joelhos, negando febre, diarre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ia e vômitos.</w:t>
      </w:r>
      <w:r w:rsidR="00FB02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Ao exame</w:t>
      </w:r>
      <w:r w:rsidR="00105B04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FB02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apresentou </w:t>
      </w:r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índice de massa corpórea </w:t>
      </w:r>
      <w:r w:rsidR="002E07D0" w:rsidRP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 w:rsidR="00FB023B" w:rsidRP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IMC</w:t>
      </w:r>
      <w:r w:rsidR="002E07D0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FB023B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21 kg/m².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História familiar e pessoal s</w:t>
      </w:r>
      <w:r w:rsidR="00FB02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 dados relevantes ao caso. </w:t>
      </w:r>
      <w:r w:rsidR="00871A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Diante da avaliação inicial,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foram solicitados exames complementares cujos resultados são dispostos a seguir. </w:t>
      </w:r>
    </w:p>
    <w:p w:rsidR="006D1892" w:rsidRDefault="006B7D86" w:rsidP="006D1892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Os exames laboratoriais revelaram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anemia </w:t>
      </w:r>
      <w:proofErr w:type="spell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microcítica</w:t>
      </w:r>
      <w:proofErr w:type="spell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leucocitose,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plaquetose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fator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reumatóide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negativo, teste para </w:t>
      </w:r>
      <w:r w:rsidR="0007673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vírus da imunodeficiência humana </w:t>
      </w:r>
      <w:r w:rsidR="00076737" w:rsidRPr="00076737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 w:rsidRPr="00076737">
        <w:rPr>
          <w:rFonts w:ascii="Times New Roman" w:eastAsia="Times New Roman" w:hAnsi="Times New Roman" w:cs="Times New Roman"/>
          <w:color w:val="auto"/>
          <w:sz w:val="24"/>
          <w:szCs w:val="24"/>
        </w:rPr>
        <w:t>HIV</w:t>
      </w:r>
      <w:r w:rsidR="00076737" w:rsidRPr="00076737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negativo, provas de atividade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inflamatória (Proteína C Reativa e Velocidade de Hemossedimentação) </w:t>
      </w:r>
      <w:r w:rsidR="00235ED3">
        <w:rPr>
          <w:rFonts w:ascii="Times New Roman" w:eastAsia="Times New Roman" w:hAnsi="Times New Roman" w:cs="Times New Roman"/>
          <w:color w:val="auto"/>
          <w:sz w:val="24"/>
          <w:szCs w:val="24"/>
        </w:rPr>
        <w:t>elevadas</w:t>
      </w:r>
      <w:proofErr w:type="gramEnd"/>
      <w:r w:rsidR="00235ED3">
        <w:rPr>
          <w:rFonts w:ascii="Times New Roman" w:eastAsia="Times New Roman" w:hAnsi="Times New Roman" w:cs="Times New Roman"/>
          <w:color w:val="auto"/>
          <w:sz w:val="24"/>
          <w:szCs w:val="24"/>
        </w:rPr>
        <w:t>, colesterol total e LDL-colesterol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aumentados.</w:t>
      </w:r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teste tuberculínico (</w:t>
      </w:r>
      <w:r w:rsidR="00974CDD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PPD</w:t>
      </w:r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 foi negativo. </w:t>
      </w:r>
    </w:p>
    <w:p w:rsidR="00974CDD" w:rsidRDefault="006B7D86" w:rsidP="006D1892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tomografia computadorizada (TC) de abdome superior indicou a presença de grandes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adenomegalias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mesentéricas, celíacas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retroperitoneais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, com caráter inespecífico (figura 1). A</w:t>
      </w:r>
      <w:r w:rsidR="006D18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radiografia de tórax, 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TC de tórax </w:t>
      </w:r>
      <w:r w:rsidR="00295BD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 a ultrassonografia de abdome </w:t>
      </w:r>
      <w:r w:rsidR="00871A40"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="00F650A3">
        <w:rPr>
          <w:rFonts w:ascii="Times New Roman" w:eastAsia="Times New Roman" w:hAnsi="Times New Roman" w:cs="Times New Roman"/>
          <w:color w:val="auto"/>
          <w:sz w:val="24"/>
          <w:szCs w:val="24"/>
        </w:rPr>
        <w:t>stava</w:t>
      </w:r>
      <w:r w:rsidR="00295BDD">
        <w:rPr>
          <w:rFonts w:ascii="Times New Roman" w:eastAsia="Times New Roman" w:hAnsi="Times New Roman" w:cs="Times New Roman"/>
          <w:color w:val="auto"/>
          <w:sz w:val="24"/>
          <w:szCs w:val="24"/>
        </w:rPr>
        <w:t>m</w:t>
      </w:r>
      <w:r w:rsidR="00F650A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dentro dos padrões da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normal</w:t>
      </w:r>
      <w:r w:rsidR="00871A40">
        <w:rPr>
          <w:rFonts w:ascii="Times New Roman" w:eastAsia="Times New Roman" w:hAnsi="Times New Roman" w:cs="Times New Roman"/>
          <w:color w:val="auto"/>
          <w:sz w:val="24"/>
          <w:szCs w:val="24"/>
        </w:rPr>
        <w:t>idade</w:t>
      </w:r>
      <w:r w:rsidR="009F61B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B00C1E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Foi realizada </w:t>
      </w:r>
      <w:r w:rsidR="009F61B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uma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endoscopia digestiva alta (EDA) com biópsia gástrica e duodenal. A mucosa gástrica exibia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enantema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moderada intensidade com biópsia indicando atividade inflamatória moderada e presença de </w:t>
      </w:r>
      <w:proofErr w:type="spellStart"/>
      <w:r w:rsidRPr="00092AA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H</w:t>
      </w:r>
      <w:r w:rsidR="00235ED3" w:rsidRPr="00092AA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elicobacter</w:t>
      </w:r>
      <w:proofErr w:type="spellEnd"/>
      <w:r w:rsidRPr="00092AA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235ED3" w:rsidRPr="00092AA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p</w:t>
      </w:r>
      <w:r w:rsidRPr="00092AA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ylori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a segunda porção do duodeno revelou mucosa esbranquiçada e friável ao toque do aparelho (figura 2). A 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avaliação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histopatológica revelou atividade inflamatória moderada, com acúmulo de mac</w:t>
      </w:r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>rófagos na lâmina própria, PAS positivos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(figura 3), promovendo expansão do estroma e al</w:t>
      </w:r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argamento dos </w:t>
      </w:r>
      <w:proofErr w:type="spellStart"/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>vilos</w:t>
      </w:r>
      <w:proofErr w:type="spellEnd"/>
      <w:r w:rsidR="00974CDD">
        <w:rPr>
          <w:rFonts w:ascii="Times New Roman" w:eastAsia="Times New Roman" w:hAnsi="Times New Roman" w:cs="Times New Roman"/>
          <w:color w:val="auto"/>
          <w:sz w:val="24"/>
          <w:szCs w:val="24"/>
        </w:rPr>
        <w:t>, acompanhado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linfangiectasia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acúmulo de gordura (figura 4)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reunião </w:t>
      </w:r>
      <w:r w:rsidR="00EA62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 todos esses achados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foi consistente com DW, sendo iniciado tratamento com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ceftriaxona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IM 2g/dia por 14 dias e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após o 14º dia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foi iniciado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esquema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10mg de 12/12 h e </w:t>
      </w:r>
      <w:proofErr w:type="spellStart"/>
      <w:r w:rsidR="00E1153A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="00E1153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800 g de </w:t>
      </w:r>
      <w:proofErr w:type="spell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Sulfametoxazol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12/12 h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com </w:t>
      </w:r>
      <w:r w:rsidR="00E1047F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160 g de </w:t>
      </w:r>
      <w:proofErr w:type="spellStart"/>
      <w:r w:rsidR="00E1047F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Tri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metoprima</w:t>
      </w:r>
      <w:proofErr w:type="spellEnd"/>
      <w:r w:rsidR="00E1153A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Também foi pres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crito uso de </w:t>
      </w:r>
      <w:proofErr w:type="spell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Neutrofer</w:t>
      </w:r>
      <w:proofErr w:type="spell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 melhora da anemia após </w:t>
      </w:r>
      <w:proofErr w:type="gram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proofErr w:type="gram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meses. 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Durante a antibioticoterapia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paciente cursou com melhora da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artralgia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obteve leve ganho de peso. Após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meses,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foi suspensa e 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doente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apresentou astenia, dispneia aos esforços, turgência jugular à 45º e abafamento de bulhas cardíacas. Diante d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este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quadro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foi solicitado um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ecocardiograma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que apresentou como resultados pericardite com derrame pericárdico e derrame pleural à esquerda. Paciente foi internado,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foi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reintroduzido o uso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novos exames com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plementares foram solicitados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. O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novo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ecocardiograma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evidenciou sinais discretos de constrição pericárdica e a ressonância magnética cardíaca revelou sinais de pericardite constritiva e derrame pericárdico de grau moderado. Após 10 dias de internação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paciente havia melhorado clinicamente e recebeu alta hospitalar mantenho o uso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o acompanhamento regular ambulatorial com cardiologista. A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pós </w:t>
      </w:r>
      <w:proofErr w:type="gram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proofErr w:type="gram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meses da alta hospitalar</w:t>
      </w:r>
      <w:r w:rsidR="00B00C1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um novo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ecocardiograma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revelou retorno aos parâmetros da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normalidade. 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Após 10 meses do retorno da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, a avaliação clínica do paciente revelou ausência da sintomatologia articular, provas de atividade inflamatória dentro da normalidade e considerável ganho de peso (IMC de 25 kg/m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), sendo que seu uso foi novamente suspenso. Após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meses de sua suspensão, foi realizada uma nova EDA, que evidenciou a presença de gastrite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enantemática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antral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nova biópsia de antro e delgado revelou a presença de gastrite ativa acentuada com H.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pylori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presença de macrófagos PAS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positivos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em lâmina própria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linfangiectasia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Foi prescrito tratamento pa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ra </w:t>
      </w:r>
      <w:proofErr w:type="spellStart"/>
      <w:r w:rsidR="00E1047F" w:rsidRPr="007916E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H</w:t>
      </w:r>
      <w:r w:rsidR="007916E6" w:rsidRPr="007916E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elicobacter</w:t>
      </w:r>
      <w:proofErr w:type="spellEnd"/>
      <w:r w:rsidR="00E1047F" w:rsidRPr="007916E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E1047F" w:rsidRPr="007916E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pylori</w:t>
      </w:r>
      <w:proofErr w:type="spell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retorno ao uso da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E1047F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esquema conjunto </w:t>
      </w:r>
      <w:proofErr w:type="spellStart"/>
      <w:r w:rsidR="009143EA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foi utilizado por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meses, quando o </w:t>
      </w:r>
      <w:proofErr w:type="spellStart"/>
      <w:r w:rsidR="009143EA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foi suspenso da prescrição. Nova EDA foi realizada e a avaliação histológica da biópsia de delgado revelou ligeiro acúmulo de macrófagos em mucosa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linfangiectasia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mas com arquitetura de </w:t>
      </w:r>
      <w:proofErr w:type="spellStart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vilos</w:t>
      </w:r>
      <w:proofErr w:type="spellEnd"/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preservada,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achados consistente</w:t>
      </w:r>
      <w:r w:rsid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s com persistência da infecção.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Paciente retornou ao médico com perda de peso (IMC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23kg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/m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), sendo novamente prescrito o esquema combinado de antibióticos supracitados, com posterior melhora das alterações na mucosa duodenal, comprovada por EDA com biópsia. </w:t>
      </w:r>
    </w:p>
    <w:p w:rsidR="005A596A" w:rsidRPr="00C44906" w:rsidRDefault="005A596A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5A596A" w:rsidP="00C44906">
      <w:pPr>
        <w:tabs>
          <w:tab w:val="left" w:pos="851"/>
          <w:tab w:val="left" w:pos="7513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Discussão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DW </w:t>
      </w:r>
      <w:r w:rsidR="00826A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promove 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alterações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fase mucosa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 o que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</w:t>
      </w:r>
      <w:r w:rsidR="00826A26">
        <w:rPr>
          <w:rFonts w:ascii="Times New Roman" w:eastAsia="Times New Roman" w:hAnsi="Times New Roman" w:cs="Times New Roman"/>
          <w:color w:val="auto"/>
          <w:sz w:val="24"/>
          <w:szCs w:val="24"/>
        </w:rPr>
        <w:t>nterfe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re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assimilação e absorção de nutrientes 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na fase pós-mucosa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provoca falha na liberação e transporte dos nutrientes para os linfáticos ou sist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ema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porta.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2,11,12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Aparentemente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 processo infeccioso da doença resulta de uma incapacidade na degradação intracelular do bacilo </w:t>
      </w:r>
      <w:proofErr w:type="spellStart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Tropheryma</w:t>
      </w:r>
      <w:proofErr w:type="spellEnd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whipelii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pelos macrófagos. Acredita-se que sua destruição incompleta seja influência de uma susceptibilidade individual ao organismo. Há produção preservada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quimiocinas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pelos macrófagos com recrutamento de novas células, promovendo </w:t>
      </w:r>
      <w:r w:rsidR="0099312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seu acúmulo no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s</w:t>
      </w:r>
      <w:r w:rsidR="0099312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99312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tecido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2,11,12 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denso acúmulo tecidual de macrófagos, inclusive na mucosa intestinal, forma uma barreira física com distorção do padrão estrutur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das vilosidades intestinais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que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por consequência, perturba o transporte de nutrientes através da mucosa. 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Esta, por sua vez,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encontra-se com achatamento das vilosidades e edemaciada, com espessamento da parede intestinal 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devido ao acúmulo de macrófagos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há distensão da lâmina </w:t>
      </w:r>
      <w:proofErr w:type="gramStart"/>
      <w:r w:rsidR="003E2B91">
        <w:rPr>
          <w:rFonts w:ascii="Times New Roman" w:eastAsia="Times New Roman" w:hAnsi="Times New Roman" w:cs="Times New Roman"/>
          <w:color w:val="auto"/>
          <w:sz w:val="24"/>
          <w:szCs w:val="24"/>
        </w:rPr>
        <w:t>própria.</w:t>
      </w:r>
      <w:proofErr w:type="gramEnd"/>
      <w:r w:rsidR="003E2B91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11-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14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Concomitantemente, há o envolvimento dos linfonodos mese</w:t>
      </w:r>
      <w:r w:rsidR="007916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ntéricos e dilatação linfática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como resultado do acúmulo de macrófagos nos linfonodos, proporcionando uma obstrução ao fluxo linfático que culmina na perturbação do transporte de lipídios. Geralmente os vasos linfáticos da mucosa e submucosa encontram-se dilatados e com gotículas de gorduras acumuladas. Como consequência dessa o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bstrução, há deposição de lipídios nas vilosidades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duodenais.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12,14,15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preenchimento da lâmina pró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pria pelos macrófagos, associado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à obstrução e ruptura linfática com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enteropatia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perdedora de proteínas, 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é responsável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pelo quadro de má absorção na DW. Os defeitos 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na absorção intestinal de lipídi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os, vitaminas lipossolúveis, proteínas, carboidratos, eletrólitos, minerais e</w:t>
      </w:r>
      <w:r w:rsidR="007916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água, apresentam-se como diarre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crônica, perda de peso, anorexia, distensão abdominal,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hipoa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lbuminemia</w:t>
      </w:r>
      <w:proofErr w:type="spellEnd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anemia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ferropriva.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2,13,15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apresentação típica da doença no momento do diagnóstico consiste em uma síndrome de má absorção cursando com </w:t>
      </w:r>
      <w:r w:rsidRPr="007916E6">
        <w:rPr>
          <w:rFonts w:ascii="Times New Roman" w:eastAsia="Times New Roman" w:hAnsi="Times New Roman" w:cs="Times New Roman"/>
          <w:color w:val="auto"/>
          <w:sz w:val="24"/>
          <w:szCs w:val="24"/>
        </w:rPr>
        <w:t>diarreia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esteatorréica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com fezes volumosas e emagrecimento. Geralmente é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precedida, em meses ou anos, por outros sintomas, como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poliartrite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, sintomas gastrintestinais como dor abdominal, sintomas constitucionais como febre recorrente e fadiga 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mais raramente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manifestações neurológicas como as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mio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clonias</w:t>
      </w:r>
      <w:proofErr w:type="spellEnd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convulsões e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disfasia.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Em mais de 60% dos casos de pacientes com DW é encontrada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poliartrite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inflamatória, simétrica, migratória, não erosiva, de curta duração, recorrente e que envolve preferencialmente articulações periféricas.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sinóvia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das articulações apresenta infiltrado inflamatório mononuclear, com nódulos subcutâneos que algumas vezes são interpretados erroneamente como artrite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reumatóide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Todavia, tais pacientes apresentam fator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reumatóide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negativo, como 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é o caso do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sso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relato.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7,17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acúmulo de macrófagos também pode ocorrer em membranas serosas e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nesses casos</w:t>
      </w:r>
      <w:r w:rsidR="00D7440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pode estar associado à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serosites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derrames em cavidades serosas. O envolvimento cardíaco não é incomum, podendo haver envolvimento do endocárdio, miocárdio, pericárdio e até mesmo das artérias coronárias. 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presente relato de caso demonstra tal tipo de acometimento da 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DW.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7,18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Os achados laboratoriais 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 DW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são geralmente inespecíficos, podendo ser encontrados leucocitose, anemia,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hipoalbunimenia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aumento das proteínas de fas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e aguda (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velocidade de hemossed</w:t>
      </w:r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imentação e proteína C reativa</w:t>
      </w:r>
      <w:proofErr w:type="gramStart"/>
      <w:r w:rsidR="009A3227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3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Para além das suspeitas clínicas e alterações laboratoriais, existem também alterações radiológicas e endoscópicas que podem sugerir o diagnóstico de DW. Na </w:t>
      </w:r>
      <w:r w:rsidR="00066489">
        <w:rPr>
          <w:rFonts w:ascii="Times New Roman" w:eastAsia="Times New Roman" w:hAnsi="Times New Roman" w:cs="Times New Roman"/>
          <w:color w:val="auto"/>
          <w:sz w:val="24"/>
          <w:szCs w:val="24"/>
        </w:rPr>
        <w:t>EDA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encontramos frequentemente o espessamento das pregas da mucosa e exsudatos esbranquiçados confluentes a alternar com erosões e regiões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friabilidade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 mucosa. Na ultrassonografia abdominal ou na </w:t>
      </w:r>
      <w:r w:rsidR="006D1892">
        <w:rPr>
          <w:rFonts w:ascii="Times New Roman" w:eastAsia="Times New Roman" w:hAnsi="Times New Roman" w:cs="Times New Roman"/>
          <w:color w:val="auto"/>
          <w:sz w:val="24"/>
          <w:szCs w:val="24"/>
        </w:rPr>
        <w:t>TC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abdominal, observa-se, geralmente, aumento dos nódulos linfáticos do mesentério. Pelo fato de cursar com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linfadenomegalia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é necessário excluir alguns diagnósticos diferenciais, como a tuberculose e o linfoma. Essas doenças podem explicar sintomas semelhantes à DW, como sintomas gastrointestinais, febre e adenopatias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retroperitoneais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porém dificilmente explicam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poliartralgia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prévia. Além disso, em nosso relato, o paciente apresentou radiografia de tórax sem alterações associado ao teste tuberculínico com resultado negativo, evidenciando a não expo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sição ao bacilo da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tuberculose.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2,3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 relato apresentado, bem como na maioria dos casos da DW, o diagnóstico definitivo foi obtido através da identificação histopatológica de macrófagos espumosos infiltrando a lâmina própria nas biopsias do intestino delgado, feitas por </w:t>
      </w:r>
      <w:r w:rsidR="00CE2448">
        <w:rPr>
          <w:rFonts w:ascii="Times New Roman" w:eastAsia="Times New Roman" w:hAnsi="Times New Roman" w:cs="Times New Roman"/>
          <w:color w:val="auto"/>
          <w:sz w:val="24"/>
          <w:szCs w:val="24"/>
        </w:rPr>
        <w:t>EDA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Estes macrófagos têm inclusões PAS positivas que constituem uma característica da doença, mas ela não é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patognomônica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uma vez que macrófagos com coloração positiva para o método do ácido periódico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Schiff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podem ser confundidos com macrófagos infiltrados por bactérias </w:t>
      </w:r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Mycobacterium </w:t>
      </w:r>
      <w:proofErr w:type="spellStart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avium</w:t>
      </w:r>
      <w:proofErr w:type="spellEnd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intracellulare</w:t>
      </w:r>
      <w:proofErr w:type="spellEnd"/>
      <w:r w:rsidRPr="00C4490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,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que se coram positivame</w:t>
      </w:r>
      <w:r w:rsidR="009143EA">
        <w:rPr>
          <w:rFonts w:ascii="Times New Roman" w:eastAsia="Times New Roman" w:hAnsi="Times New Roman" w:cs="Times New Roman"/>
          <w:color w:val="auto"/>
          <w:sz w:val="24"/>
          <w:szCs w:val="24"/>
        </w:rPr>
        <w:t>nte pelo método ácido resistente,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identificados em pacientes aidéticos. Nesse caso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torna-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se importante o diagnóstico diferencial com síndrome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 imunodeficiência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adquirida.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7,13,17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Atualmente a técnica de PCR permite o isolamento do DNA da bactéria em vários tecidos, como nas biopsias de intestino delgado e gânglios linfáticos, no líquido cefalorraquidiano, no sangue periférico, no líquido pleural, no líquido sinovial e nas fezes. Esta técnica apresenta sensibilidade e especificidade elevadas quando usada para confirmar o diagnóstico e monito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rizar a resposta à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terapêutica.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tratamento da DW consiste na antibioticoterapia, sendo que a doença não tratada pode ser fatal. Geralmente os pacientes tratados evoluem com melhora clínica e laboratorial. Atualmente a primeira escolha 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terapêutica é o </w:t>
      </w:r>
      <w:proofErr w:type="spell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800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/160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mg, duas vezes ao dia, por no mínimo dois anos. Esta terapêutica pode</w:t>
      </w:r>
      <w:r w:rsidR="00645AE1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ser precedida por penicilina G intravenosa</w:t>
      </w:r>
      <w:r w:rsidR="008448C9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1,2 milh</w:t>
      </w:r>
      <w:r w:rsidR="008448C9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ões de unidad</w:t>
      </w:r>
      <w:r w:rsidR="00645AE1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es/dia, associada </w:t>
      </w:r>
      <w:r w:rsidR="008448C9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com estreptomicina 1g/dia</w:t>
      </w:r>
      <w:r w:rsidR="00CE24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durante duas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semanas e manutenção conforme necessidade o</w:t>
      </w:r>
      <w:r w:rsidR="00294FD0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ceftriaxone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g, 12/12 horas). As alternativas ao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são o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cefixime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, o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cloranfenicol</w:t>
      </w:r>
      <w:proofErr w:type="spellEnd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doxiciclina.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2,13,17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Associado à terapia antibiótica, deve-se fazer a correção de déficits nutricionais e administrar ácido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folínico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 tratamento prolongado com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cotrimoxazol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A remissão completa dos sintomas é geralmente obtida ao fim de alguns dias ou semanas de tratamento, em cerca de 90% dos casos. A regressão histológica e a nega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tivação do PCR são mais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lentas.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13,17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prognóstico da DW é bom quando ela é adequadamente tratada, porém, a despeito do uso da antibioticoterapia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é difícil reverter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as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alterações neurológicas. As recidivas são frequentes e em média ocorrem após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anos do diagnóstico, sendo o sistema nervoso central um dos locais preferenciais. Por essa razão, deve-se manter o seguimento clínico dos p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acientes com DW por, pelo menos,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 anos, com monitorização clínica e laboratorial, 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almejando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normalizar os parâmetros de absorção intestinal e a regressão d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as alterações 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histopatológicas.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2,13,17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Além de importância diagnóstica, a obtenção de biópsias duodenais e/ou jejunais e a utilização da PCR apresentam papel na vigilância e na monitorização da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terapêutica.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2,13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resposta ao tratamento consiste na melhora dos sintomas gastrointestinais, com rápido aumento de peso e normalização dos exames laboratoriais. Quando a remissão clínica é obtida, não se recomenda mais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seguimento com biópsias intestinais, dada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persistência, por períod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o prolongado, de macrófagos PAS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positivos na lâmina própria, contrariamente aos bacilos livres, que desaparecem rapidamente com a terapia adequada. Isso significa que a positividade da PAS após o tratamento adequado pode corresponder a um falso positivo e não a uma recidiva. Nesses casos de persistência de alterações histológicas após tratamento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adequado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, uma PCR negativa irá excluir a recidiva da doença, por apresentar um va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lor preditivo negativo de 100%</w:t>
      </w:r>
      <w:proofErr w:type="gramStart"/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2,13</w:t>
      </w: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Em nosso relato, após diagnóstico definitivo de DW pelo histopatológico, o paciente foi tratado com antibióticos por um período superior a dois anos, apresentando ganho ponderal de 15 Kg e redução do volume dos linfonodos, com post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erior melhora das alterações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E6614">
        <w:rPr>
          <w:rFonts w:ascii="Times New Roman" w:eastAsia="Times New Roman" w:hAnsi="Times New Roman" w:cs="Times New Roman"/>
          <w:color w:val="auto"/>
          <w:sz w:val="24"/>
          <w:szCs w:val="24"/>
        </w:rPr>
        <w:t>histopatológicas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comprovadas por </w:t>
      </w:r>
      <w:r w:rsidR="00CD5E49">
        <w:rPr>
          <w:rFonts w:ascii="Times New Roman" w:eastAsia="Times New Roman" w:hAnsi="Times New Roman" w:cs="Times New Roman"/>
          <w:color w:val="auto"/>
          <w:sz w:val="24"/>
          <w:szCs w:val="24"/>
        </w:rPr>
        <w:t>EDA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 biópsia. </w:t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5A596A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Conclusão</w:t>
      </w:r>
    </w:p>
    <w:p w:rsidR="002B41A2" w:rsidRPr="00C44906" w:rsidRDefault="006B7D86" w:rsidP="00C44906">
      <w:pPr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Embora rara, a DW deve ser considerada como diagnóstico diferencial em pacientes com má absorção intestinal, principalmente considerando o impacto sistêmico da doença e seu possível franco controle com a antibioticoterapia. Seu diagnóstico tardio é acompanhado de prejuízo à sobrevida dos pacientes e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mesmo quando detectada e tratada adequadamente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sua evolução clínica deve ser monitorada durante a terapêutica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fim de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>firmar a resposta ao tratamento. O acompanhamento dos pacientes com DW deve persistir por vários anos após o término do tratamento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707E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com </w:t>
      </w:r>
      <w:r w:rsidR="00E3169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objetivo </w:t>
      </w:r>
      <w:bookmarkStart w:id="0" w:name="_GoBack"/>
      <w:bookmarkEnd w:id="0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 evitar recidivas tardias. </w:t>
      </w:r>
    </w:p>
    <w:p w:rsidR="00236D36" w:rsidRPr="00C44906" w:rsidRDefault="00236D36" w:rsidP="006E6614">
      <w:pPr>
        <w:tabs>
          <w:tab w:val="left" w:pos="851"/>
        </w:tabs>
        <w:spacing w:before="40" w:after="40" w:line="360" w:lineRule="auto"/>
        <w:ind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36D36" w:rsidRPr="00C44906" w:rsidRDefault="00236D3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Referências bibliográficas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Dutly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F,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Altwegg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M.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“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Tropheryma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whippelli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”.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Clin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Micro</w:t>
      </w:r>
      <w:r w:rsidR="00F25AF8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biol</w:t>
      </w:r>
      <w:proofErr w:type="spellEnd"/>
      <w:r w:rsidR="00F25AF8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="00F25AF8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Rev</w:t>
      </w:r>
      <w:proofErr w:type="spellEnd"/>
      <w:r w:rsidR="00F25AF8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2001 July; 14(3): 561-5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83.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Oliveira L, Gorjão R, Deus JR.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. J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Port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Gastrenterol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2010 Mar; 17(2): 69-77.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Carneiro AC, Lima P, Barbosa IP, Chaves FC.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Um desafio diagnóstic</w:t>
      </w:r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o. Acta </w:t>
      </w:r>
      <w:proofErr w:type="spellStart"/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>Med</w:t>
      </w:r>
      <w:proofErr w:type="spellEnd"/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>Port</w:t>
      </w:r>
      <w:proofErr w:type="spellEnd"/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2004; 17: 481-4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86. 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Longman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RS, Moreira RK,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Sethi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A.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Infection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with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Systemic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Effects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Gastroenterol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</w:t>
      </w:r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>epatol</w:t>
      </w:r>
      <w:proofErr w:type="spellEnd"/>
      <w:r w:rsidR="00F25A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(NY) 2012 Jan; 8(1): 60-6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Moos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V, Schmidt C,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Geelhaar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Kunkel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Allers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Schinnerling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K,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et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Impaired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immune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functions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monocytes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macrophages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Gastroenterology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2010 Jan; 138(1): 210-220.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Nizam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Johnstone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Ridpath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J, Davies G,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Gough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unusual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cause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diarrhoea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arthritis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Clin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Rheumatol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2013 Mar; 32(1):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3-5</w:t>
      </w:r>
      <w:proofErr w:type="gramEnd"/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Pyrgioti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Kyriakidis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review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nnals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Gastroenterology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 xml:space="preserve"> 2004; 17: 43-50.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Marth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Raoult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 The Lancet 2003 Jan; 361: 239-246.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Sleisenger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Fordtran’s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Gastrointestinal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Liver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7th </w:t>
      </w:r>
      <w:proofErr w:type="spellStart"/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edit</w:t>
      </w:r>
      <w:proofErr w:type="spellEnd"/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254166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São Paulo: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Elsevier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2002.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Section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10. P. 139-150.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Neumann H,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Mönkemüller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Malfrtheiner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P.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Clin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Gastroenterol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Hepatol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2008; 6(8): A32.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Campos JVM, Barbieri D. Má Absorção intestinal. In: Barbieri D,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Koda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YKL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.,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Doenças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Gastrenterológicas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em Pediatria.1 ed., São Paulo: Atheneu, 1996: 146-152.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Feurle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GE,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Moos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Schinnerling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K,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et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al. The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immune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reconstitution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inflammatory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syndrome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a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cohort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study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Ann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Intern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2010; 153: 710–717.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Silva M, Bragança I, Parreira M, Pedroso E, Miranda C.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um caso.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Med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Interna 2002; 9(2): 87-91.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Pavli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P., L. Maxwell, E. Van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F. Doe. 1996.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Distribution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human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colonic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dendritic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cells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macrophages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Clin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Exp.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Immunol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1996; 104: 124–132.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Verhagen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WI,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Huygen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PL,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Dalman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JE,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Schuurmans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MM.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central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nervous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system: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 case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report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review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literature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Clin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Neurol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Neurosurg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1996; 98: 299–304.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Brühlmann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P, Michel BA,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Altwegg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Diagnosis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therapy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monitoring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of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arthritis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by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polymerase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chain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reaction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Rheumatology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2000;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39:1427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–1428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Santos E, Malheiro F, Vilas AP, Sequeira J, Madruga I,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Abecasis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P. Doença de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- a propósito de um caso</w:t>
      </w:r>
      <w:r w:rsidRPr="00C4490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[</w:t>
      </w:r>
      <w:r w:rsidR="00624D2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acesso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em </w:t>
      </w:r>
      <w:r w:rsidR="00624D2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 de julho de </w:t>
      </w: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2013]. Disponível em: http://www.spmi.pt/revista/vol09/v09_n4_doenca_wipple.pdf</w:t>
      </w:r>
    </w:p>
    <w:p w:rsidR="00236D36" w:rsidRPr="00C44906" w:rsidRDefault="00236D36" w:rsidP="00C44906">
      <w:pPr>
        <w:numPr>
          <w:ilvl w:val="0"/>
          <w:numId w:val="1"/>
        </w:numPr>
        <w:tabs>
          <w:tab w:val="left" w:pos="1560"/>
        </w:tabs>
        <w:spacing w:before="40" w:after="40" w:line="360" w:lineRule="auto"/>
        <w:ind w:left="1134" w:right="1134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Freychet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L, Duboc D,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Guerin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F,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Chomette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Constrictive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pericarditis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and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Whipple’s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disease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Arch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Mal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Coeur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Vaiss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1990; </w:t>
      </w:r>
      <w:proofErr w:type="gram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3:1729</w:t>
      </w:r>
      <w:proofErr w:type="gram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-32.</w:t>
      </w:r>
    </w:p>
    <w:p w:rsidR="002B41A2" w:rsidRPr="00C44906" w:rsidRDefault="002B41A2" w:rsidP="00C44906">
      <w:pPr>
        <w:tabs>
          <w:tab w:val="left" w:pos="1560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624D25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color w:val="auto"/>
          <w:sz w:val="24"/>
          <w:szCs w:val="24"/>
        </w:rPr>
        <w:t>Anexos</w:t>
      </w: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6339639D" wp14:editId="2BAF746C">
            <wp:extent cx="4685749" cy="5493216"/>
            <wp:effectExtent l="0" t="0" r="0" b="0"/>
            <wp:docPr id="1" name="image02.jpg" descr="adenomegal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 descr="adenomegalia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5749" cy="5493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41A2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Figura 1: Tomografia computadorizada de abdome superior com a presença de grandes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adenomegalias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mesentéricas, celíacas e </w:t>
      </w:r>
      <w:proofErr w:type="spellStart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retroperitoneais</w:t>
      </w:r>
      <w:proofErr w:type="spellEnd"/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com caráter inespecífico. </w:t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05122CC7" wp14:editId="254C8418">
            <wp:extent cx="5057180" cy="3806904"/>
            <wp:effectExtent l="0" t="0" r="0" b="0"/>
            <wp:docPr id="2" name="image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180" cy="38069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70CF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Figura 2:</w:t>
      </w:r>
      <w:r w:rsidR="001870CF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 Endoscopia digestiva alta </w:t>
      </w:r>
      <w:r w:rsidR="00FB2CA8" w:rsidRPr="00C44906">
        <w:rPr>
          <w:rFonts w:ascii="Times New Roman" w:hAnsi="Times New Roman" w:cs="Times New Roman"/>
          <w:color w:val="auto"/>
          <w:sz w:val="24"/>
          <w:szCs w:val="24"/>
        </w:rPr>
        <w:t xml:space="preserve">com </w:t>
      </w:r>
      <w:r w:rsidR="001870CF" w:rsidRPr="009F61BC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FB2CA8" w:rsidRPr="009F61BC">
        <w:rPr>
          <w:rFonts w:ascii="Times New Roman" w:eastAsia="Times New Roman" w:hAnsi="Times New Roman" w:cs="Times New Roman"/>
          <w:color w:val="auto"/>
          <w:sz w:val="24"/>
          <w:szCs w:val="24"/>
        </w:rPr>
        <w:t>egunda porção do duodeno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revelando</w:t>
      </w:r>
      <w:r w:rsidR="001870CF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mucosa esbranquiçada e friável a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o toque do aparelho.</w:t>
      </w: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0374503C" wp14:editId="2036B42A">
            <wp:extent cx="5463372" cy="3629379"/>
            <wp:effectExtent l="0" t="0" r="0" b="0"/>
            <wp:docPr id="3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3372" cy="36293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B2CA8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Figura 3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FB2CA8" w:rsidRPr="00C4490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valiaç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ã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histopatológica 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 </w:t>
      </w:r>
      <w:r w:rsidR="009F61BC" w:rsidRPr="00E1047F">
        <w:rPr>
          <w:rFonts w:ascii="Times New Roman" w:eastAsia="Times New Roman" w:hAnsi="Times New Roman" w:cs="Times New Roman"/>
          <w:color w:val="auto"/>
          <w:sz w:val="24"/>
          <w:szCs w:val="24"/>
        </w:rPr>
        <w:t>região</w:t>
      </w:r>
      <w:r w:rsidR="00E1047F" w:rsidRPr="00E1047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duodenal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B2CA8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com acúmulo de macrófagos na lâmina p</w:t>
      </w:r>
      <w:r w:rsidR="00DB6875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rópria, PAS positivos.</w:t>
      </w: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2041" w:rsidRPr="00C44906" w:rsidRDefault="006B7D86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6DAA62BB" wp14:editId="3C9A97F8">
            <wp:extent cx="6036919" cy="3886200"/>
            <wp:effectExtent l="0" t="0" r="0" b="0"/>
            <wp:docPr id="4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6919" cy="388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4B6A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Figura 4</w:t>
      </w:r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9F4B6A" w:rsidRPr="00C4490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Avaliação histopatológica de </w:t>
      </w:r>
      <w:r w:rsidR="00763011" w:rsidRPr="00763011">
        <w:rPr>
          <w:rFonts w:ascii="Times New Roman" w:eastAsia="Times New Roman" w:hAnsi="Times New Roman" w:cs="Times New Roman"/>
          <w:color w:val="auto"/>
          <w:sz w:val="24"/>
          <w:szCs w:val="24"/>
        </w:rPr>
        <w:t>região duodenal</w:t>
      </w:r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com acúmulo de macrófagos na lâmina própria, promovendo expansão do estroma e alargamento dos </w:t>
      </w:r>
      <w:proofErr w:type="spellStart"/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vilos</w:t>
      </w:r>
      <w:proofErr w:type="spellEnd"/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acompanhado de </w:t>
      </w:r>
      <w:proofErr w:type="spellStart"/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>linfangiectasia</w:t>
      </w:r>
      <w:proofErr w:type="spellEnd"/>
      <w:r w:rsidR="009F4B6A" w:rsidRPr="00C4490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acúmulo de gordura, alterações sugestivas de DW. </w:t>
      </w:r>
    </w:p>
    <w:p w:rsidR="00462041" w:rsidRPr="00C44906" w:rsidRDefault="00462041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2B41A2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B41A2" w:rsidRPr="00C44906" w:rsidRDefault="00FB2AAD" w:rsidP="00C44906">
      <w:pPr>
        <w:tabs>
          <w:tab w:val="left" w:pos="851"/>
        </w:tabs>
        <w:spacing w:before="40" w:after="40" w:line="360" w:lineRule="auto"/>
        <w:ind w:left="1134" w:right="113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4906">
        <w:rPr>
          <w:rFonts w:ascii="Times New Roman" w:hAnsi="Times New Roman" w:cs="Times New Roman"/>
          <w:color w:val="auto"/>
          <w:sz w:val="24"/>
          <w:szCs w:val="24"/>
        </w:rPr>
        <w:tab/>
      </w:r>
    </w:p>
    <w:sectPr w:rsidR="002B41A2" w:rsidRPr="00C44906" w:rsidSect="00D84E76">
      <w:footerReference w:type="default" r:id="rId13"/>
      <w:pgSz w:w="11906" w:h="16838"/>
      <w:pgMar w:top="1417" w:right="0" w:bottom="1417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85A" w:rsidRDefault="00AF385A" w:rsidP="00D84E76">
      <w:pPr>
        <w:spacing w:after="0" w:line="240" w:lineRule="auto"/>
      </w:pPr>
      <w:r>
        <w:separator/>
      </w:r>
    </w:p>
  </w:endnote>
  <w:endnote w:type="continuationSeparator" w:id="0">
    <w:p w:rsidR="00AF385A" w:rsidRDefault="00AF385A" w:rsidP="00D8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E76" w:rsidRDefault="00D84E76">
    <w:pPr>
      <w:pStyle w:val="Rodap"/>
      <w:jc w:val="center"/>
    </w:pPr>
  </w:p>
  <w:p w:rsidR="00D84E76" w:rsidRDefault="00D84E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272796"/>
      <w:docPartObj>
        <w:docPartGallery w:val="Page Numbers (Bottom of Page)"/>
        <w:docPartUnique/>
      </w:docPartObj>
    </w:sdtPr>
    <w:sdtEndPr/>
    <w:sdtContent>
      <w:p w:rsidR="00D84E76" w:rsidRDefault="00D84E7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698">
          <w:rPr>
            <w:noProof/>
          </w:rPr>
          <w:t>8</w:t>
        </w:r>
        <w:r>
          <w:fldChar w:fldCharType="end"/>
        </w:r>
      </w:p>
    </w:sdtContent>
  </w:sdt>
  <w:p w:rsidR="00D84E76" w:rsidRDefault="00D84E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85A" w:rsidRDefault="00AF385A" w:rsidP="00D84E76">
      <w:pPr>
        <w:spacing w:after="0" w:line="240" w:lineRule="auto"/>
      </w:pPr>
      <w:r>
        <w:separator/>
      </w:r>
    </w:p>
  </w:footnote>
  <w:footnote w:type="continuationSeparator" w:id="0">
    <w:p w:rsidR="00AF385A" w:rsidRDefault="00AF385A" w:rsidP="00D84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0664"/>
    <w:multiLevelType w:val="multilevel"/>
    <w:tmpl w:val="CDF6FFE0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B41A2"/>
    <w:rsid w:val="00066489"/>
    <w:rsid w:val="00076737"/>
    <w:rsid w:val="00092AAC"/>
    <w:rsid w:val="000B15DC"/>
    <w:rsid w:val="001050E8"/>
    <w:rsid w:val="00105B04"/>
    <w:rsid w:val="001300F0"/>
    <w:rsid w:val="001557F6"/>
    <w:rsid w:val="001870CF"/>
    <w:rsid w:val="001A3935"/>
    <w:rsid w:val="001B323D"/>
    <w:rsid w:val="00210F12"/>
    <w:rsid w:val="00235ED3"/>
    <w:rsid w:val="00236D36"/>
    <w:rsid w:val="00254166"/>
    <w:rsid w:val="00294FD0"/>
    <w:rsid w:val="00295BDD"/>
    <w:rsid w:val="00295DB4"/>
    <w:rsid w:val="002B41A2"/>
    <w:rsid w:val="002E07D0"/>
    <w:rsid w:val="003E2B91"/>
    <w:rsid w:val="004268FE"/>
    <w:rsid w:val="00453B0E"/>
    <w:rsid w:val="00462041"/>
    <w:rsid w:val="00537F3D"/>
    <w:rsid w:val="005565F1"/>
    <w:rsid w:val="005A0C3B"/>
    <w:rsid w:val="005A596A"/>
    <w:rsid w:val="005E4550"/>
    <w:rsid w:val="005E4AFC"/>
    <w:rsid w:val="005F5CFA"/>
    <w:rsid w:val="00624D25"/>
    <w:rsid w:val="00631BF1"/>
    <w:rsid w:val="00645AE1"/>
    <w:rsid w:val="00676C80"/>
    <w:rsid w:val="00690E8A"/>
    <w:rsid w:val="006B7D86"/>
    <w:rsid w:val="006D1892"/>
    <w:rsid w:val="006E6614"/>
    <w:rsid w:val="00763011"/>
    <w:rsid w:val="007916E6"/>
    <w:rsid w:val="00797DC0"/>
    <w:rsid w:val="007C47C9"/>
    <w:rsid w:val="00826A26"/>
    <w:rsid w:val="008448C9"/>
    <w:rsid w:val="0084659B"/>
    <w:rsid w:val="00871A40"/>
    <w:rsid w:val="008F68E3"/>
    <w:rsid w:val="009143EA"/>
    <w:rsid w:val="00974CDD"/>
    <w:rsid w:val="00986EF3"/>
    <w:rsid w:val="00993125"/>
    <w:rsid w:val="009A3227"/>
    <w:rsid w:val="009F4B6A"/>
    <w:rsid w:val="009F61BC"/>
    <w:rsid w:val="00AD1032"/>
    <w:rsid w:val="00AF385A"/>
    <w:rsid w:val="00B00C1E"/>
    <w:rsid w:val="00B46629"/>
    <w:rsid w:val="00B707E2"/>
    <w:rsid w:val="00B74774"/>
    <w:rsid w:val="00B86660"/>
    <w:rsid w:val="00C1652C"/>
    <w:rsid w:val="00C32F91"/>
    <w:rsid w:val="00C44906"/>
    <w:rsid w:val="00CB1E58"/>
    <w:rsid w:val="00CD5E49"/>
    <w:rsid w:val="00CE2448"/>
    <w:rsid w:val="00D02991"/>
    <w:rsid w:val="00D12BC3"/>
    <w:rsid w:val="00D406BF"/>
    <w:rsid w:val="00D431F3"/>
    <w:rsid w:val="00D47D8E"/>
    <w:rsid w:val="00D65992"/>
    <w:rsid w:val="00D7440F"/>
    <w:rsid w:val="00D82207"/>
    <w:rsid w:val="00D84E76"/>
    <w:rsid w:val="00DA5865"/>
    <w:rsid w:val="00DB6875"/>
    <w:rsid w:val="00E1047F"/>
    <w:rsid w:val="00E1153A"/>
    <w:rsid w:val="00E314DE"/>
    <w:rsid w:val="00E31698"/>
    <w:rsid w:val="00EA62EF"/>
    <w:rsid w:val="00F25AF8"/>
    <w:rsid w:val="00F61910"/>
    <w:rsid w:val="00F650A3"/>
    <w:rsid w:val="00FB023B"/>
    <w:rsid w:val="00FB0EC5"/>
    <w:rsid w:val="00FB2AAD"/>
    <w:rsid w:val="00F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</w:pPr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next w:val="Normal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</w:rPr>
  </w:style>
  <w:style w:type="paragraph" w:styleId="Ttulo2">
    <w:name w:val="heading 2"/>
    <w:basedOn w:val="Normal"/>
    <w:next w:val="Normal"/>
    <w:pPr>
      <w:spacing w:before="200" w:after="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Ttulo3">
    <w:name w:val="heading 3"/>
    <w:basedOn w:val="Normal"/>
    <w:next w:val="Normal"/>
    <w:pPr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pPr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8FE"/>
    <w:rPr>
      <w:rFonts w:ascii="Tahoma" w:eastAsia="Calibr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47C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7C47C9"/>
  </w:style>
  <w:style w:type="character" w:styleId="Hyperlink">
    <w:name w:val="Hyperlink"/>
    <w:basedOn w:val="Fontepargpadro"/>
    <w:uiPriority w:val="99"/>
    <w:unhideWhenUsed/>
    <w:rsid w:val="007C47C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4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4E76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D84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4E76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</w:pPr>
    <w:rPr>
      <w:rFonts w:ascii="Calibri" w:eastAsia="Calibri" w:hAnsi="Calibri" w:cs="Calibri"/>
      <w:color w:val="000000"/>
    </w:rPr>
  </w:style>
  <w:style w:type="paragraph" w:styleId="Ttulo1">
    <w:name w:val="heading 1"/>
    <w:basedOn w:val="Normal"/>
    <w:next w:val="Normal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</w:rPr>
  </w:style>
  <w:style w:type="paragraph" w:styleId="Ttulo2">
    <w:name w:val="heading 2"/>
    <w:basedOn w:val="Normal"/>
    <w:next w:val="Normal"/>
    <w:pPr>
      <w:spacing w:before="200" w:after="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Ttulo3">
    <w:name w:val="heading 3"/>
    <w:basedOn w:val="Normal"/>
    <w:next w:val="Normal"/>
    <w:pPr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next w:val="Normal"/>
    <w:pPr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8FE"/>
    <w:rPr>
      <w:rFonts w:ascii="Tahoma" w:eastAsia="Calibri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C47C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7C47C9"/>
  </w:style>
  <w:style w:type="character" w:styleId="Hyperlink">
    <w:name w:val="Hyperlink"/>
    <w:basedOn w:val="Fontepargpadro"/>
    <w:uiPriority w:val="99"/>
    <w:unhideWhenUsed/>
    <w:rsid w:val="007C47C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4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4E76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D84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4E7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8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14</Pages>
  <Words>3096</Words>
  <Characters>16720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Whipple.docx</vt:lpstr>
    </vt:vector>
  </TitlesOfParts>
  <Company/>
  <LinksUpToDate>false</LinksUpToDate>
  <CharactersWithSpaces>19777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Whipple.docx</dc:title>
  <cp:lastModifiedBy>Amanda Albuquerque</cp:lastModifiedBy>
  <cp:revision>82</cp:revision>
  <dcterms:created xsi:type="dcterms:W3CDTF">2014-03-27T23:11:00Z</dcterms:created>
  <dcterms:modified xsi:type="dcterms:W3CDTF">2014-05-07T00:28:00Z</dcterms:modified>
</cp:coreProperties>
</file>