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B9" w:rsidRDefault="00E977B9" w:rsidP="00E977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7B9">
        <w:rPr>
          <w:rFonts w:ascii="Times New Roman" w:hAnsi="Times New Roman" w:cs="Times New Roman"/>
          <w:b/>
          <w:sz w:val="24"/>
          <w:szCs w:val="24"/>
        </w:rPr>
        <w:t>Tabelas</w:t>
      </w:r>
      <w:r w:rsidRPr="00E977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 </w:t>
      </w:r>
      <w:r w:rsidRPr="00E977B9">
        <w:rPr>
          <w:rFonts w:ascii="Times New Roman" w:hAnsi="Times New Roman" w:cs="Times New Roman"/>
          <w:b/>
          <w:sz w:val="24"/>
          <w:szCs w:val="24"/>
        </w:rPr>
        <w:t>Figuras</w:t>
      </w:r>
    </w:p>
    <w:p w:rsidR="00E977B9" w:rsidRPr="00E977B9" w:rsidRDefault="00E977B9" w:rsidP="00E977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SombreamentoClaro-nfase1"/>
        <w:tblpPr w:leftFromText="141" w:rightFromText="141" w:vertAnchor="page" w:horzAnchor="margin" w:tblpXSpec="center" w:tblpY="1996"/>
        <w:tblW w:w="53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38"/>
        <w:gridCol w:w="1338"/>
        <w:gridCol w:w="1338"/>
        <w:gridCol w:w="1339"/>
      </w:tblGrid>
      <w:tr w:rsidR="00E977B9" w:rsidRPr="00E977B9" w:rsidTr="00134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gridSpan w:val="4"/>
            <w:noWrap/>
            <w:vAlign w:val="center"/>
          </w:tcPr>
          <w:p w:rsidR="00E977B9" w:rsidRPr="00134BC2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Cs w:val="0"/>
                <w:color w:val="auto"/>
                <w:sz w:val="20"/>
                <w:szCs w:val="20"/>
                <w:lang w:eastAsia="pt-BR"/>
              </w:rPr>
              <w:t xml:space="preserve">Tabela 1 - Quantidade de partos entre 2000 e 2014 no Brasil, em Brasília e no Hospital Local </w:t>
            </w:r>
            <w:proofErr w:type="gramStart"/>
            <w:r w:rsidRPr="00134BC2">
              <w:rPr>
                <w:rFonts w:ascii="Times New Roman" w:eastAsia="Times New Roman" w:hAnsi="Times New Roman"/>
                <w:bCs w:val="0"/>
                <w:color w:val="auto"/>
                <w:sz w:val="20"/>
                <w:szCs w:val="20"/>
                <w:lang w:eastAsia="pt-BR"/>
              </w:rPr>
              <w:t>Analisado</w:t>
            </w:r>
            <w:proofErr w:type="gramEnd"/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noWrap/>
            <w:vAlign w:val="center"/>
            <w:hideMark/>
          </w:tcPr>
          <w:p w:rsidR="00E977B9" w:rsidRPr="00134BC2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1338" w:type="dxa"/>
            <w:noWrap/>
            <w:vAlign w:val="center"/>
            <w:hideMark/>
          </w:tcPr>
          <w:p w:rsidR="00E977B9" w:rsidRPr="00134BC2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  <w:t>Partos no Brasil</w:t>
            </w:r>
          </w:p>
        </w:tc>
        <w:tc>
          <w:tcPr>
            <w:tcW w:w="1338" w:type="dxa"/>
            <w:vAlign w:val="center"/>
            <w:hideMark/>
          </w:tcPr>
          <w:p w:rsidR="00E977B9" w:rsidRPr="00134BC2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  <w:t>Partos no DF</w:t>
            </w:r>
          </w:p>
        </w:tc>
        <w:tc>
          <w:tcPr>
            <w:tcW w:w="1339" w:type="dxa"/>
            <w:noWrap/>
            <w:vAlign w:val="center"/>
            <w:hideMark/>
          </w:tcPr>
          <w:p w:rsidR="00E977B9" w:rsidRPr="00134BC2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  <w:t>Partos no HRG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3.206.761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58.021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9.383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3.115.474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55.344</w:t>
            </w:r>
          </w:p>
        </w:tc>
        <w:tc>
          <w:tcPr>
            <w:tcW w:w="1339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9.188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3.059.402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55.565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8.538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2003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3.038.251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56.222</w:t>
            </w:r>
          </w:p>
        </w:tc>
        <w:tc>
          <w:tcPr>
            <w:tcW w:w="1339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9.278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3.026.548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55.626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8.446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2005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3.035.094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55.899</w:t>
            </w:r>
          </w:p>
        </w:tc>
        <w:tc>
          <w:tcPr>
            <w:tcW w:w="1339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8.404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2.944.928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55.368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8.394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2007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2.891.328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53.868</w:t>
            </w:r>
          </w:p>
        </w:tc>
        <w:tc>
          <w:tcPr>
            <w:tcW w:w="1339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7.741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2.934.828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54.115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7.602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2.881.581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54.260</w:t>
            </w:r>
          </w:p>
        </w:tc>
        <w:tc>
          <w:tcPr>
            <w:tcW w:w="1339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7.855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2.861.868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55.185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5.715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2.913.160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55.861</w:t>
            </w:r>
          </w:p>
        </w:tc>
        <w:tc>
          <w:tcPr>
            <w:tcW w:w="1339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6.088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2.905.789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56.339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5.254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1338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2.904.027</w:t>
            </w:r>
          </w:p>
        </w:tc>
        <w:tc>
          <w:tcPr>
            <w:tcW w:w="1338" w:type="dxa"/>
            <w:tcBorders>
              <w:top w:val="nil"/>
              <w:bottom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57.594</w:t>
            </w:r>
          </w:p>
        </w:tc>
        <w:tc>
          <w:tcPr>
            <w:tcW w:w="1339" w:type="dxa"/>
            <w:tcBorders>
              <w:top w:val="nil"/>
              <w:bottom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4.394</w:t>
            </w:r>
          </w:p>
        </w:tc>
      </w:tr>
      <w:tr w:rsidR="00E977B9" w:rsidRPr="00E977B9" w:rsidTr="00134B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2.979.259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58.909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5.280</w:t>
            </w:r>
          </w:p>
        </w:tc>
      </w:tr>
      <w:tr w:rsidR="00E977B9" w:rsidRPr="00E977B9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338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44.698.298</w:t>
            </w:r>
          </w:p>
        </w:tc>
        <w:tc>
          <w:tcPr>
            <w:tcW w:w="1338" w:type="dxa"/>
            <w:tcBorders>
              <w:top w:val="nil"/>
              <w:bottom w:val="single" w:sz="8" w:space="0" w:color="4F81BD" w:themeColor="accent1"/>
            </w:tcBorders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838.176</w:t>
            </w:r>
          </w:p>
        </w:tc>
        <w:tc>
          <w:tcPr>
            <w:tcW w:w="1339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E977B9" w:rsidRPr="00E977B9" w:rsidRDefault="00E977B9" w:rsidP="00134B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E977B9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111.560</w:t>
            </w:r>
          </w:p>
        </w:tc>
      </w:tr>
    </w:tbl>
    <w:p w:rsidR="00E977B9" w:rsidRDefault="00E977B9"/>
    <w:tbl>
      <w:tblPr>
        <w:tblStyle w:val="SombreamentoClaro-nfase1"/>
        <w:tblpPr w:leftFromText="141" w:rightFromText="141" w:vertAnchor="page" w:horzAnchor="margin" w:tblpXSpec="center" w:tblpY="9826"/>
        <w:tblW w:w="7966" w:type="dxa"/>
        <w:tblInd w:w="0" w:type="dxa"/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1006"/>
        <w:gridCol w:w="992"/>
        <w:gridCol w:w="992"/>
        <w:gridCol w:w="992"/>
        <w:gridCol w:w="1006"/>
      </w:tblGrid>
      <w:tr w:rsidR="00134BC2" w:rsidRPr="00134BC2" w:rsidTr="00134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6" w:type="dxa"/>
            <w:gridSpan w:val="8"/>
            <w:noWrap/>
            <w:vAlign w:val="center"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Tabela 2 -  Partos realizados no Hospital Regional do Gama (HRG) entre 2000 e 2014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HRG</w:t>
            </w:r>
          </w:p>
        </w:tc>
        <w:tc>
          <w:tcPr>
            <w:tcW w:w="993" w:type="dxa"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Vaginal</w:t>
            </w:r>
          </w:p>
        </w:tc>
        <w:tc>
          <w:tcPr>
            <w:tcW w:w="992" w:type="dxa"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Cesárea</w:t>
            </w:r>
          </w:p>
        </w:tc>
        <w:tc>
          <w:tcPr>
            <w:tcW w:w="1006" w:type="dxa"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Ignorado</w:t>
            </w:r>
          </w:p>
        </w:tc>
        <w:tc>
          <w:tcPr>
            <w:tcW w:w="992" w:type="dxa"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2" w:type="dxa"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Vaginal</w:t>
            </w:r>
          </w:p>
        </w:tc>
        <w:tc>
          <w:tcPr>
            <w:tcW w:w="992" w:type="dxa"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Cesárea</w:t>
            </w:r>
          </w:p>
        </w:tc>
        <w:tc>
          <w:tcPr>
            <w:tcW w:w="1006" w:type="dxa"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Ignorado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2.368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9.383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74,76%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25,24%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6.913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2.275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9.188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75,24%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24,76%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6.442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2.096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75,45%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24,55%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6.971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2.307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9.278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75,13%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24,87%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6.174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2.272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73,10%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26,90%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2005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5.881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2.523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8.404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69,98%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30,02%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2.633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8.394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68,63%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31,37%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4.963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2.778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7.741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64,11%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35,89%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4.616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2.986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7.602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60,72%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39,28%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5.073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2.782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7.855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64,58%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35,42%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2.313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5.715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59,53%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40,47%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3.598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2.490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6.088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59,10%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40,90%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2.047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61,04%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38,96%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2.652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1.742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4.394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60,36%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39,64%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3.421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1.859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5.280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64,79%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35,21%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3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76.089</w:t>
            </w:r>
          </w:p>
        </w:tc>
        <w:tc>
          <w:tcPr>
            <w:tcW w:w="992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35.471</w:t>
            </w:r>
          </w:p>
        </w:tc>
        <w:tc>
          <w:tcPr>
            <w:tcW w:w="1006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111.560</w:t>
            </w:r>
          </w:p>
        </w:tc>
        <w:tc>
          <w:tcPr>
            <w:tcW w:w="992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68,20%</w:t>
            </w:r>
          </w:p>
        </w:tc>
        <w:tc>
          <w:tcPr>
            <w:tcW w:w="992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31,80%</w:t>
            </w:r>
          </w:p>
        </w:tc>
        <w:tc>
          <w:tcPr>
            <w:tcW w:w="1006" w:type="dxa"/>
            <w:tcBorders>
              <w:top w:val="nil"/>
              <w:bottom w:val="single" w:sz="8" w:space="0" w:color="4F81BD" w:themeColor="accent1"/>
            </w:tcBorders>
            <w:noWrap/>
            <w:vAlign w:val="center"/>
            <w:hideMark/>
          </w:tcPr>
          <w:p w:rsidR="00134BC2" w:rsidRPr="00134BC2" w:rsidRDefault="00134BC2" w:rsidP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pt-BR"/>
              </w:rPr>
              <w:t>0%</w:t>
            </w:r>
          </w:p>
        </w:tc>
      </w:tr>
    </w:tbl>
    <w:p w:rsidR="00E977B9" w:rsidRDefault="00E977B9">
      <w:r>
        <w:br w:type="page"/>
      </w:r>
    </w:p>
    <w:tbl>
      <w:tblPr>
        <w:tblStyle w:val="SombreamentoClaro-nfase1"/>
        <w:tblW w:w="8709" w:type="dxa"/>
        <w:tblInd w:w="476" w:type="dxa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993"/>
        <w:gridCol w:w="1275"/>
        <w:gridCol w:w="988"/>
        <w:gridCol w:w="988"/>
        <w:gridCol w:w="955"/>
      </w:tblGrid>
      <w:tr w:rsidR="00134BC2" w:rsidRPr="00134BC2" w:rsidTr="00134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9" w:type="dxa"/>
            <w:gridSpan w:val="8"/>
            <w:tcBorders>
              <w:left w:val="nil"/>
              <w:right w:val="nil"/>
            </w:tcBorders>
            <w:noWrap/>
            <w:vAlign w:val="center"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lastRenderedPageBreak/>
              <w:t xml:space="preserve">Tabela 3 - Partos realizados no Distrito Federal, exceto os do Hospital Regional do Gama, entre 2000 e </w:t>
            </w:r>
            <w:proofErr w:type="gramStart"/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2014</w:t>
            </w:r>
            <w:proofErr w:type="gramEnd"/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DF - HRG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Vaginal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Cesárea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Ignorado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Total DF</w:t>
            </w:r>
          </w:p>
        </w:tc>
        <w:tc>
          <w:tcPr>
            <w:tcW w:w="988" w:type="dxa"/>
            <w:tcBorders>
              <w:left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Vaginal</w:t>
            </w:r>
          </w:p>
        </w:tc>
        <w:tc>
          <w:tcPr>
            <w:tcW w:w="988" w:type="dxa"/>
            <w:tcBorders>
              <w:left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Cesárea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Ignorado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29.180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19.416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48.638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60,00%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39,90%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0,10%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26.503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19.630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46.156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57,40%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42,50%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0,00%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26.633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20.331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47.027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56,60%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43,20%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0,10%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25.853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21.009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46.944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55,10%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44,80%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0,20%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25.198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21.928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47.180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53,40%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46,50%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0,10%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24.726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22.712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47.495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52,10%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47,80%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0,10%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23.716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22.561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697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46.974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50,50%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48,00%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1,50%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22.223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23.839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46.127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48,20%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51,70%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0,10%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22.800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23.529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184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46.513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49,00%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50,60%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0,40%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22.414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23.840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46.405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48,30%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51,40%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0,30%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24.690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24.729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49.470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49,90%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50,00%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0,10%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24.787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24.763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49.773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49,80%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49,80%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0,40%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24.535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26.286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51.085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48,00%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51,50%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0,50%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25.323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27.672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53.200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47,60%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52,00%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0,40%</w:t>
            </w:r>
          </w:p>
        </w:tc>
      </w:tr>
      <w:tr w:rsidR="00134BC2" w:rsidRP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25.122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28.393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53.629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46,80%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52,90%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0,20%</w:t>
            </w:r>
          </w:p>
        </w:tc>
      </w:tr>
      <w:tr w:rsidR="00134BC2" w:rsidRP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auto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373.703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350.638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2275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726.616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51,40%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48,30%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pt-BR"/>
              </w:rPr>
              <w:t>0,30%</w:t>
            </w:r>
          </w:p>
        </w:tc>
      </w:tr>
    </w:tbl>
    <w:p w:rsidR="005C3832" w:rsidRDefault="005C3832"/>
    <w:p w:rsidR="00134BC2" w:rsidRDefault="00134BC2"/>
    <w:tbl>
      <w:tblPr>
        <w:tblStyle w:val="SombreamentoClaro-nfase1"/>
        <w:tblW w:w="7938" w:type="dxa"/>
        <w:tblInd w:w="859" w:type="dxa"/>
        <w:tblLook w:val="04A0" w:firstRow="1" w:lastRow="0" w:firstColumn="1" w:lastColumn="0" w:noHBand="0" w:noVBand="1"/>
      </w:tblPr>
      <w:tblGrid>
        <w:gridCol w:w="968"/>
        <w:gridCol w:w="1034"/>
        <w:gridCol w:w="1034"/>
        <w:gridCol w:w="967"/>
        <w:gridCol w:w="1034"/>
        <w:gridCol w:w="967"/>
        <w:gridCol w:w="967"/>
        <w:gridCol w:w="967"/>
      </w:tblGrid>
      <w:tr w:rsidR="00134BC2" w:rsidTr="00134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8"/>
            <w:tcBorders>
              <w:left w:val="nil"/>
              <w:right w:val="nil"/>
            </w:tcBorders>
            <w:noWrap/>
            <w:vAlign w:val="center"/>
          </w:tcPr>
          <w:p w:rsidR="00134BC2" w:rsidRDefault="00134BC2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 xml:space="preserve">Tabela 4 - </w:t>
            </w:r>
            <w:r w:rsidRPr="00134BC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Partos realiza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dos no Brasil entre 2000 e 2014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left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Brasil</w:t>
            </w:r>
          </w:p>
        </w:tc>
        <w:tc>
          <w:tcPr>
            <w:tcW w:w="1034" w:type="dxa"/>
            <w:tcBorders>
              <w:left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Vaginal</w:t>
            </w:r>
          </w:p>
        </w:tc>
        <w:tc>
          <w:tcPr>
            <w:tcW w:w="1034" w:type="dxa"/>
            <w:tcBorders>
              <w:left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Cesárea</w:t>
            </w:r>
          </w:p>
        </w:tc>
        <w:tc>
          <w:tcPr>
            <w:tcW w:w="967" w:type="dxa"/>
            <w:tcBorders>
              <w:left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Ignorado</w:t>
            </w:r>
          </w:p>
        </w:tc>
        <w:tc>
          <w:tcPr>
            <w:tcW w:w="1034" w:type="dxa"/>
            <w:tcBorders>
              <w:left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7" w:type="dxa"/>
            <w:tcBorders>
              <w:left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Vaginal</w:t>
            </w:r>
          </w:p>
        </w:tc>
        <w:tc>
          <w:tcPr>
            <w:tcW w:w="967" w:type="dxa"/>
            <w:tcBorders>
              <w:left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Cesárea</w:t>
            </w:r>
          </w:p>
        </w:tc>
        <w:tc>
          <w:tcPr>
            <w:tcW w:w="967" w:type="dxa"/>
            <w:tcBorders>
              <w:left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Ignorado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1.974.790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1.211.494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20.477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3.206.761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61,58%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37,78%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0,64%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1.910.541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1.186.204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18.729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3.115.474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61,32%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38,07%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0,60%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1.867.185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1.182.238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9.979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3.059.402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61,03%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38,64%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0,33%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1.814.987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1.213.842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9.422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3.038.251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59,74%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39,95%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0,31%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1.756.180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1.263.634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6.734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3.026.548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58,03%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41,75%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0,22%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1.717.968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1.311.689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5.437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3.035.094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56,60%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43,22%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0,18%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1.613.318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1.325.781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5.829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2.944.928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54,78%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45,02%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0,20%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1.542.359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1.343.733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5.236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2.891.328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53,34%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46,47%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0,18%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1.510.879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1.419.745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4.204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2.934.828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51,48%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48,38%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0,14%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2009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1.436.062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1.441.692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3.827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2.881.581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49,84%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50,03%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0,13%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1.362.287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1.496.034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3.547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2.861.868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47,60%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52,27%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0,12%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1.340.324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1.565.564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7.272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2.913.160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46,01%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53,74%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0,25%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1.283.546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1.615.928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6.315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2.905.789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44,17%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55,61%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0,22%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1.253.726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1.644.557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5.744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2.904.027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43,17%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56,63%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0,20%</w:t>
            </w:r>
          </w:p>
        </w:tc>
      </w:tr>
      <w:tr w:rsidR="00134BC2" w:rsidTr="00134B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1.277.175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1.697.954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4.130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2.979.259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42,87%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56,99%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0,14%</w:t>
            </w:r>
          </w:p>
        </w:tc>
      </w:tr>
      <w:tr w:rsidR="00134BC2" w:rsidTr="0013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Pr="00134BC2" w:rsidRDefault="00134BC2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</w:pPr>
            <w:r w:rsidRPr="00134BC2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23.661.329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20.920.089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116.882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44.698.298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52,94%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46,80%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  <w:noWrap/>
            <w:vAlign w:val="center"/>
            <w:hideMark/>
          </w:tcPr>
          <w:p w:rsidR="00134BC2" w:rsidRDefault="0013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  <w:t>0,26%</w:t>
            </w:r>
          </w:p>
        </w:tc>
      </w:tr>
    </w:tbl>
    <w:p w:rsidR="00134BC2" w:rsidRDefault="00134BC2"/>
    <w:p w:rsidR="00134BC2" w:rsidRDefault="00134BC2"/>
    <w:p w:rsidR="00134BC2" w:rsidRDefault="00134BC2"/>
    <w:p w:rsidR="00134BC2" w:rsidRDefault="00134BC2"/>
    <w:p w:rsidR="00134BC2" w:rsidRDefault="00134BC2"/>
    <w:p w:rsidR="00134BC2" w:rsidRDefault="00134BC2">
      <w:bookmarkStart w:id="0" w:name="_GoBack"/>
      <w:r>
        <w:rPr>
          <w:noProof/>
          <w:lang w:eastAsia="pt-BR"/>
        </w:rPr>
        <w:lastRenderedPageBreak/>
        <w:drawing>
          <wp:inline distT="0" distB="0" distL="0" distR="0" wp14:anchorId="6CBCFF48" wp14:editId="22628B31">
            <wp:extent cx="5953125" cy="2686050"/>
            <wp:effectExtent l="0" t="0" r="9525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134BC2" w:rsidSect="008E7E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B9"/>
    <w:rsid w:val="00134BC2"/>
    <w:rsid w:val="005C3832"/>
    <w:rsid w:val="00E9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7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-nfase1">
    <w:name w:val="Light Shading Accent 1"/>
    <w:basedOn w:val="Tabelanormal"/>
    <w:uiPriority w:val="60"/>
    <w:rsid w:val="00E977B9"/>
    <w:pPr>
      <w:spacing w:after="0" w:line="240" w:lineRule="auto"/>
    </w:pPr>
    <w:rPr>
      <w:rFonts w:ascii="Calibri" w:eastAsia="Calibri" w:hAnsi="Calibri" w:cs="Times New Roman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13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4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7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-nfase1">
    <w:name w:val="Light Shading Accent 1"/>
    <w:basedOn w:val="Tabelanormal"/>
    <w:uiPriority w:val="60"/>
    <w:rsid w:val="00E977B9"/>
    <w:pPr>
      <w:spacing w:after="0" w:line="240" w:lineRule="auto"/>
    </w:pPr>
    <w:rPr>
      <w:rFonts w:ascii="Calibri" w:eastAsia="Calibri" w:hAnsi="Calibri" w:cs="Times New Roman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13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4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sac%20Rold&#227;o\Desktop\An&#225;lise%20Partos%20HRG%20-%20Marta\Submiss&#227;o%20UCB\Imagens%20e%20tabelas\Gr&#225;fico_1%20-%20Evolu&#231;&#227;o%20das%20taxas%20de%20cesarianas%20entre%202000%20e%202014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pt-BR" sz="1050"/>
              <a:t>Gráfico 1 - Evolução das taxas de cesarianas entre 2000 e 2014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9179411764705883E-2"/>
          <c:y val="0.16493177714487814"/>
          <c:w val="0.72195191601049868"/>
          <c:h val="0.7262664507362111"/>
        </c:manualLayout>
      </c:layout>
      <c:lineChart>
        <c:grouping val="standard"/>
        <c:varyColors val="0"/>
        <c:ser>
          <c:idx val="0"/>
          <c:order val="0"/>
          <c:tx>
            <c:strRef>
              <c:f>'[Gráfico_1 - Evolução das taxas de cesarianas entre 2000 e 2014..xlsx]Plan1'!$A$3</c:f>
              <c:strCache>
                <c:ptCount val="1"/>
                <c:pt idx="0">
                  <c:v>Brasil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numRef>
              <c:f>'[Gráfico_1 - Evolução das taxas de cesarianas entre 2000 e 2014..xlsx]Plan1'!$B$2:$P$2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</c:numCache>
            </c:numRef>
          </c:cat>
          <c:val>
            <c:numRef>
              <c:f>'[Gráfico_1 - Evolução das taxas de cesarianas entre 2000 e 2014..xlsx]Plan1'!$B$3:$P$3</c:f>
              <c:numCache>
                <c:formatCode>0.00%</c:formatCode>
                <c:ptCount val="15"/>
                <c:pt idx="0">
                  <c:v>0.37780000000000002</c:v>
                </c:pt>
                <c:pt idx="1">
                  <c:v>0.38069999999999998</c:v>
                </c:pt>
                <c:pt idx="2">
                  <c:v>0.38640000000000002</c:v>
                </c:pt>
                <c:pt idx="3">
                  <c:v>0.39950000000000002</c:v>
                </c:pt>
                <c:pt idx="4">
                  <c:v>0.41749999999999998</c:v>
                </c:pt>
                <c:pt idx="5">
                  <c:v>0.43219999999999997</c:v>
                </c:pt>
                <c:pt idx="6">
                  <c:v>0.45019999999999999</c:v>
                </c:pt>
                <c:pt idx="7">
                  <c:v>0.4647</c:v>
                </c:pt>
                <c:pt idx="8">
                  <c:v>0.48380000000000001</c:v>
                </c:pt>
                <c:pt idx="9">
                  <c:v>0.50029999999999997</c:v>
                </c:pt>
                <c:pt idx="10">
                  <c:v>0.52270000000000005</c:v>
                </c:pt>
                <c:pt idx="11">
                  <c:v>0.53739999999999999</c:v>
                </c:pt>
                <c:pt idx="12">
                  <c:v>0.55610000000000004</c:v>
                </c:pt>
                <c:pt idx="13">
                  <c:v>0.56630000000000003</c:v>
                </c:pt>
                <c:pt idx="14">
                  <c:v>0.56989999999999996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'[Gráfico_1 - Evolução das taxas de cesarianas entre 2000 e 2014..xlsx]Plan1'!$A$4</c:f>
              <c:strCache>
                <c:ptCount val="1"/>
                <c:pt idx="0">
                  <c:v>DF - HRG</c:v>
                </c:pt>
              </c:strCache>
            </c:strRef>
          </c:tx>
          <c:spPr>
            <a:ln>
              <a:solidFill>
                <a:schemeClr val="tx2"/>
              </a:solidFill>
            </a:ln>
          </c:spPr>
          <c:marker>
            <c:symbol val="none"/>
          </c:marker>
          <c:cat>
            <c:numRef>
              <c:f>'[Gráfico_1 - Evolução das taxas de cesarianas entre 2000 e 2014..xlsx]Plan1'!$B$2:$P$2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</c:numCache>
            </c:numRef>
          </c:cat>
          <c:val>
            <c:numRef>
              <c:f>'[Gráfico_1 - Evolução das taxas de cesarianas entre 2000 e 2014..xlsx]Plan1'!$B$4:$P$4</c:f>
              <c:numCache>
                <c:formatCode>0.00%</c:formatCode>
                <c:ptCount val="15"/>
                <c:pt idx="0">
                  <c:v>0.39900000000000002</c:v>
                </c:pt>
                <c:pt idx="1">
                  <c:v>0.42499999999999999</c:v>
                </c:pt>
                <c:pt idx="2">
                  <c:v>0.432</c:v>
                </c:pt>
                <c:pt idx="3">
                  <c:v>0.44800000000000001</c:v>
                </c:pt>
                <c:pt idx="4">
                  <c:v>0.46500000000000002</c:v>
                </c:pt>
                <c:pt idx="5">
                  <c:v>0.47799999999999998</c:v>
                </c:pt>
                <c:pt idx="6">
                  <c:v>0.48</c:v>
                </c:pt>
                <c:pt idx="7">
                  <c:v>0.51700000000000002</c:v>
                </c:pt>
                <c:pt idx="8">
                  <c:v>0.50600000000000001</c:v>
                </c:pt>
                <c:pt idx="9">
                  <c:v>0.51400000000000001</c:v>
                </c:pt>
                <c:pt idx="10">
                  <c:v>0.5</c:v>
                </c:pt>
                <c:pt idx="11">
                  <c:v>0.498</c:v>
                </c:pt>
                <c:pt idx="12">
                  <c:v>0.51500000000000001</c:v>
                </c:pt>
                <c:pt idx="13">
                  <c:v>0.52</c:v>
                </c:pt>
                <c:pt idx="14">
                  <c:v>0.52900000000000003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'[Gráfico_1 - Evolução das taxas de cesarianas entre 2000 e 2014..xlsx]Plan1'!$A$5</c:f>
              <c:strCache>
                <c:ptCount val="1"/>
                <c:pt idx="0">
                  <c:v>HRG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'[Gráfico_1 - Evolução das taxas de cesarianas entre 2000 e 2014..xlsx]Plan1'!$B$2:$P$2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</c:numCache>
            </c:numRef>
          </c:cat>
          <c:val>
            <c:numRef>
              <c:f>'[Gráfico_1 - Evolução das taxas de cesarianas entre 2000 e 2014..xlsx]Plan1'!$B$5:$P$5</c:f>
              <c:numCache>
                <c:formatCode>0.00%</c:formatCode>
                <c:ptCount val="15"/>
                <c:pt idx="0">
                  <c:v>0.25240000000000001</c:v>
                </c:pt>
                <c:pt idx="1">
                  <c:v>0.24759999999999999</c:v>
                </c:pt>
                <c:pt idx="2">
                  <c:v>0.2455</c:v>
                </c:pt>
                <c:pt idx="3">
                  <c:v>0.2487</c:v>
                </c:pt>
                <c:pt idx="4">
                  <c:v>0.26900000000000002</c:v>
                </c:pt>
                <c:pt idx="5">
                  <c:v>0.30020000000000002</c:v>
                </c:pt>
                <c:pt idx="6">
                  <c:v>0.31369999999999998</c:v>
                </c:pt>
                <c:pt idx="7">
                  <c:v>0.3589</c:v>
                </c:pt>
                <c:pt idx="8">
                  <c:v>0.39279999999999998</c:v>
                </c:pt>
                <c:pt idx="9">
                  <c:v>0.35420000000000001</c:v>
                </c:pt>
                <c:pt idx="10">
                  <c:v>0.4047</c:v>
                </c:pt>
                <c:pt idx="11">
                  <c:v>0.40899999999999997</c:v>
                </c:pt>
                <c:pt idx="12">
                  <c:v>0.3896</c:v>
                </c:pt>
                <c:pt idx="13">
                  <c:v>0.39639999999999997</c:v>
                </c:pt>
                <c:pt idx="14">
                  <c:v>0.35210000000000002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'[Gráfico_1 - Evolução das taxas de cesarianas entre 2000 e 2014..xlsx]Plan1'!$A$6</c:f>
              <c:strCache>
                <c:ptCount val="1"/>
                <c:pt idx="0">
                  <c:v>Limite proposto pela OMS</c:v>
                </c:pt>
              </c:strCache>
            </c:strRef>
          </c:tx>
          <c:spPr>
            <a:ln>
              <a:solidFill>
                <a:schemeClr val="bg2">
                  <a:lumMod val="10000"/>
                </a:schemeClr>
              </a:solidFill>
            </a:ln>
          </c:spPr>
          <c:marker>
            <c:symbol val="none"/>
          </c:marker>
          <c:cat>
            <c:numRef>
              <c:f>'[Gráfico_1 - Evolução das taxas de cesarianas entre 2000 e 2014..xlsx]Plan1'!$B$2:$P$2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</c:numCache>
            </c:numRef>
          </c:cat>
          <c:val>
            <c:numRef>
              <c:f>'[Gráfico_1 - Evolução das taxas de cesarianas entre 2000 e 2014..xlsx]Plan1'!$B$6:$P$6</c:f>
              <c:numCache>
                <c:formatCode>0%</c:formatCode>
                <c:ptCount val="15"/>
                <c:pt idx="0">
                  <c:v>0.15</c:v>
                </c:pt>
                <c:pt idx="1">
                  <c:v>0.15</c:v>
                </c:pt>
                <c:pt idx="2">
                  <c:v>0.15</c:v>
                </c:pt>
                <c:pt idx="3">
                  <c:v>0.15</c:v>
                </c:pt>
                <c:pt idx="4">
                  <c:v>0.15</c:v>
                </c:pt>
                <c:pt idx="5">
                  <c:v>0.15</c:v>
                </c:pt>
                <c:pt idx="6">
                  <c:v>0.15</c:v>
                </c:pt>
                <c:pt idx="7">
                  <c:v>0.15</c:v>
                </c:pt>
                <c:pt idx="8">
                  <c:v>0.15</c:v>
                </c:pt>
                <c:pt idx="9">
                  <c:v>0.15</c:v>
                </c:pt>
                <c:pt idx="10">
                  <c:v>0.15</c:v>
                </c:pt>
                <c:pt idx="11">
                  <c:v>0.15</c:v>
                </c:pt>
                <c:pt idx="12">
                  <c:v>0.15</c:v>
                </c:pt>
                <c:pt idx="13">
                  <c:v>0.15</c:v>
                </c:pt>
                <c:pt idx="14">
                  <c:v>0.15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210944"/>
        <c:axId val="80229120"/>
      </c:lineChart>
      <c:catAx>
        <c:axId val="8021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0229120"/>
        <c:crosses val="autoZero"/>
        <c:auto val="1"/>
        <c:lblAlgn val="ctr"/>
        <c:lblOffset val="100"/>
        <c:noMultiLvlLbl val="0"/>
      </c:catAx>
      <c:valAx>
        <c:axId val="80229120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8021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186641469816278"/>
          <c:y val="0.23307123843562108"/>
          <c:w val="0.19542794750656167"/>
          <c:h val="0.43317324696115111"/>
        </c:manualLayout>
      </c:layout>
      <c:overlay val="0"/>
      <c:txPr>
        <a:bodyPr/>
        <a:lstStyle/>
        <a:p>
          <a:pPr>
            <a:defRPr sz="1000"/>
          </a:pPr>
          <a:endParaRPr lang="pt-BR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Isac Roldão</cp:lastModifiedBy>
  <cp:revision>3</cp:revision>
  <dcterms:created xsi:type="dcterms:W3CDTF">2018-01-27T22:16:00Z</dcterms:created>
  <dcterms:modified xsi:type="dcterms:W3CDTF">2018-01-27T22:28:00Z</dcterms:modified>
</cp:coreProperties>
</file>